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3A992">
      <w:pPr>
        <w:jc w:val="center"/>
        <w:rPr>
          <w:rFonts w:ascii="黑体" w:hAnsi="黑体" w:eastAsia="黑体" w:cs="黑体"/>
          <w:b/>
          <w:bCs/>
          <w:sz w:val="32"/>
          <w:szCs w:val="32"/>
        </w:rPr>
      </w:pPr>
      <w:bookmarkStart w:id="2" w:name="_GoBack"/>
      <w:bookmarkEnd w:id="2"/>
      <w:r>
        <w:rPr>
          <w:rFonts w:hint="eastAsia" w:ascii="黑体" w:hAnsi="黑体" w:eastAsia="黑体"/>
          <w:sz w:val="32"/>
          <w:szCs w:val="32"/>
        </w:rPr>
        <w:t xml:space="preserve"> 招募</w:t>
      </w:r>
      <w:bookmarkStart w:id="0" w:name="_Hlk517359915"/>
      <w:bookmarkStart w:id="1" w:name="_Hlk515625463"/>
      <w:r>
        <w:rPr>
          <w:rFonts w:hint="eastAsia" w:ascii="黑体" w:hAnsi="黑体" w:eastAsia="黑体"/>
          <w:sz w:val="32"/>
          <w:szCs w:val="32"/>
        </w:rPr>
        <w:t>评价脉冲消融系统和一次性使用脉冲消融电极用于治疗口腔白斑病的有效性和安全性的前瞻性、多中心、随机对照临床试验</w:t>
      </w:r>
      <w:bookmarkEnd w:id="0"/>
      <w:bookmarkEnd w:id="1"/>
      <w:r>
        <w:rPr>
          <w:rFonts w:hint="eastAsia" w:ascii="黑体" w:hAnsi="黑体" w:eastAsia="黑体"/>
          <w:sz w:val="32"/>
          <w:szCs w:val="32"/>
        </w:rPr>
        <w:t>受试者</w:t>
      </w:r>
    </w:p>
    <w:p w14:paraId="7D9D0EF1">
      <w:pPr>
        <w:spacing w:line="360" w:lineRule="auto"/>
        <w:rPr>
          <w:sz w:val="32"/>
          <w:szCs w:val="32"/>
        </w:rPr>
      </w:pPr>
      <w:r>
        <w:rPr>
          <w:rFonts w:hint="eastAsia"/>
          <w:sz w:val="32"/>
          <w:szCs w:val="32"/>
        </w:rPr>
        <w:t xml:space="preserve">  </w:t>
      </w:r>
    </w:p>
    <w:p w14:paraId="0D5329A4">
      <w:pPr>
        <w:spacing w:line="360" w:lineRule="auto"/>
        <w:ind w:firstLine="480" w:firstLineChars="200"/>
        <w:jc w:val="left"/>
        <w:rPr>
          <w:sz w:val="24"/>
          <w:szCs w:val="24"/>
        </w:rPr>
      </w:pPr>
      <w:r>
        <w:rPr>
          <w:rFonts w:hint="eastAsia"/>
          <w:sz w:val="24"/>
          <w:szCs w:val="24"/>
        </w:rPr>
        <w:t>目前我院</w:t>
      </w:r>
      <w:r>
        <w:rPr>
          <w:rFonts w:hint="eastAsia"/>
          <w:sz w:val="24"/>
          <w:szCs w:val="24"/>
          <w:lang w:val="en-US" w:eastAsia="zh-CN"/>
        </w:rPr>
        <w:t>口腔黏膜</w:t>
      </w:r>
      <w:r>
        <w:rPr>
          <w:rFonts w:hint="eastAsia"/>
          <w:sz w:val="24"/>
          <w:szCs w:val="24"/>
        </w:rPr>
        <w:t>科正在开展“</w:t>
      </w:r>
      <w:r>
        <w:rPr>
          <w:rFonts w:hint="eastAsia" w:ascii="宋体" w:hAnsi="宋体" w:eastAsia="宋体" w:cs="宋体"/>
          <w:color w:val="0D0D0D"/>
          <w:sz w:val="24"/>
          <w:szCs w:val="24"/>
        </w:rPr>
        <w:t>评价脉冲消融系统和一次性使用脉冲消融电极用于治疗口腔白斑病的有效性和安全性的前瞻性、多中心、随机对照临床试验</w:t>
      </w:r>
      <w:r>
        <w:rPr>
          <w:sz w:val="24"/>
          <w:szCs w:val="24"/>
        </w:rPr>
        <w:t>”的临床研究</w:t>
      </w:r>
      <w:r>
        <w:rPr>
          <w:rFonts w:hint="eastAsia"/>
          <w:sz w:val="24"/>
          <w:szCs w:val="24"/>
        </w:rPr>
        <w:t>。</w:t>
      </w:r>
    </w:p>
    <w:p w14:paraId="4A71363E">
      <w:pPr>
        <w:spacing w:line="360" w:lineRule="auto"/>
        <w:ind w:firstLine="480" w:firstLineChars="200"/>
        <w:rPr>
          <w:sz w:val="24"/>
          <w:szCs w:val="24"/>
        </w:rPr>
      </w:pPr>
      <w:r>
        <w:rPr>
          <w:rFonts w:hint="eastAsia"/>
          <w:sz w:val="24"/>
          <w:szCs w:val="24"/>
        </w:rPr>
        <w:t>该研究产品已获得国家食品药品监督管理总局中国食品药品检定研究院的合格注册检验报告，同时本研究已获得本院伦理委员会审查同意。现向社会公开招募临床研究受试者。</w:t>
      </w:r>
    </w:p>
    <w:p w14:paraId="743AD52B">
      <w:pPr>
        <w:spacing w:line="360" w:lineRule="auto"/>
        <w:ind w:firstLine="480" w:firstLineChars="200"/>
        <w:rPr>
          <w:sz w:val="24"/>
          <w:szCs w:val="24"/>
        </w:rPr>
      </w:pPr>
    </w:p>
    <w:p w14:paraId="136BB8C4">
      <w:pPr>
        <w:spacing w:line="360" w:lineRule="auto"/>
        <w:rPr>
          <w:rFonts w:hint="eastAsia"/>
          <w:sz w:val="24"/>
          <w:szCs w:val="24"/>
        </w:rPr>
      </w:pPr>
      <w:r>
        <w:rPr>
          <w:rFonts w:hint="eastAsia"/>
          <w:sz w:val="24"/>
          <w:szCs w:val="24"/>
        </w:rPr>
        <w:t>入选条件：</w:t>
      </w:r>
    </w:p>
    <w:p w14:paraId="25E52058">
      <w:pPr>
        <w:spacing w:line="360" w:lineRule="auto"/>
        <w:jc w:val="left"/>
        <w:rPr>
          <w:rFonts w:hint="eastAsia"/>
          <w:sz w:val="24"/>
          <w:szCs w:val="24"/>
        </w:rPr>
      </w:pPr>
      <w:r>
        <w:rPr>
          <w:rFonts w:hint="eastAsia"/>
          <w:sz w:val="24"/>
          <w:szCs w:val="24"/>
        </w:rPr>
        <w:t>（1）年龄≥18周岁且≤70周岁；</w:t>
      </w:r>
    </w:p>
    <w:p w14:paraId="5306373B">
      <w:pPr>
        <w:spacing w:line="360" w:lineRule="auto"/>
        <w:jc w:val="left"/>
        <w:rPr>
          <w:rFonts w:hint="eastAsia"/>
          <w:sz w:val="24"/>
          <w:szCs w:val="24"/>
        </w:rPr>
      </w:pPr>
      <w:r>
        <w:rPr>
          <w:rFonts w:hint="eastAsia"/>
          <w:sz w:val="24"/>
          <w:szCs w:val="24"/>
        </w:rPr>
        <w:t>（2）经临床和组织病理学诊断确诊的口腔白斑病；</w:t>
      </w:r>
    </w:p>
    <w:p w14:paraId="3C36F6AB">
      <w:pPr>
        <w:spacing w:line="360" w:lineRule="auto"/>
        <w:jc w:val="left"/>
        <w:rPr>
          <w:rFonts w:hint="eastAsia"/>
          <w:sz w:val="24"/>
          <w:szCs w:val="24"/>
        </w:rPr>
      </w:pPr>
      <w:r>
        <w:rPr>
          <w:rFonts w:hint="eastAsia"/>
          <w:sz w:val="24"/>
          <w:szCs w:val="24"/>
        </w:rPr>
        <w:t>（3）不伴异常增生或者伴轻至中度异常增生；</w:t>
      </w:r>
    </w:p>
    <w:p w14:paraId="09D262C6">
      <w:pPr>
        <w:spacing w:line="360" w:lineRule="auto"/>
        <w:jc w:val="left"/>
        <w:rPr>
          <w:rFonts w:hint="eastAsia"/>
          <w:sz w:val="24"/>
          <w:szCs w:val="24"/>
        </w:rPr>
      </w:pPr>
      <w:r>
        <w:rPr>
          <w:rFonts w:hint="eastAsia"/>
          <w:sz w:val="24"/>
          <w:szCs w:val="24"/>
        </w:rPr>
        <w:t>（4）病变分布于颊、舌等相对较平坦的部位且明显可见；</w:t>
      </w:r>
    </w:p>
    <w:p w14:paraId="7D01E52D">
      <w:pPr>
        <w:spacing w:line="360" w:lineRule="auto"/>
        <w:jc w:val="left"/>
        <w:rPr>
          <w:rFonts w:hint="eastAsia"/>
          <w:sz w:val="24"/>
          <w:szCs w:val="24"/>
        </w:rPr>
      </w:pPr>
      <w:r>
        <w:rPr>
          <w:rFonts w:hint="eastAsia"/>
          <w:sz w:val="24"/>
          <w:szCs w:val="24"/>
        </w:rPr>
        <w:t>（5）能够理解试验的目的，愿意签署知情同意书并接受按时随访。</w:t>
      </w:r>
    </w:p>
    <w:p w14:paraId="55A41871">
      <w:pPr>
        <w:spacing w:line="360" w:lineRule="auto"/>
        <w:jc w:val="left"/>
        <w:rPr>
          <w:sz w:val="24"/>
          <w:szCs w:val="24"/>
        </w:rPr>
      </w:pPr>
    </w:p>
    <w:p w14:paraId="7901A0A3">
      <w:pPr>
        <w:spacing w:line="360" w:lineRule="auto"/>
        <w:ind w:firstLine="480" w:firstLineChars="200"/>
        <w:jc w:val="left"/>
        <w:rPr>
          <w:sz w:val="24"/>
          <w:szCs w:val="24"/>
        </w:rPr>
      </w:pPr>
      <w:r>
        <w:rPr>
          <w:rFonts w:hint="eastAsia"/>
          <w:sz w:val="24"/>
          <w:szCs w:val="24"/>
        </w:rPr>
        <w:t>您可以自主选择是否参加本项临床试验，您参加本项临床试验的信息均会完全保密。是否被允许参加临床研究最终由研究医生根据实际情况确定。</w:t>
      </w:r>
    </w:p>
    <w:p w14:paraId="392B5431">
      <w:pPr>
        <w:spacing w:line="360" w:lineRule="auto"/>
        <w:ind w:firstLine="480" w:firstLineChars="200"/>
        <w:jc w:val="left"/>
        <w:rPr>
          <w:rFonts w:hint="eastAsia"/>
          <w:sz w:val="24"/>
          <w:szCs w:val="24"/>
        </w:rPr>
      </w:pPr>
      <w:r>
        <w:rPr>
          <w:rFonts w:hint="eastAsia"/>
          <w:sz w:val="24"/>
          <w:szCs w:val="24"/>
        </w:rPr>
        <w:t>如果您符合以上的各项条件，并且愿意参加本次试验，可与我们联系，联系方式如下：</w:t>
      </w:r>
    </w:p>
    <w:p w14:paraId="50BFC210">
      <w:pPr>
        <w:spacing w:line="360" w:lineRule="auto"/>
        <w:ind w:firstLine="480" w:firstLineChars="200"/>
        <w:jc w:val="left"/>
        <w:rPr>
          <w:rFonts w:hint="eastAsia"/>
          <w:sz w:val="24"/>
          <w:szCs w:val="24"/>
        </w:rPr>
      </w:pPr>
    </w:p>
    <w:p w14:paraId="13B686CC">
      <w:pPr>
        <w:spacing w:line="360" w:lineRule="auto"/>
        <w:ind w:firstLine="480" w:firstLineChars="200"/>
        <w:jc w:val="left"/>
        <w:rPr>
          <w:rFonts w:hint="eastAsia"/>
          <w:sz w:val="24"/>
          <w:szCs w:val="24"/>
        </w:rPr>
      </w:pPr>
      <w:r>
        <w:rPr>
          <w:rFonts w:hint="eastAsia"/>
          <w:sz w:val="24"/>
          <w:szCs w:val="24"/>
        </w:rPr>
        <w:t>联系人：                 联系电话：</w:t>
      </w:r>
    </w:p>
    <w:p w14:paraId="5C75B27D">
      <w:pPr>
        <w:spacing w:line="360" w:lineRule="auto"/>
        <w:ind w:firstLine="480" w:firstLineChars="200"/>
        <w:jc w:val="left"/>
        <w:rPr>
          <w:rFonts w:hint="eastAsia"/>
          <w:sz w:val="24"/>
          <w:szCs w:val="24"/>
        </w:rPr>
      </w:pPr>
    </w:p>
    <w:p w14:paraId="5C5E002C">
      <w:pPr>
        <w:pStyle w:val="14"/>
        <w:numPr>
          <w:ilvl w:val="0"/>
          <w:numId w:val="0"/>
        </w:numPr>
        <w:spacing w:before="0" w:after="0" w:line="240" w:lineRule="auto"/>
        <w:rPr>
          <w:rFonts w:hint="eastAsia" w:asciiTheme="minorHAnsi" w:hAnsiTheme="minorHAnsi" w:eastAsiaTheme="minorEastAsia" w:cstheme="minorBidi"/>
          <w:kern w:val="2"/>
          <w:sz w:val="21"/>
          <w:szCs w:val="21"/>
          <w:lang w:val="en-US" w:eastAsia="zh-CN" w:bidi="ar-SA"/>
        </w:rPr>
      </w:pPr>
      <w:r>
        <w:rPr>
          <w:rFonts w:hint="eastAsia" w:asciiTheme="minorHAnsi" w:hAnsiTheme="minorHAnsi" w:eastAsiaTheme="minorEastAsia" w:cstheme="minorBidi"/>
          <w:kern w:val="2"/>
          <w:sz w:val="21"/>
          <w:szCs w:val="21"/>
          <w:lang w:val="en-US" w:eastAsia="zh-CN" w:bidi="ar-SA"/>
        </w:rPr>
        <w:t>招募方法为：门诊诊疗招募、现场招募、公开招募；招募方式为：微信推文发布、易拉宝布置与海报粘贴（在相关部门允许的位置）</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7C404">
    <w:pPr>
      <w:pStyle w:val="5"/>
      <w:jc w:val="both"/>
      <w:rPr>
        <w:rFonts w:hint="default" w:eastAsiaTheme="minorEastAsia"/>
        <w:lang w:val="en-US" w:eastAsia="zh-CN"/>
      </w:rPr>
    </w:pPr>
    <w:r>
      <w:rPr>
        <w:rFonts w:hint="eastAsia"/>
      </w:rPr>
      <w:t xml:space="preserve">受试者招募广告                </w:t>
    </w:r>
    <w:r>
      <w:t xml:space="preserve">                 </w:t>
    </w:r>
    <w:r>
      <w:rPr>
        <w:rFonts w:hint="eastAsia"/>
        <w:lang w:val="en-US" w:eastAsia="zh-CN"/>
      </w:rPr>
      <w:t xml:space="preserve">  </w:t>
    </w:r>
    <w:r>
      <w:t xml:space="preserve">      </w:t>
    </w:r>
    <w:r>
      <w:rPr>
        <w:rFonts w:hint="eastAsia"/>
      </w:rPr>
      <w:t>Ver</w:t>
    </w:r>
    <w:r>
      <w:t>.</w:t>
    </w:r>
    <w:r>
      <w:rPr>
        <w:rFonts w:hint="eastAsia"/>
        <w:lang w:val="en-US" w:eastAsia="zh-CN"/>
      </w:rPr>
      <w:t>2</w:t>
    </w:r>
    <w:r>
      <w:rPr>
        <w:rFonts w:hint="eastAsia"/>
      </w:rPr>
      <w:t>.</w:t>
    </w:r>
    <w:r>
      <w:t>0</w:t>
    </w:r>
    <w:r>
      <w:rPr>
        <w:sz w:val="13"/>
      </w:rPr>
      <w:t>（</w:t>
    </w:r>
    <w:r>
      <w:rPr>
        <w:rFonts w:hint="eastAsia"/>
        <w:sz w:val="13"/>
      </w:rPr>
      <w:t>重庆医科大学附属口腔医院</w:t>
    </w:r>
    <w:r>
      <w:rPr>
        <w:sz w:val="13"/>
      </w:rPr>
      <w:t>）</w:t>
    </w:r>
    <w:r>
      <w:rPr>
        <w:rFonts w:hint="eastAsia"/>
      </w:rPr>
      <w:t xml:space="preserve"> 202</w:t>
    </w:r>
    <w:r>
      <w:rPr>
        <w:rFonts w:hint="eastAsia"/>
        <w:lang w:val="en-US" w:eastAsia="zh-CN"/>
      </w:rPr>
      <w:t>5</w:t>
    </w:r>
    <w:r>
      <w:rPr>
        <w:rFonts w:hint="eastAsia"/>
      </w:rPr>
      <w:t>.</w:t>
    </w:r>
    <w:r>
      <w:t>0</w:t>
    </w:r>
    <w:r>
      <w:rPr>
        <w:rFonts w:hint="eastAsia"/>
        <w:lang w:val="en-US" w:eastAsia="zh-CN"/>
      </w:rPr>
      <w:t>9</w:t>
    </w:r>
    <w:r>
      <w:rPr>
        <w:rFonts w:hint="eastAsia"/>
      </w:rPr>
      <w:t>.</w:t>
    </w:r>
    <w:r>
      <w:rPr>
        <w:rFonts w:hint="eastAsia"/>
        <w:lang w:val="en-US" w:eastAsia="zh-CN"/>
      </w:rPr>
      <w:t>10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007A273F"/>
    <w:rsid w:val="00007F0B"/>
    <w:rsid w:val="0001292B"/>
    <w:rsid w:val="0001739F"/>
    <w:rsid w:val="00046CA3"/>
    <w:rsid w:val="000578F6"/>
    <w:rsid w:val="000767F7"/>
    <w:rsid w:val="000856E2"/>
    <w:rsid w:val="00095D47"/>
    <w:rsid w:val="000B4F4C"/>
    <w:rsid w:val="000D2703"/>
    <w:rsid w:val="000D29F5"/>
    <w:rsid w:val="000D5078"/>
    <w:rsid w:val="000E3A2C"/>
    <w:rsid w:val="000F3166"/>
    <w:rsid w:val="001143B0"/>
    <w:rsid w:val="00114CD1"/>
    <w:rsid w:val="00116085"/>
    <w:rsid w:val="001423AE"/>
    <w:rsid w:val="001538E5"/>
    <w:rsid w:val="0019523A"/>
    <w:rsid w:val="001A3B24"/>
    <w:rsid w:val="002317DC"/>
    <w:rsid w:val="00236A55"/>
    <w:rsid w:val="00250B23"/>
    <w:rsid w:val="002643BA"/>
    <w:rsid w:val="002A5A8F"/>
    <w:rsid w:val="002B5A5E"/>
    <w:rsid w:val="002D29A9"/>
    <w:rsid w:val="002F6E39"/>
    <w:rsid w:val="00305ED6"/>
    <w:rsid w:val="00316766"/>
    <w:rsid w:val="003832B4"/>
    <w:rsid w:val="00391B9A"/>
    <w:rsid w:val="004215AC"/>
    <w:rsid w:val="00425B89"/>
    <w:rsid w:val="004414E1"/>
    <w:rsid w:val="0044792A"/>
    <w:rsid w:val="00481C95"/>
    <w:rsid w:val="0048754B"/>
    <w:rsid w:val="004A5BE0"/>
    <w:rsid w:val="004C4094"/>
    <w:rsid w:val="004F630C"/>
    <w:rsid w:val="00510839"/>
    <w:rsid w:val="00534C10"/>
    <w:rsid w:val="00590A5F"/>
    <w:rsid w:val="005B4501"/>
    <w:rsid w:val="005C0244"/>
    <w:rsid w:val="005C1097"/>
    <w:rsid w:val="005D64C6"/>
    <w:rsid w:val="005E560C"/>
    <w:rsid w:val="005F2943"/>
    <w:rsid w:val="00660C20"/>
    <w:rsid w:val="006D7DED"/>
    <w:rsid w:val="00713C31"/>
    <w:rsid w:val="007170A8"/>
    <w:rsid w:val="0072239B"/>
    <w:rsid w:val="0073306D"/>
    <w:rsid w:val="007336DB"/>
    <w:rsid w:val="00750AF6"/>
    <w:rsid w:val="007519D2"/>
    <w:rsid w:val="00756F7D"/>
    <w:rsid w:val="00773110"/>
    <w:rsid w:val="00773CBD"/>
    <w:rsid w:val="0077735D"/>
    <w:rsid w:val="007A273F"/>
    <w:rsid w:val="007A552E"/>
    <w:rsid w:val="007B5904"/>
    <w:rsid w:val="007C5453"/>
    <w:rsid w:val="007F3307"/>
    <w:rsid w:val="00800BC2"/>
    <w:rsid w:val="008110B8"/>
    <w:rsid w:val="0081515B"/>
    <w:rsid w:val="0085384E"/>
    <w:rsid w:val="00875D9B"/>
    <w:rsid w:val="00883C7E"/>
    <w:rsid w:val="008B7923"/>
    <w:rsid w:val="00925E8E"/>
    <w:rsid w:val="00941FAB"/>
    <w:rsid w:val="0095035D"/>
    <w:rsid w:val="0096636B"/>
    <w:rsid w:val="0098489E"/>
    <w:rsid w:val="009D7110"/>
    <w:rsid w:val="009F1CDC"/>
    <w:rsid w:val="009F793E"/>
    <w:rsid w:val="00A01676"/>
    <w:rsid w:val="00A02714"/>
    <w:rsid w:val="00A1617E"/>
    <w:rsid w:val="00A2229F"/>
    <w:rsid w:val="00A82B3A"/>
    <w:rsid w:val="00A8315A"/>
    <w:rsid w:val="00A84EA4"/>
    <w:rsid w:val="00AA5DB9"/>
    <w:rsid w:val="00AB14DD"/>
    <w:rsid w:val="00AD6E8A"/>
    <w:rsid w:val="00AE13A8"/>
    <w:rsid w:val="00B06F10"/>
    <w:rsid w:val="00B359B0"/>
    <w:rsid w:val="00BA69EE"/>
    <w:rsid w:val="00BB186E"/>
    <w:rsid w:val="00BC54D6"/>
    <w:rsid w:val="00BE4C15"/>
    <w:rsid w:val="00C03698"/>
    <w:rsid w:val="00C109C2"/>
    <w:rsid w:val="00C17075"/>
    <w:rsid w:val="00C277B4"/>
    <w:rsid w:val="00C67646"/>
    <w:rsid w:val="00C87DE5"/>
    <w:rsid w:val="00CA6706"/>
    <w:rsid w:val="00CC6588"/>
    <w:rsid w:val="00CD3CAD"/>
    <w:rsid w:val="00D022BB"/>
    <w:rsid w:val="00D23C5B"/>
    <w:rsid w:val="00D35808"/>
    <w:rsid w:val="00D80AA2"/>
    <w:rsid w:val="00D855C0"/>
    <w:rsid w:val="00D93F4B"/>
    <w:rsid w:val="00D95C68"/>
    <w:rsid w:val="00DA0CEC"/>
    <w:rsid w:val="00E0787E"/>
    <w:rsid w:val="00E105F4"/>
    <w:rsid w:val="00E1705D"/>
    <w:rsid w:val="00E24783"/>
    <w:rsid w:val="00E31161"/>
    <w:rsid w:val="00E41BB9"/>
    <w:rsid w:val="00E5146D"/>
    <w:rsid w:val="00E57B4F"/>
    <w:rsid w:val="00E60DCB"/>
    <w:rsid w:val="00E710C1"/>
    <w:rsid w:val="00E9256E"/>
    <w:rsid w:val="00EC06A4"/>
    <w:rsid w:val="00EC57A7"/>
    <w:rsid w:val="00ED632B"/>
    <w:rsid w:val="00F061DD"/>
    <w:rsid w:val="00F269A3"/>
    <w:rsid w:val="00FA1DAD"/>
    <w:rsid w:val="00FA3281"/>
    <w:rsid w:val="00FA7807"/>
    <w:rsid w:val="00FB68E2"/>
    <w:rsid w:val="00FE2DBB"/>
    <w:rsid w:val="00FE2DE2"/>
    <w:rsid w:val="00FF094E"/>
    <w:rsid w:val="08583227"/>
    <w:rsid w:val="0AA072B9"/>
    <w:rsid w:val="0AC61230"/>
    <w:rsid w:val="0DCE6B40"/>
    <w:rsid w:val="1D2B1532"/>
    <w:rsid w:val="307D2065"/>
    <w:rsid w:val="34E25FD9"/>
    <w:rsid w:val="47D40CA8"/>
    <w:rsid w:val="4ACC4E2F"/>
    <w:rsid w:val="4CE15224"/>
    <w:rsid w:val="4EC85498"/>
    <w:rsid w:val="5013760A"/>
    <w:rsid w:val="701E7670"/>
    <w:rsid w:val="7287087E"/>
    <w:rsid w:val="755E38C2"/>
    <w:rsid w:val="79082101"/>
    <w:rsid w:val="7BF74A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2"/>
    <w:qFormat/>
    <w:uiPriority w:val="0"/>
    <w:pPr>
      <w:spacing w:after="120"/>
    </w:pPr>
    <w:rPr>
      <w:rFonts w:ascii="Times New Roman" w:hAnsi="Times New Roman" w:eastAsia="宋体" w:cs="Times New Roman"/>
      <w:szCs w:val="24"/>
      <w:lang w:val="zh-CN"/>
    </w:rPr>
  </w:style>
  <w:style w:type="paragraph" w:styleId="3">
    <w:name w:val="Balloon Text"/>
    <w:basedOn w:val="1"/>
    <w:link w:val="13"/>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Strong"/>
    <w:basedOn w:val="7"/>
    <w:qFormat/>
    <w:uiPriority w:val="0"/>
    <w:rPr>
      <w:b/>
    </w:rPr>
  </w:style>
  <w:style w:type="character" w:customStyle="1" w:styleId="9">
    <w:name w:val="页眉 字符"/>
    <w:basedOn w:val="7"/>
    <w:link w:val="5"/>
    <w:qFormat/>
    <w:uiPriority w:val="99"/>
    <w:rPr>
      <w:sz w:val="18"/>
      <w:szCs w:val="18"/>
    </w:rPr>
  </w:style>
  <w:style w:type="character" w:customStyle="1" w:styleId="10">
    <w:name w:val="页脚 字符"/>
    <w:basedOn w:val="7"/>
    <w:link w:val="4"/>
    <w:qFormat/>
    <w:uiPriority w:val="99"/>
    <w:rPr>
      <w:sz w:val="18"/>
      <w:szCs w:val="18"/>
    </w:rPr>
  </w:style>
  <w:style w:type="paragraph" w:styleId="11">
    <w:name w:val="List Paragraph"/>
    <w:basedOn w:val="1"/>
    <w:unhideWhenUsed/>
    <w:qFormat/>
    <w:uiPriority w:val="99"/>
    <w:pPr>
      <w:ind w:firstLine="420" w:firstLineChars="200"/>
    </w:pPr>
  </w:style>
  <w:style w:type="character" w:customStyle="1" w:styleId="12">
    <w:name w:val="正文文本 字符"/>
    <w:basedOn w:val="7"/>
    <w:link w:val="2"/>
    <w:qFormat/>
    <w:uiPriority w:val="0"/>
    <w:rPr>
      <w:rFonts w:ascii="Times New Roman" w:hAnsi="Times New Roman" w:eastAsia="宋体" w:cs="Times New Roman"/>
      <w:kern w:val="2"/>
      <w:sz w:val="21"/>
      <w:szCs w:val="24"/>
      <w:lang w:val="zh-CN"/>
    </w:rPr>
  </w:style>
  <w:style w:type="character" w:customStyle="1" w:styleId="13">
    <w:name w:val="批注框文本 字符"/>
    <w:basedOn w:val="7"/>
    <w:link w:val="3"/>
    <w:semiHidden/>
    <w:qFormat/>
    <w:uiPriority w:val="99"/>
    <w:rPr>
      <w:kern w:val="2"/>
      <w:sz w:val="18"/>
      <w:szCs w:val="18"/>
    </w:rPr>
  </w:style>
  <w:style w:type="paragraph" w:customStyle="1" w:styleId="14">
    <w:name w:val="列出段落1"/>
    <w:basedOn w:val="1"/>
    <w:qFormat/>
    <w:uiPriority w:val="99"/>
    <w:pPr>
      <w:widowControl w:val="0"/>
      <w:spacing w:before="120" w:after="120" w:line="380" w:lineRule="exact"/>
      <w:ind w:firstLine="420" w:firstLineChars="200"/>
      <w:jc w:val="both"/>
    </w:pPr>
    <w:rPr>
      <w:rFonts w:ascii="Calibri" w:hAnsi="Calibri" w:cs="Times New Roman"/>
      <w:kern w:val="2"/>
      <w:szCs w:val="22"/>
    </w:rPr>
  </w:style>
  <w:style w:type="paragraph" w:customStyle="1" w:styleId="15">
    <w:name w:val="列出段落11"/>
    <w:basedOn w:val="1"/>
    <w:qFormat/>
    <w:uiPriority w:val="34"/>
    <w:pPr>
      <w:widowControl w:val="0"/>
      <w:spacing w:after="200" w:line="276" w:lineRule="auto"/>
      <w:ind w:left="720"/>
      <w:contextualSpacing/>
    </w:pPr>
    <w:rPr>
      <w:rFonts w:ascii="Calibri" w:hAnsi="Calibri" w:eastAsia="Calibri" w:cs="Times New Roman"/>
      <w:sz w:val="22"/>
      <w:szCs w:val="22"/>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Sky123.Org</Company>
  <Pages>1</Pages>
  <Words>641</Words>
  <Characters>645</Characters>
  <Lines>1</Lines>
  <Paragraphs>1</Paragraphs>
  <TotalTime>3</TotalTime>
  <ScaleCrop>false</ScaleCrop>
  <LinksUpToDate>false</LinksUpToDate>
  <CharactersWithSpaces>665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2023-06-28T01:51:00Z</dcterms:created>
  <dc:creator>Sky123.Org</dc:creator>
  <cp:lastModifiedBy>李嘉琪</cp:lastModifiedBy>
  <dcterms:modified xsi:type="dcterms:W3CDTF">2025-10-15T09:40:42Z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394DAFBE5958463DA21A3D0183EA5FD7_12</vt:lpwstr>
  </property>
  <property fmtid="{D5CDD505-2E9C-101B-9397-08002B2CF9AE}" pid="4" name="KSOTemplateDocerSaveRecord">
    <vt:lpwstr>eyJoZGlkIjoiZjk3MzE3ZWQ3M2Q0YzdlNjkyNzVhZWUwMmEyMWE2ZTciLCJ1c2VySWQiOiI0ODQxNjUxOTQifQ==</vt:lpwstr>
  </property>
</Properties>
</file>