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D93B4">
      <w:pPr>
        <w:spacing w:before="100" w:line="360" w:lineRule="auto"/>
        <w:jc w:val="center"/>
        <w:rPr>
          <w:rFonts w:hint="eastAsia" w:ascii="宋体" w:hAnsi="宋体" w:eastAsia="宋体" w:cs="宋体"/>
          <w:spacing w:val="19"/>
          <w:sz w:val="31"/>
          <w:szCs w:val="31"/>
          <w14:textOutline w14:w="5791" w14:cap="flat" w14:cmpd="sng" w14:algn="ctr">
            <w14:solidFill>
              <w14:srgbClr w14:val="000000"/>
            </w14:solidFill>
            <w14:prstDash w14:val="solid"/>
            <w14:miter w14:val="0"/>
          </w14:textOutline>
        </w:rPr>
      </w:pPr>
      <w:r>
        <w:rPr>
          <w:rFonts w:hint="eastAsia" w:ascii="宋体" w:hAnsi="宋体" w:eastAsia="宋体" w:cs="宋体"/>
          <w:b/>
          <w:bCs/>
          <w:spacing w:val="-5"/>
          <w:sz w:val="28"/>
          <w:szCs w:val="28"/>
          <w:lang w:eastAsia="zh-Hans"/>
        </w:rPr>
        <w:t>支气管内活瓣用于经支气管镜肺减容术的安全性、有效性评价：一项前瞻性、多中心、随机对照、确证性临床试验受试者招募</w:t>
      </w:r>
      <w:bookmarkStart w:id="0" w:name="_GoBack"/>
      <w:bookmarkEnd w:id="0"/>
    </w:p>
    <w:p w14:paraId="3FD85B80">
      <w:pPr>
        <w:spacing w:line="360" w:lineRule="auto"/>
        <w:ind w:left="30"/>
        <w:rPr>
          <w:rFonts w:hint="eastAsia" w:ascii="宋体" w:hAnsi="宋体" w:eastAsia="宋体" w:cs="宋体"/>
          <w:sz w:val="24"/>
          <w:szCs w:val="24"/>
        </w:rPr>
      </w:pPr>
      <w:r>
        <w:rPr>
          <w:rFonts w:hint="eastAsia" w:ascii="宋体" w:hAnsi="宋体" w:eastAsia="宋体" w:cs="宋体"/>
          <w:b/>
          <w:bCs/>
          <w:spacing w:val="-8"/>
          <w:sz w:val="24"/>
          <w:szCs w:val="24"/>
        </w:rPr>
        <w:t>尊</w:t>
      </w:r>
      <w:r>
        <w:rPr>
          <w:rFonts w:hint="eastAsia" w:ascii="宋体" w:hAnsi="宋体" w:eastAsia="宋体" w:cs="宋体"/>
          <w:b/>
          <w:bCs/>
          <w:spacing w:val="-7"/>
          <w:sz w:val="24"/>
          <w:szCs w:val="24"/>
        </w:rPr>
        <w:t>敬</w:t>
      </w:r>
      <w:r>
        <w:rPr>
          <w:rFonts w:hint="eastAsia" w:ascii="宋体" w:hAnsi="宋体" w:eastAsia="宋体" w:cs="宋体"/>
          <w:b/>
          <w:bCs/>
          <w:spacing w:val="-4"/>
          <w:sz w:val="24"/>
          <w:szCs w:val="24"/>
        </w:rPr>
        <w:t>的先生/女士：</w:t>
      </w:r>
    </w:p>
    <w:p w14:paraId="6A3B01C2">
      <w:pPr>
        <w:spacing w:before="4" w:line="360" w:lineRule="auto"/>
        <w:ind w:left="23" w:firstLine="482"/>
        <w:rPr>
          <w:rFonts w:hint="eastAsia" w:ascii="宋体" w:hAnsi="宋体" w:eastAsia="宋体" w:cs="宋体"/>
          <w:spacing w:val="-5"/>
          <w:sz w:val="24"/>
          <w:szCs w:val="24"/>
          <w:lang w:eastAsia="zh-Hans"/>
        </w:rPr>
      </w:pPr>
      <w:r>
        <w:rPr>
          <w:rFonts w:hint="eastAsia" w:ascii="宋体" w:hAnsi="宋体" w:eastAsia="宋体" w:cs="宋体"/>
          <w:spacing w:val="-5"/>
          <w:sz w:val="24"/>
          <w:szCs w:val="24"/>
          <w:lang w:eastAsia="zh-Hans"/>
        </w:rPr>
        <w:t>肺气肿是慢性阻塞性肺疾病（简称慢阻肺）主要的疾病特征之一，可导致肺过度充气，膈肌活动度减低，肺弹性回缩力下降，进而引发换气减少和呼吸功能受限，随病情的进展，患者常出现活动后气短、运动耐力减低和生活质量下降。然而，内科药物治疗对合并重度肺气肿的慢阻肺患者的呼吸困难症状及第一秒用力呼气容积 (FEV1) 改善非常有限，非药物治疗成为研究热点。近年来，经支气管镜肺减容术（bronchoscopic lung volume reduction, BLVR）的出现为慢阻肺合并重度肺气肿的治疗带来了希望。</w:t>
      </w:r>
    </w:p>
    <w:p w14:paraId="74BF5B85">
      <w:pPr>
        <w:spacing w:before="4" w:line="360" w:lineRule="auto"/>
        <w:ind w:left="23" w:firstLine="482"/>
        <w:rPr>
          <w:rFonts w:hint="eastAsia" w:ascii="宋体" w:hAnsi="宋体" w:eastAsia="宋体" w:cs="宋体"/>
          <w:spacing w:val="-5"/>
          <w:sz w:val="24"/>
          <w:szCs w:val="24"/>
        </w:rPr>
      </w:pPr>
      <w:r>
        <w:rPr>
          <w:rFonts w:hint="eastAsia" w:ascii="宋体" w:hAnsi="宋体" w:eastAsia="宋体" w:cs="宋体"/>
          <w:spacing w:val="-5"/>
          <w:sz w:val="24"/>
          <w:szCs w:val="24"/>
          <w:lang w:eastAsia="zh-Hans"/>
        </w:rPr>
        <w:t>现有的BLVR技术有支气管内活瓣 (endobronchial valve，EBV) 技术、肺减容弹簧圈 (LVRC)、生物性肺减容术 (BioLVR)、经支气管镜热蒸汽消融 (BTVA)、气道旁路支架 (airway bypass stents，ABS)等。支气管内活瓣 (endobronchial valve，EBV) 技术是支气管镜肺减容术中唯一具有可逆性的BLVR，现已被国际上多项研究验证其有效性及安全性</w:t>
      </w:r>
      <w:r>
        <w:rPr>
          <w:rFonts w:hint="eastAsia" w:ascii="宋体" w:hAnsi="宋体" w:eastAsia="宋体" w:cs="宋体"/>
          <w:spacing w:val="-5"/>
          <w:sz w:val="24"/>
          <w:szCs w:val="24"/>
        </w:rPr>
        <w:t>。</w:t>
      </w:r>
    </w:p>
    <w:p w14:paraId="6C26FAAB">
      <w:pPr>
        <w:spacing w:before="2" w:line="360" w:lineRule="auto"/>
        <w:ind w:left="21" w:firstLine="480" w:firstLineChars="200"/>
        <w:rPr>
          <w:rFonts w:hint="eastAsia" w:ascii="宋体" w:hAnsi="宋体" w:eastAsia="宋体" w:cs="宋体"/>
          <w:sz w:val="24"/>
          <w:szCs w:val="24"/>
          <w:lang w:eastAsia="zh-Hans"/>
        </w:rPr>
      </w:pPr>
      <w:r>
        <w:rPr>
          <w:rFonts w:hint="eastAsia" w:ascii="宋体" w:hAnsi="宋体" w:eastAsia="宋体" w:cs="宋体"/>
          <w:sz w:val="24"/>
          <w:szCs w:val="24"/>
        </w:rPr>
        <w:t xml:space="preserve">北京卡迪泰医疗器械科技有限公司研制的活瓣采用的是医用植入级硅橡胶，具有可塑造性，延展性好，置入气道内与气道贴合更加紧密并可实现良好的单向通气。本品种尚未获国家药品监督管理局批准上市，本研究是评价该品种安全性和有效性的临床验证试验。 </w:t>
      </w:r>
    </w:p>
    <w:p w14:paraId="2E6B6DFB">
      <w:pPr>
        <w:autoSpaceDE/>
        <w:autoSpaceDN/>
        <w:spacing w:before="2" w:line="360" w:lineRule="exact"/>
        <w:ind w:left="21"/>
        <w:rPr>
          <w:rFonts w:hint="eastAsia" w:ascii="宋体" w:hAnsi="宋体" w:eastAsia="宋体" w:cs="宋体"/>
          <w:sz w:val="24"/>
          <w:szCs w:val="24"/>
        </w:rPr>
      </w:pPr>
      <w:r>
        <w:rPr>
          <w:rFonts w:hint="eastAsia" w:ascii="宋体" w:hAnsi="宋体" w:eastAsia="宋体" w:cs="宋体"/>
          <w:b/>
          <w:bCs/>
          <w:spacing w:val="-3"/>
          <w:sz w:val="24"/>
          <w:szCs w:val="24"/>
        </w:rPr>
        <w:t>研究受试者主要入选条件：</w:t>
      </w:r>
    </w:p>
    <w:p w14:paraId="6A66F366">
      <w:pPr>
        <w:pStyle w:val="8"/>
        <w:numPr>
          <w:ilvl w:val="0"/>
          <w:numId w:val="1"/>
        </w:numPr>
        <w:autoSpaceDE/>
        <w:autoSpaceDN/>
        <w:spacing w:line="360" w:lineRule="exact"/>
        <w:ind w:firstLineChars="0"/>
        <w:contextualSpacing/>
        <w:rPr>
          <w:rFonts w:hint="eastAsia" w:ascii="宋体" w:hAnsi="宋体" w:eastAsia="宋体" w:cs="宋体"/>
          <w:kern w:val="2"/>
          <w:sz w:val="24"/>
          <w:szCs w:val="24"/>
          <w:u w:color="000000"/>
        </w:rPr>
      </w:pPr>
      <w:r>
        <w:rPr>
          <w:rFonts w:hint="eastAsia" w:ascii="宋体" w:hAnsi="宋体" w:eastAsia="宋体" w:cs="宋体"/>
          <w:kern w:val="2"/>
          <w:sz w:val="24"/>
          <w:szCs w:val="24"/>
          <w:u w:color="000000"/>
        </w:rPr>
        <w:t>符合GOLD诊断标准的慢性阻塞性肺病患者，非匀质型肺气肿表型慢阻肺稳定期患者；</w:t>
      </w:r>
    </w:p>
    <w:p w14:paraId="0A947942">
      <w:pPr>
        <w:pStyle w:val="8"/>
        <w:numPr>
          <w:ilvl w:val="0"/>
          <w:numId w:val="1"/>
        </w:numPr>
        <w:autoSpaceDE/>
        <w:autoSpaceDN/>
        <w:spacing w:line="360" w:lineRule="exact"/>
        <w:ind w:firstLineChars="0"/>
        <w:contextualSpacing/>
        <w:rPr>
          <w:rFonts w:hint="eastAsia" w:ascii="宋体" w:hAnsi="宋体" w:eastAsia="宋体" w:cs="宋体"/>
          <w:kern w:val="2"/>
          <w:sz w:val="24"/>
          <w:szCs w:val="24"/>
          <w:u w:color="000000"/>
        </w:rPr>
      </w:pPr>
      <w:r>
        <w:rPr>
          <w:rFonts w:hint="eastAsia" w:ascii="宋体" w:hAnsi="宋体" w:eastAsia="宋体" w:cs="宋体"/>
          <w:kern w:val="2"/>
          <w:sz w:val="24"/>
          <w:szCs w:val="24"/>
          <w:u w:color="000000"/>
        </w:rPr>
        <w:t xml:space="preserve"> 年龄40-80岁（含40岁和80岁）；</w:t>
      </w:r>
    </w:p>
    <w:p w14:paraId="7CFC8D59">
      <w:pPr>
        <w:pStyle w:val="8"/>
        <w:numPr>
          <w:ilvl w:val="0"/>
          <w:numId w:val="1"/>
        </w:numPr>
        <w:autoSpaceDE/>
        <w:autoSpaceDN/>
        <w:spacing w:line="360" w:lineRule="exact"/>
        <w:ind w:firstLineChars="0"/>
        <w:contextualSpacing/>
        <w:rPr>
          <w:rFonts w:hint="eastAsia" w:ascii="宋体" w:hAnsi="宋体" w:eastAsia="宋体" w:cs="宋体"/>
          <w:kern w:val="2"/>
          <w:sz w:val="24"/>
          <w:szCs w:val="24"/>
          <w:u w:color="000000"/>
        </w:rPr>
      </w:pPr>
      <w:r>
        <w:rPr>
          <w:rFonts w:hint="eastAsia" w:ascii="宋体" w:hAnsi="宋体" w:eastAsia="宋体" w:cs="宋体"/>
          <w:kern w:val="2"/>
          <w:sz w:val="24"/>
          <w:szCs w:val="24"/>
          <w:u w:color="000000"/>
        </w:rPr>
        <w:t xml:space="preserve"> BMI≤35kg/m</w:t>
      </w:r>
      <w:r>
        <w:rPr>
          <w:rFonts w:hint="eastAsia" w:ascii="宋体" w:hAnsi="宋体" w:eastAsia="宋体" w:cs="宋体"/>
          <w:kern w:val="2"/>
          <w:sz w:val="24"/>
          <w:szCs w:val="24"/>
          <w:u w:color="000000"/>
          <w:vertAlign w:val="superscript"/>
        </w:rPr>
        <w:t>2</w:t>
      </w:r>
      <w:r>
        <w:rPr>
          <w:rFonts w:hint="eastAsia" w:ascii="宋体" w:hAnsi="宋体" w:eastAsia="宋体" w:cs="宋体"/>
          <w:kern w:val="2"/>
          <w:sz w:val="24"/>
          <w:szCs w:val="24"/>
          <w:u w:color="000000"/>
        </w:rPr>
        <w:t>；</w:t>
      </w:r>
    </w:p>
    <w:p w14:paraId="7FC78E42">
      <w:pPr>
        <w:pStyle w:val="8"/>
        <w:numPr>
          <w:ilvl w:val="0"/>
          <w:numId w:val="1"/>
        </w:numPr>
        <w:autoSpaceDE/>
        <w:autoSpaceDN/>
        <w:spacing w:line="360" w:lineRule="exact"/>
        <w:ind w:firstLineChars="0"/>
        <w:contextualSpacing/>
        <w:rPr>
          <w:rFonts w:hint="eastAsia" w:ascii="宋体" w:hAnsi="宋体" w:eastAsia="宋体" w:cs="宋体"/>
          <w:kern w:val="2"/>
          <w:sz w:val="24"/>
          <w:szCs w:val="24"/>
          <w:u w:color="000000"/>
        </w:rPr>
      </w:pPr>
      <w:r>
        <w:rPr>
          <w:rFonts w:hint="eastAsia" w:ascii="宋体" w:hAnsi="宋体" w:eastAsia="宋体" w:cs="宋体"/>
          <w:kern w:val="2"/>
          <w:sz w:val="24"/>
          <w:szCs w:val="24"/>
          <w:u w:color="000000"/>
        </w:rPr>
        <w:t xml:space="preserve"> 15%≤FEV</w:t>
      </w:r>
      <w:r>
        <w:rPr>
          <w:rFonts w:hint="eastAsia" w:ascii="宋体" w:hAnsi="宋体" w:eastAsia="宋体" w:cs="宋体"/>
          <w:kern w:val="2"/>
          <w:sz w:val="24"/>
          <w:szCs w:val="24"/>
          <w:u w:color="000000"/>
          <w:vertAlign w:val="subscript"/>
        </w:rPr>
        <w:t>1</w:t>
      </w:r>
      <w:r>
        <w:rPr>
          <w:rFonts w:hint="eastAsia" w:ascii="宋体" w:hAnsi="宋体" w:eastAsia="宋体" w:cs="宋体"/>
          <w:kern w:val="2"/>
          <w:sz w:val="24"/>
          <w:szCs w:val="24"/>
          <w:u w:color="000000"/>
        </w:rPr>
        <w:t>%pred≤45% ；</w:t>
      </w:r>
    </w:p>
    <w:p w14:paraId="25A96ECB">
      <w:pPr>
        <w:pStyle w:val="8"/>
        <w:numPr>
          <w:ilvl w:val="0"/>
          <w:numId w:val="1"/>
        </w:numPr>
        <w:autoSpaceDE/>
        <w:autoSpaceDN/>
        <w:spacing w:line="360" w:lineRule="exact"/>
        <w:ind w:firstLineChars="0"/>
        <w:contextualSpacing/>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TLC/%pred＞100%，RV/pred%≥175%；</w:t>
      </w:r>
    </w:p>
    <w:p w14:paraId="700C1C1D">
      <w:pPr>
        <w:pStyle w:val="8"/>
        <w:numPr>
          <w:ilvl w:val="0"/>
          <w:numId w:val="1"/>
        </w:numPr>
        <w:autoSpaceDE/>
        <w:autoSpaceDN/>
        <w:spacing w:line="360" w:lineRule="exact"/>
        <w:ind w:firstLineChars="0"/>
        <w:contextualSpacing/>
        <w:rPr>
          <w:rFonts w:hint="eastAsia" w:ascii="宋体" w:hAnsi="宋体" w:eastAsia="宋体" w:cs="宋体"/>
        </w:rPr>
      </w:pPr>
      <w:r>
        <w:rPr>
          <w:rFonts w:hint="eastAsia" w:ascii="宋体" w:hAnsi="宋体" w:eastAsia="宋体" w:cs="宋体"/>
          <w:kern w:val="2"/>
          <w:sz w:val="24"/>
          <w:szCs w:val="24"/>
          <w:u w:color="000000"/>
        </w:rPr>
        <w:t xml:space="preserve"> DLCO/pred%≥20%。</w:t>
      </w:r>
    </w:p>
    <w:p w14:paraId="1B9F717C">
      <w:pPr>
        <w:tabs>
          <w:tab w:val="left" w:pos="181"/>
        </w:tabs>
        <w:autoSpaceDE/>
        <w:autoSpaceDN/>
        <w:spacing w:before="83" w:line="360" w:lineRule="exact"/>
        <w:ind w:left="61"/>
        <w:rPr>
          <w:rFonts w:hint="eastAsia" w:ascii="宋体" w:hAnsi="宋体" w:eastAsia="宋体" w:cs="宋体"/>
          <w:spacing w:val="-2"/>
          <w:sz w:val="24"/>
          <w:szCs w:val="24"/>
        </w:rPr>
      </w:pPr>
      <w:r>
        <w:rPr>
          <w:rFonts w:hint="eastAsia" w:ascii="宋体" w:hAnsi="宋体" w:eastAsia="宋体" w:cs="宋体"/>
          <w:sz w:val="24"/>
          <w:szCs w:val="24"/>
        </w:rPr>
        <w:tab/>
      </w:r>
      <w:r>
        <w:rPr>
          <w:rFonts w:hint="eastAsia" w:ascii="宋体" w:hAnsi="宋体" w:eastAsia="宋体" w:cs="宋体"/>
          <w:spacing w:val="-4"/>
          <w:sz w:val="24"/>
          <w:szCs w:val="24"/>
        </w:rPr>
        <w:t>(以上为重要的入选条件，最终是否入选研究由研究医生判断。</w:t>
      </w:r>
      <w:r>
        <w:rPr>
          <w:rFonts w:hint="eastAsia" w:ascii="宋体" w:hAnsi="宋体" w:eastAsia="宋体" w:cs="宋体"/>
          <w:spacing w:val="-2"/>
          <w:sz w:val="24"/>
          <w:szCs w:val="24"/>
        </w:rPr>
        <w:t>)</w:t>
      </w:r>
    </w:p>
    <w:p w14:paraId="4ED159B8">
      <w:pPr>
        <w:tabs>
          <w:tab w:val="left" w:pos="181"/>
        </w:tabs>
        <w:autoSpaceDE/>
        <w:autoSpaceDN/>
        <w:spacing w:before="83" w:line="360" w:lineRule="exact"/>
        <w:ind w:left="61"/>
        <w:rPr>
          <w:rFonts w:hint="eastAsia" w:ascii="宋体" w:hAnsi="宋体" w:eastAsia="宋体" w:cs="宋体"/>
          <w:spacing w:val="-2"/>
          <w:sz w:val="24"/>
          <w:szCs w:val="24"/>
        </w:rPr>
      </w:pPr>
    </w:p>
    <w:p w14:paraId="506BC01C">
      <w:pPr>
        <w:spacing w:before="82" w:line="360" w:lineRule="auto"/>
        <w:ind w:right="157" w:firstLine="488" w:firstLineChars="200"/>
        <w:rPr>
          <w:rFonts w:hint="eastAsia" w:ascii="宋体" w:hAnsi="宋体" w:eastAsia="宋体" w:cs="宋体"/>
          <w:sz w:val="24"/>
          <w:szCs w:val="24"/>
        </w:rPr>
      </w:pPr>
      <w:r>
        <w:rPr>
          <w:rFonts w:hint="eastAsia" w:ascii="宋体" w:hAnsi="宋体" w:eastAsia="宋体" w:cs="宋体"/>
          <w:spacing w:val="2"/>
          <w:sz w:val="24"/>
          <w:szCs w:val="24"/>
        </w:rPr>
        <w:t>如您符合上述要求并有意向</w:t>
      </w:r>
      <w:r>
        <w:rPr>
          <w:rFonts w:hint="eastAsia" w:ascii="宋体" w:hAnsi="宋体" w:eastAsia="宋体" w:cs="宋体"/>
          <w:spacing w:val="1"/>
          <w:sz w:val="24"/>
          <w:szCs w:val="24"/>
        </w:rPr>
        <w:t>参加本项研究或了解更多的信息，请至</w:t>
      </w:r>
      <w:r>
        <w:rPr>
          <w:rFonts w:hint="eastAsia" w:ascii="宋体" w:hAnsi="宋体" w:eastAsia="宋体" w:cs="宋体"/>
          <w:spacing w:val="1"/>
          <w:sz w:val="24"/>
          <w:szCs w:val="24"/>
          <w:u w:val="single"/>
        </w:rPr>
        <w:t>武汉市中心医院呼吸与危重症医学科</w:t>
      </w:r>
      <w:r>
        <w:rPr>
          <w:rFonts w:hint="eastAsia" w:ascii="宋体" w:hAnsi="宋体" w:eastAsia="宋体" w:cs="宋体"/>
          <w:spacing w:val="-1"/>
          <w:sz w:val="24"/>
          <w:szCs w:val="24"/>
        </w:rPr>
        <w:t>或直接与</w:t>
      </w:r>
      <w:r>
        <w:rPr>
          <w:rFonts w:hint="eastAsia" w:ascii="宋体" w:hAnsi="宋体" w:eastAsia="宋体" w:cs="宋体"/>
          <w:sz w:val="24"/>
          <w:szCs w:val="24"/>
        </w:rPr>
        <w:t>以下医生联系。医生将为您做全面检查以确定您是否适合参加本项</w:t>
      </w:r>
      <w:r>
        <w:rPr>
          <w:rFonts w:hint="eastAsia" w:ascii="宋体" w:hAnsi="宋体" w:eastAsia="宋体" w:cs="宋体"/>
          <w:spacing w:val="-7"/>
          <w:sz w:val="24"/>
          <w:szCs w:val="24"/>
        </w:rPr>
        <w:t>研究。</w:t>
      </w:r>
    </w:p>
    <w:p w14:paraId="50B5CAF6">
      <w:pPr>
        <w:spacing w:line="360" w:lineRule="auto"/>
        <w:rPr>
          <w:rFonts w:hint="eastAsia" w:ascii="宋体" w:hAnsi="宋体" w:eastAsia="宋体" w:cs="宋体"/>
        </w:rPr>
      </w:pPr>
    </w:p>
    <w:p w14:paraId="69382292">
      <w:pPr>
        <w:spacing w:before="81" w:line="360" w:lineRule="auto"/>
        <w:ind w:left="19"/>
        <w:rPr>
          <w:rFonts w:hint="eastAsia" w:ascii="宋体" w:hAnsi="宋体" w:eastAsia="宋体" w:cs="宋体"/>
          <w:sz w:val="24"/>
          <w:szCs w:val="24"/>
        </w:rPr>
      </w:pPr>
      <w:r>
        <w:rPr>
          <w:rFonts w:hint="eastAsia" w:ascii="宋体" w:hAnsi="宋体" w:eastAsia="宋体" w:cs="宋体"/>
          <w:b/>
          <w:bCs/>
          <w:spacing w:val="-18"/>
          <w:sz w:val="24"/>
          <w:szCs w:val="24"/>
        </w:rPr>
        <w:t>联</w:t>
      </w:r>
      <w:r>
        <w:rPr>
          <w:rFonts w:hint="eastAsia" w:ascii="宋体" w:hAnsi="宋体" w:eastAsia="宋体" w:cs="宋体"/>
          <w:b/>
          <w:bCs/>
          <w:spacing w:val="-10"/>
          <w:sz w:val="24"/>
          <w:szCs w:val="24"/>
        </w:rPr>
        <w:t>系</w:t>
      </w:r>
      <w:r>
        <w:rPr>
          <w:rFonts w:hint="eastAsia" w:ascii="宋体" w:hAnsi="宋体" w:eastAsia="宋体" w:cs="宋体"/>
          <w:b/>
          <w:bCs/>
          <w:spacing w:val="-9"/>
          <w:sz w:val="24"/>
          <w:szCs w:val="24"/>
        </w:rPr>
        <w:t>方式：联系人：</w:t>
      </w:r>
      <w:r>
        <w:rPr>
          <w:rFonts w:hint="eastAsia" w:ascii="宋体" w:hAnsi="宋体" w:eastAsia="宋体" w:cs="宋体"/>
          <w:spacing w:val="-9"/>
          <w:sz w:val="24"/>
          <w:szCs w:val="24"/>
          <w:u w:val="single"/>
        </w:rPr>
        <w:t xml:space="preserve">             </w:t>
      </w:r>
      <w:r>
        <w:rPr>
          <w:rFonts w:hint="eastAsia" w:ascii="宋体" w:hAnsi="宋体" w:eastAsia="宋体" w:cs="宋体"/>
          <w:b/>
          <w:bCs/>
          <w:spacing w:val="-9"/>
          <w:sz w:val="24"/>
          <w:szCs w:val="24"/>
        </w:rPr>
        <w:t>电话：</w:t>
      </w:r>
      <w:r>
        <w:rPr>
          <w:rFonts w:hint="eastAsia" w:ascii="宋体" w:hAnsi="宋体" w:eastAsia="宋体" w:cs="宋体"/>
          <w:sz w:val="24"/>
          <w:szCs w:val="24"/>
          <w:u w:val="single"/>
        </w:rPr>
        <w:t xml:space="preserve">                          </w:t>
      </w:r>
    </w:p>
    <w:sectPr>
      <w:footerReference r:id="rId3" w:type="default"/>
      <w:pgSz w:w="11907" w:h="16839"/>
      <w:pgMar w:top="1304" w:right="1332" w:bottom="1304" w:left="1332" w:header="0" w:footer="97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3D03C">
    <w:pPr>
      <w:spacing w:after="17" w:line="207" w:lineRule="auto"/>
      <w:ind w:left="21"/>
      <w:rPr>
        <w:rFonts w:hint="eastAsia" w:ascii="等线" w:hAnsi="等线" w:eastAsia="等线" w:cs="等线"/>
        <w:sz w:val="18"/>
        <w:szCs w:val="18"/>
      </w:rPr>
    </w:pPr>
    <w:r>
      <w:rPr>
        <w:rFonts w:ascii="等线" w:hAnsi="等线" w:eastAsia="等线" w:cs="等线"/>
        <w:spacing w:val="-2"/>
        <w:sz w:val="18"/>
        <w:szCs w:val="18"/>
      </w:rPr>
      <w:t xml:space="preserve">版本号：  </w:t>
    </w:r>
    <w:r>
      <w:rPr>
        <w:rFonts w:ascii="等线" w:hAnsi="等线" w:eastAsia="等线" w:cs="等线"/>
        <w:spacing w:val="-1"/>
        <w:sz w:val="18"/>
        <w:szCs w:val="18"/>
      </w:rPr>
      <w:t>V</w:t>
    </w:r>
    <w:r>
      <w:rPr>
        <w:rFonts w:ascii="等线" w:hAnsi="等线" w:eastAsia="等线" w:cs="等线"/>
        <w:spacing w:val="-2"/>
        <w:sz w:val="18"/>
        <w:szCs w:val="18"/>
      </w:rPr>
      <w:t>1.</w:t>
    </w:r>
    <w:r>
      <w:rPr>
        <w:rFonts w:hint="eastAsia" w:ascii="等线" w:hAnsi="等线" w:eastAsia="等线" w:cs="等线"/>
        <w:spacing w:val="-2"/>
        <w:sz w:val="18"/>
        <w:szCs w:val="18"/>
      </w:rPr>
      <w:t>0</w:t>
    </w:r>
    <w:r>
      <w:rPr>
        <w:rFonts w:ascii="等线" w:hAnsi="等线" w:eastAsia="等线" w:cs="等线"/>
        <w:spacing w:val="-2"/>
        <w:sz w:val="18"/>
        <w:szCs w:val="18"/>
      </w:rPr>
      <w:t xml:space="preserve">  版本日期：  202</w:t>
    </w:r>
    <w:r>
      <w:rPr>
        <w:rFonts w:hint="eastAsia" w:ascii="等线" w:hAnsi="等线" w:eastAsia="等线" w:cs="等线"/>
        <w:spacing w:val="-2"/>
        <w:sz w:val="18"/>
        <w:szCs w:val="18"/>
      </w:rPr>
      <w:t>5</w:t>
    </w:r>
    <w:r>
      <w:rPr>
        <w:rFonts w:ascii="等线" w:hAnsi="等线" w:eastAsia="等线" w:cs="等线"/>
        <w:spacing w:val="-2"/>
        <w:sz w:val="18"/>
        <w:szCs w:val="18"/>
      </w:rPr>
      <w:t>-</w:t>
    </w:r>
    <w:r>
      <w:rPr>
        <w:rFonts w:hint="eastAsia" w:ascii="等线" w:hAnsi="等线" w:eastAsia="等线" w:cs="等线"/>
        <w:spacing w:val="-2"/>
        <w:sz w:val="18"/>
        <w:szCs w:val="18"/>
      </w:rPr>
      <w:t>12</w:t>
    </w:r>
    <w:r>
      <w:rPr>
        <w:rFonts w:ascii="等线" w:hAnsi="等线" w:eastAsia="等线" w:cs="等线"/>
        <w:spacing w:val="-2"/>
        <w:sz w:val="18"/>
        <w:szCs w:val="18"/>
      </w:rPr>
      <w:t>-</w:t>
    </w:r>
    <w:r>
      <w:rPr>
        <w:rFonts w:hint="eastAsia" w:ascii="等线" w:hAnsi="等线" w:eastAsia="等线" w:cs="等线"/>
        <w:spacing w:val="-2"/>
        <w:sz w:val="18"/>
        <w:szCs w:val="18"/>
      </w:rPr>
      <w:t>22</w:t>
    </w:r>
    <w:r>
      <w:rPr>
        <w:rFonts w:ascii="等线" w:hAnsi="等线" w:eastAsia="等线" w:cs="等线"/>
        <w:spacing w:val="-2"/>
        <w:sz w:val="18"/>
        <w:szCs w:val="18"/>
      </w:rPr>
      <w:t xml:space="preserve">                                                  </w:t>
    </w:r>
    <w:r>
      <w:rPr>
        <w:rFonts w:ascii="等线" w:hAnsi="等线" w:eastAsia="等线" w:cs="等线"/>
        <w:spacing w:val="-1"/>
        <w:sz w:val="18"/>
        <w:szCs w:val="18"/>
      </w:rPr>
      <w:t xml:space="preserve">                                                  </w:t>
    </w:r>
  </w:p>
  <w:p w14:paraId="5D385BDF">
    <w:pPr>
      <w:spacing w:line="224" w:lineRule="auto"/>
      <w:ind w:left="20"/>
      <w:rPr>
        <w:rFonts w:hint="eastAsia" w:ascii="等线" w:hAnsi="等线" w:eastAsia="等线" w:cs="等线"/>
        <w:sz w:val="18"/>
        <w:szCs w:val="18"/>
      </w:rPr>
    </w:pPr>
    <w:r>
      <w:rPr>
        <w:rFonts w:ascii="等线" w:hAnsi="等线" w:eastAsia="等线" w:cs="等线"/>
        <w:spacing w:val="-4"/>
        <w:sz w:val="18"/>
        <w:szCs w:val="18"/>
      </w:rPr>
      <w:t>备注：  仅用于</w:t>
    </w:r>
    <w:r>
      <w:rPr>
        <w:rFonts w:ascii="等线" w:hAnsi="等线" w:eastAsia="等线" w:cs="等线"/>
        <w:spacing w:val="-2"/>
        <w:sz w:val="18"/>
        <w:szCs w:val="18"/>
      </w:rPr>
      <w:t>微信发布、易拉宝展示、海报、小册子、视频形式展示，未经许可，不得作为他用</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6C43CF"/>
    <w:multiLevelType w:val="multilevel"/>
    <w:tmpl w:val="796C43CF"/>
    <w:lvl w:ilvl="0" w:tentative="0">
      <w:start w:val="1"/>
      <w:numFmt w:val="decimal"/>
      <w:lvlText w:val="%1)"/>
      <w:lvlJc w:val="left"/>
      <w:pPr>
        <w:ind w:left="360" w:hanging="360"/>
      </w:pPr>
      <w:rPr>
        <w:rFonts w:hint="default" w:ascii="宋体" w:hAnsi="宋体" w:eastAsia="宋体" w:cs="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4"/>
  </w:compat>
  <w:rsids>
    <w:rsidRoot w:val="001A67D0"/>
    <w:rsid w:val="00044B9D"/>
    <w:rsid w:val="001A67D0"/>
    <w:rsid w:val="00990268"/>
    <w:rsid w:val="00D17986"/>
    <w:rsid w:val="00D57C80"/>
    <w:rsid w:val="00F34784"/>
    <w:rsid w:val="039F05BA"/>
    <w:rsid w:val="03B94246"/>
    <w:rsid w:val="10553693"/>
    <w:rsid w:val="13DE6450"/>
    <w:rsid w:val="1782609B"/>
    <w:rsid w:val="2155084F"/>
    <w:rsid w:val="2A641E88"/>
    <w:rsid w:val="34A57D4B"/>
    <w:rsid w:val="38047E8F"/>
    <w:rsid w:val="3DAA06C0"/>
    <w:rsid w:val="45BF3878"/>
    <w:rsid w:val="4CDF53B8"/>
    <w:rsid w:val="5FDF7B0C"/>
    <w:rsid w:val="6ABB0A0B"/>
    <w:rsid w:val="72677827"/>
    <w:rsid w:val="73443C77"/>
    <w:rsid w:val="766856D0"/>
    <w:rsid w:val="77EA18BC"/>
    <w:rsid w:val="7DCF164D"/>
    <w:rsid w:val="7F7351B4"/>
    <w:rsid w:val="F367EF21"/>
    <w:rsid w:val="F6FBF755"/>
    <w:rsid w:val="FB753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style>
  <w:style w:type="paragraph" w:styleId="3">
    <w:name w:val="footer"/>
    <w:basedOn w:val="1"/>
    <w:link w:val="9"/>
    <w:qFormat/>
    <w:uiPriority w:val="0"/>
    <w:pPr>
      <w:tabs>
        <w:tab w:val="center" w:pos="4153"/>
        <w:tab w:val="right" w:pos="8306"/>
      </w:tabs>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styleId="8">
    <w:name w:val="List Paragraph"/>
    <w:basedOn w:val="1"/>
    <w:qFormat/>
    <w:uiPriority w:val="34"/>
    <w:pPr>
      <w:ind w:firstLine="420" w:firstLineChars="200"/>
    </w:pPr>
  </w:style>
  <w:style w:type="character" w:customStyle="1" w:styleId="9">
    <w:name w:val="页脚 字符"/>
    <w:basedOn w:val="6"/>
    <w:link w:val="3"/>
    <w:qFormat/>
    <w:uiPriority w:val="0"/>
    <w:rPr>
      <w:rFonts w:eastAsia="Arial"/>
      <w:snapToGrid w:val="0"/>
      <w:color w:val="00000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705</Words>
  <Characters>885</Characters>
  <Lines>6</Lines>
  <Paragraphs>1</Paragraphs>
  <TotalTime>5</TotalTime>
  <ScaleCrop>false</ScaleCrop>
  <LinksUpToDate>false</LinksUpToDate>
  <CharactersWithSpaces>949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2022-05-14T04:18:00Z</dcterms:created>
  <dc:creator>张广霞</dc:creator>
  <cp:lastModifiedBy>张家俊</cp:lastModifiedBy>
  <dcterms:modified xsi:type="dcterms:W3CDTF">2025-12-23T01:15:43Z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2022-09-08T15:19:13Z</vt:filetime>
  </property>
  <property fmtid="{D5CDD505-2E9C-101B-9397-08002B2CF9AE}" pid="4" name="KSOTemplateDocerSaveRecord">
    <vt:lpwstr>eyJoZGlkIjoiNzZkOTRjZjVlN2RjOTg2YmM2ZGQ0YTJlOTYxYmY1MDUiLCJ1c2VySWQiOiI0MjE2MTQ5ODEifQ==</vt:lpwstr>
  </property>
  <property fmtid="{D5CDD505-2E9C-101B-9397-08002B2CF9AE}" pid="5" name="KSOProductBuildVer">
    <vt:lpwstr>2052-12.1.0.24034</vt:lpwstr>
  </property>
  <property fmtid="{D5CDD505-2E9C-101B-9397-08002B2CF9AE}" pid="6" name="ICV">
    <vt:lpwstr>35538ACD5088469F4A12F6677B57ADC5_43</vt:lpwstr>
  </property>
</Properties>
</file>