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BD1340">
      <w:pPr>
        <w:numPr>
          <w:ilvl w:val="0"/>
          <w:numId w:val="0"/>
        </w:numPr>
        <w:tabs>
          <w:tab w:val="left" w:pos="360"/>
        </w:tabs>
        <w:spacing w:line="360" w:lineRule="auto"/>
        <w:jc w:val="center"/>
        <w:outlineLvl w:val="1"/>
        <w:rPr>
          <w:rFonts w:hint="default" w:ascii="Times New Roman" w:hAnsi="Times New Roman" w:eastAsia="宋体" w:cs="Times New Roman"/>
          <w:b/>
          <w:sz w:val="28"/>
          <w:lang w:val="en-US" w:eastAsia="zh-CN"/>
        </w:rPr>
      </w:pPr>
      <w:bookmarkStart w:id="0" w:name="_Toc449368426"/>
      <w:bookmarkStart w:id="1" w:name="_Toc24104076"/>
      <w:bookmarkStart w:id="2" w:name="_Toc472410086"/>
      <w:bookmarkStart w:id="3" w:name="_Toc522710019"/>
      <w:bookmarkStart w:id="4" w:name="_Toc522710358"/>
      <w:bookmarkStart w:id="5" w:name="_Toc215077134"/>
      <w:bookmarkStart w:id="6" w:name="_Toc451434248"/>
      <w:bookmarkStart w:id="7" w:name="_Toc523756370"/>
      <w:r>
        <w:rPr>
          <w:rFonts w:hint="eastAsia" w:ascii="Times New Roman" w:hAnsi="Times New Roman" w:eastAsia="宋体" w:cs="Times New Roman"/>
          <w:b/>
          <w:sz w:val="28"/>
          <w:lang w:val="en-US" w:eastAsia="zh-CN"/>
        </w:rPr>
        <w:t>LDS片‖期临床研究</w:t>
      </w:r>
      <w:bookmarkStart w:id="25" w:name="_GoBack"/>
      <w:bookmarkEnd w:id="25"/>
      <w:r>
        <w:rPr>
          <w:rFonts w:hint="eastAsia" w:ascii="Times New Roman" w:hAnsi="Times New Roman" w:eastAsia="宋体" w:cs="Times New Roman"/>
          <w:b/>
          <w:sz w:val="28"/>
          <w:lang w:val="en-US" w:eastAsia="zh-CN"/>
        </w:rPr>
        <w:t>项目介绍</w:t>
      </w:r>
    </w:p>
    <w:p w14:paraId="4734D963">
      <w:pPr>
        <w:numPr>
          <w:ilvl w:val="0"/>
          <w:numId w:val="1"/>
        </w:numPr>
        <w:tabs>
          <w:tab w:val="left" w:pos="360"/>
          <w:tab w:val="clear" w:pos="312"/>
        </w:tabs>
        <w:spacing w:line="360" w:lineRule="auto"/>
        <w:outlineLvl w:val="1"/>
        <w:rPr>
          <w:rFonts w:hint="eastAsia" w:ascii="Times New Roman" w:hAnsi="Times New Roman" w:eastAsia="宋体" w:cs="Times New Roman"/>
          <w:b/>
          <w:sz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sz w:val="28"/>
          <w:lang w:val="en-US" w:eastAsia="zh-CN"/>
        </w:rPr>
        <w:t>参研单位中心</w:t>
      </w:r>
    </w:p>
    <w:tbl>
      <w:tblPr>
        <w:tblStyle w:val="3"/>
        <w:tblW w:w="843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35"/>
        <w:gridCol w:w="3532"/>
        <w:gridCol w:w="1932"/>
        <w:gridCol w:w="1638"/>
      </w:tblGrid>
      <w:tr w14:paraId="00C067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tblHeader/>
          <w:jc w:val="center"/>
        </w:trPr>
        <w:tc>
          <w:tcPr>
            <w:tcW w:w="133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0E7EB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中心编号</w:t>
            </w:r>
          </w:p>
        </w:tc>
        <w:tc>
          <w:tcPr>
            <w:tcW w:w="35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2267C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中心名称</w:t>
            </w:r>
          </w:p>
        </w:tc>
        <w:tc>
          <w:tcPr>
            <w:tcW w:w="19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C154F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科室</w:t>
            </w:r>
          </w:p>
        </w:tc>
        <w:tc>
          <w:tcPr>
            <w:tcW w:w="163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C7BD1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主要研究者</w:t>
            </w:r>
          </w:p>
        </w:tc>
      </w:tr>
      <w:tr w14:paraId="4AEA1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tblHeader/>
          <w:jc w:val="center"/>
        </w:trPr>
        <w:tc>
          <w:tcPr>
            <w:tcW w:w="13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911C86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5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D95A65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DA331F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63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5B469A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sz w:val="24"/>
                <w:szCs w:val="24"/>
              </w:rPr>
            </w:pPr>
          </w:p>
        </w:tc>
      </w:tr>
      <w:tr w14:paraId="66F1E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tblHeader/>
          <w:jc w:val="center"/>
        </w:trPr>
        <w:tc>
          <w:tcPr>
            <w:tcW w:w="13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03C0A9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5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D14409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67DAEF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63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8D8D8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343D4D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sz w:val="24"/>
                <w:szCs w:val="24"/>
              </w:rPr>
            </w:pPr>
          </w:p>
        </w:tc>
      </w:tr>
      <w:tr w14:paraId="70C1E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34D112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01</w:t>
            </w:r>
          </w:p>
        </w:tc>
        <w:tc>
          <w:tcPr>
            <w:tcW w:w="3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5A8E7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中国医学科学院北京协和医院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E8A7E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风湿免疫科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E1F20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李梦涛</w:t>
            </w:r>
          </w:p>
        </w:tc>
      </w:tr>
      <w:tr w14:paraId="0C8CA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7129C7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02</w:t>
            </w:r>
          </w:p>
        </w:tc>
        <w:tc>
          <w:tcPr>
            <w:tcW w:w="3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E6911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广东省人民医院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FCE01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风湿免疫科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192C3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李玲</w:t>
            </w:r>
          </w:p>
        </w:tc>
      </w:tr>
      <w:tr w14:paraId="66C560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191B2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03</w:t>
            </w:r>
          </w:p>
        </w:tc>
        <w:tc>
          <w:tcPr>
            <w:tcW w:w="3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904AB3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临汾市中心医院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A63747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风湿免疫科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C818C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强树华</w:t>
            </w:r>
          </w:p>
        </w:tc>
      </w:tr>
      <w:tr w14:paraId="67DB5A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DE00B2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04</w:t>
            </w:r>
          </w:p>
        </w:tc>
        <w:tc>
          <w:tcPr>
            <w:tcW w:w="3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CEB0F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东南大学附属中大医院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B9995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风湿免疫科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68C423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徐晓龑</w:t>
            </w:r>
          </w:p>
        </w:tc>
      </w:tr>
      <w:tr w14:paraId="63102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8BC1D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05</w:t>
            </w:r>
          </w:p>
        </w:tc>
        <w:tc>
          <w:tcPr>
            <w:tcW w:w="3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99B4F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郑州市中心医院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8E130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风湿免疫科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A1CB6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杨磊</w:t>
            </w:r>
          </w:p>
        </w:tc>
      </w:tr>
      <w:tr w14:paraId="4CE6F1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EF4801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06</w:t>
            </w:r>
          </w:p>
        </w:tc>
        <w:tc>
          <w:tcPr>
            <w:tcW w:w="3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4C1C6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十堰市人民医院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8A275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风湿免疫科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61FF6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陶洪</w:t>
            </w:r>
          </w:p>
        </w:tc>
      </w:tr>
      <w:tr w14:paraId="629D1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BF4E1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07</w:t>
            </w:r>
          </w:p>
        </w:tc>
        <w:tc>
          <w:tcPr>
            <w:tcW w:w="3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30E560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长治医学院附属和平医院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E47DDE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风湿免疫科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755765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原子琦</w:t>
            </w:r>
          </w:p>
        </w:tc>
      </w:tr>
      <w:tr w14:paraId="6DC142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093D6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08</w:t>
            </w:r>
          </w:p>
        </w:tc>
        <w:tc>
          <w:tcPr>
            <w:tcW w:w="3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DA0223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宁夏回族自治区人民医院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0C301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风湿免疫科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393D0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郭东更</w:t>
            </w:r>
          </w:p>
        </w:tc>
      </w:tr>
      <w:tr w14:paraId="6D1B8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ED329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09</w:t>
            </w:r>
          </w:p>
        </w:tc>
        <w:tc>
          <w:tcPr>
            <w:tcW w:w="3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DF28C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淮南市人民医院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9D0785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风湿免疫科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120E8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陆方林</w:t>
            </w:r>
          </w:p>
        </w:tc>
      </w:tr>
      <w:tr w14:paraId="2C4B9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CAA76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3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AFEA4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温州市人民医院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EE811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风湿免疫科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838CE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林素仙</w:t>
            </w:r>
          </w:p>
        </w:tc>
      </w:tr>
      <w:tr w14:paraId="34120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0C960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3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70836E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吉林省人民医院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92857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风湿免疫科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3BE99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姜国平</w:t>
            </w:r>
          </w:p>
        </w:tc>
      </w:tr>
      <w:tr w14:paraId="0794F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D79ED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3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DD2DB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河北省人民医院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B00DBF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风湿免疫科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1B330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林玮</w:t>
            </w:r>
          </w:p>
        </w:tc>
      </w:tr>
      <w:tr w14:paraId="10CE2C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8B1A1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3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F1E22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三门峡市中心医院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DA327D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风湿免疫科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AD5C73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刘娟云</w:t>
            </w:r>
          </w:p>
        </w:tc>
      </w:tr>
      <w:tr w14:paraId="55C1E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7AC8F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3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B734BE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苏州大学附属第二医院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95059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风湿免疫科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BF1CF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刘志纯</w:t>
            </w:r>
          </w:p>
        </w:tc>
      </w:tr>
      <w:tr w14:paraId="7997E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DA20C2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3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90562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马鞍山市人民医院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5CB26E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风湿免疫科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FE701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史恒星</w:t>
            </w:r>
          </w:p>
        </w:tc>
      </w:tr>
      <w:tr w14:paraId="7211C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063ED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3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2E6D9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赣州市人民医院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1BB90A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风湿免疫科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A4E64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李东升</w:t>
            </w:r>
          </w:p>
        </w:tc>
      </w:tr>
      <w:tr w14:paraId="4F2A52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482E09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3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FCFBF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南方医科大学珠江医院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32391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风湿免疫科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458E8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接力刚</w:t>
            </w:r>
          </w:p>
        </w:tc>
      </w:tr>
      <w:tr w14:paraId="19288D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9EDA7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3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A8961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甘肃省人民医院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9BBBD8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风湿免疫科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E5DF3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周淑红</w:t>
            </w:r>
          </w:p>
        </w:tc>
      </w:tr>
      <w:tr w14:paraId="27F8A0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6DFF4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3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5EE7C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山西医科大学第一医院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37A96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风湿免疫科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F938A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傅自力</w:t>
            </w:r>
          </w:p>
        </w:tc>
      </w:tr>
      <w:tr w14:paraId="274E18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536AF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3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AB712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宁夏医科大学总医院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8AAE74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风湿免疫科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0B5F4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池淑红</w:t>
            </w:r>
          </w:p>
        </w:tc>
      </w:tr>
      <w:tr w14:paraId="51F566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A326E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3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DE443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东莞市茶山医院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F6173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风湿免疫科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A6B7B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饶媛</w:t>
            </w:r>
          </w:p>
        </w:tc>
      </w:tr>
      <w:tr w14:paraId="28393C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A0560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23</w:t>
            </w:r>
          </w:p>
        </w:tc>
        <w:tc>
          <w:tcPr>
            <w:tcW w:w="3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FB3D6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首都医科大学宣武医院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A12BD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val="en-US" w:eastAsia="zh-CN" w:bidi="ar"/>
              </w:rPr>
              <w:t>风湿免疫科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53195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赵义</w:t>
            </w:r>
          </w:p>
        </w:tc>
      </w:tr>
    </w:tbl>
    <w:p w14:paraId="7866D5B7">
      <w:pPr>
        <w:numPr>
          <w:ilvl w:val="0"/>
          <w:numId w:val="0"/>
        </w:numPr>
        <w:tabs>
          <w:tab w:val="left" w:pos="360"/>
        </w:tabs>
        <w:spacing w:line="360" w:lineRule="auto"/>
        <w:outlineLvl w:val="1"/>
        <w:rPr>
          <w:rFonts w:hint="default" w:ascii="Times New Roman" w:hAnsi="Times New Roman" w:eastAsia="宋体" w:cs="Times New Roman"/>
          <w:b/>
          <w:sz w:val="28"/>
          <w:lang w:val="en-US" w:eastAsia="zh-CN"/>
        </w:rPr>
      </w:pPr>
    </w:p>
    <w:p w14:paraId="48E149AA">
      <w:pPr>
        <w:rPr>
          <w:rFonts w:ascii="Times New Roman" w:hAnsi="Times New Roman" w:eastAsia="宋体" w:cs="Times New Roman"/>
          <w:b/>
          <w:sz w:val="28"/>
        </w:rPr>
      </w:pPr>
      <w:r>
        <w:rPr>
          <w:rFonts w:ascii="Times New Roman" w:hAnsi="Times New Roman" w:eastAsia="宋体" w:cs="Times New Roman"/>
          <w:b/>
          <w:sz w:val="28"/>
        </w:rPr>
        <w:br w:type="page"/>
      </w:r>
    </w:p>
    <w:p w14:paraId="4C3DA75F">
      <w:pPr>
        <w:numPr>
          <w:ilvl w:val="0"/>
          <w:numId w:val="1"/>
        </w:numPr>
        <w:tabs>
          <w:tab w:val="left" w:pos="360"/>
          <w:tab w:val="clear" w:pos="312"/>
        </w:tabs>
        <w:spacing w:line="360" w:lineRule="auto"/>
        <w:ind w:left="0" w:leftChars="0" w:firstLine="0" w:firstLineChars="0"/>
        <w:outlineLvl w:val="1"/>
        <w:rPr>
          <w:rFonts w:hint="eastAsia" w:ascii="Times New Roman" w:hAnsi="Times New Roman" w:eastAsia="宋体" w:cs="Times New Roman"/>
          <w:b/>
          <w:sz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sz w:val="28"/>
          <w:lang w:val="en-US" w:eastAsia="zh-CN"/>
        </w:rPr>
        <w:t>患者获益</w:t>
      </w:r>
    </w:p>
    <w:tbl>
      <w:tblPr>
        <w:tblStyle w:val="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522"/>
      </w:tblGrid>
      <w:tr w14:paraId="667532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B6E3C7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交通补助：200元/次的交通补助（根据流程图访视时间），按照实际访视次数支付费用，完成试验预计1800元。</w:t>
            </w:r>
          </w:p>
        </w:tc>
      </w:tr>
      <w:tr w14:paraId="13ED6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6B8AC5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误工损失补助：按实际完成访视次数计算，补助标准为200 元/次（初筛期、导入期、随机、滴定期、稳定治疗期V5、撤药期），完成试验预计1200元。</w:t>
            </w:r>
          </w:p>
        </w:tc>
      </w:tr>
      <w:tr w14:paraId="527AE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850F2C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PK采血补助： 按实际采血次数支付，标准为300元/次。</w:t>
            </w:r>
          </w:p>
          <w:p w14:paraId="0AAFFA27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完成稀疏PK采血预计2400元（V2：3个采血点、V5：2个采血点、V7：3个采血点）。</w:t>
            </w:r>
          </w:p>
          <w:p w14:paraId="1AB4BD06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完成密集PK采血预计3300元（V2：3个采血点、V5：5个采血点、V7：3个采血点）。</w:t>
            </w:r>
          </w:p>
        </w:tc>
      </w:tr>
      <w:tr w14:paraId="67674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7E96F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安慰剂组专项补助：仅适用于试验揭盲后确认的安慰剂组受试者，且需在其完成全部研究流程的前提下发放一次性1000元，未完成全程或非安慰剂组的受试者不享受此项补助。</w:t>
            </w:r>
          </w:p>
        </w:tc>
      </w:tr>
    </w:tbl>
    <w:p w14:paraId="71A6787A">
      <w:pPr>
        <w:spacing w:line="360" w:lineRule="auto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 w:val="0"/>
          <w:sz w:val="24"/>
          <w:szCs w:val="24"/>
          <w:lang w:val="en-US" w:eastAsia="zh-CN"/>
        </w:rPr>
        <w:t>发放流程：</w:t>
      </w: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按所在医院的流程，通常是每个访视完成后申请本访视的补助，发放时限需要跟所在医院的医生或者医生助理沟通确认。</w:t>
      </w:r>
    </w:p>
    <w:p w14:paraId="158FBD63">
      <w:pPr>
        <w:spacing w:line="360" w:lineRule="auto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完成所有访视，参加稀疏采血的患者补助为5400元，参加密集采血的患者为6300元。若揭盲后确认分配时是安慰剂组，可以再发1000元补助。（需要完成所有随访才能发放。）</w:t>
      </w:r>
    </w:p>
    <w:p w14:paraId="3C70B2F3">
      <w:pPr>
        <w:spacing w:line="360" w:lineRule="auto"/>
        <w:rPr>
          <w:rFonts w:hint="default" w:ascii="Times New Roman" w:hAnsi="Times New Roman" w:eastAsia="宋体" w:cs="Times New Roman"/>
          <w:bCs/>
          <w:sz w:val="24"/>
          <w:szCs w:val="24"/>
          <w:lang w:val="en-US" w:eastAsia="zh-CN"/>
        </w:rPr>
      </w:pPr>
    </w:p>
    <w:p w14:paraId="5214C2C6">
      <w:pPr>
        <w:numPr>
          <w:ilvl w:val="0"/>
          <w:numId w:val="1"/>
        </w:numPr>
        <w:tabs>
          <w:tab w:val="left" w:pos="360"/>
          <w:tab w:val="clear" w:pos="312"/>
        </w:tabs>
        <w:spacing w:line="360" w:lineRule="auto"/>
        <w:ind w:left="0" w:leftChars="0" w:firstLine="0" w:firstLineChars="0"/>
        <w:outlineLvl w:val="1"/>
        <w:rPr>
          <w:rFonts w:hint="eastAsia" w:ascii="Times New Roman" w:hAnsi="Times New Roman" w:eastAsia="宋体" w:cs="Times New Roman"/>
          <w:b/>
          <w:sz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sz w:val="28"/>
          <w:lang w:val="en-US" w:eastAsia="zh-CN"/>
        </w:rPr>
        <w:t>研究周期</w:t>
      </w:r>
    </w:p>
    <w:p w14:paraId="08827D5D">
      <w:pPr>
        <w:numPr>
          <w:ilvl w:val="0"/>
          <w:numId w:val="0"/>
        </w:numPr>
        <w:tabs>
          <w:tab w:val="left" w:pos="360"/>
        </w:tabs>
        <w:spacing w:line="360" w:lineRule="auto"/>
        <w:ind w:leftChars="0"/>
        <w:outlineLvl w:val="1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筛选期1周（来院1次）+导入期1周（来院1-2次）+治疗期13周（第1周，第5周，第9周，第12周，第13周各来院1次）+随访期4周（来院1次）</w:t>
      </w:r>
    </w:p>
    <w:p w14:paraId="1FBE2D40">
      <w:pPr>
        <w:numPr>
          <w:ilvl w:val="0"/>
          <w:numId w:val="0"/>
        </w:numPr>
        <w:tabs>
          <w:tab w:val="left" w:pos="360"/>
        </w:tabs>
        <w:spacing w:line="360" w:lineRule="auto"/>
        <w:ind w:leftChars="0"/>
        <w:outlineLvl w:val="1"/>
        <w:rPr>
          <w:rFonts w:hint="eastAsia" w:ascii="Times New Roman" w:hAnsi="Times New Roman" w:eastAsia="宋体" w:cs="Times New Roman"/>
          <w:b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 w:val="0"/>
          <w:sz w:val="24"/>
          <w:szCs w:val="24"/>
          <w:lang w:val="en-US" w:eastAsia="zh-CN"/>
        </w:rPr>
        <w:t>一共需要返院8-9次。</w:t>
      </w:r>
    </w:p>
    <w:p w14:paraId="1B15E61B">
      <w:pPr>
        <w:numPr>
          <w:ilvl w:val="0"/>
          <w:numId w:val="0"/>
        </w:numPr>
        <w:tabs>
          <w:tab w:val="left" w:pos="360"/>
        </w:tabs>
        <w:spacing w:line="360" w:lineRule="auto"/>
        <w:ind w:leftChars="0"/>
        <w:outlineLvl w:val="1"/>
        <w:rPr>
          <w:rFonts w:hint="default" w:ascii="Times New Roman" w:hAnsi="Times New Roman" w:eastAsia="宋体" w:cs="Times New Roman"/>
          <w:b/>
          <w:bCs w:val="0"/>
          <w:sz w:val="24"/>
          <w:szCs w:val="24"/>
          <w:lang w:val="en-US" w:eastAsia="zh-CN"/>
        </w:rPr>
      </w:pPr>
    </w:p>
    <w:p w14:paraId="07CBE89C">
      <w:pPr>
        <w:numPr>
          <w:ilvl w:val="0"/>
          <w:numId w:val="1"/>
        </w:numPr>
        <w:tabs>
          <w:tab w:val="left" w:pos="360"/>
          <w:tab w:val="clear" w:pos="312"/>
        </w:tabs>
        <w:spacing w:line="360" w:lineRule="auto"/>
        <w:ind w:left="0" w:leftChars="0" w:firstLine="0" w:firstLineChars="0"/>
        <w:outlineLvl w:val="1"/>
        <w:rPr>
          <w:rFonts w:hint="eastAsia" w:ascii="Times New Roman" w:hAnsi="Times New Roman" w:eastAsia="宋体" w:cs="Times New Roman"/>
          <w:b/>
          <w:sz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sz w:val="28"/>
          <w:lang w:val="en-US" w:eastAsia="zh-CN"/>
        </w:rPr>
        <w:t>药物信息</w:t>
      </w:r>
    </w:p>
    <w:p w14:paraId="594B6D77">
      <w:pPr>
        <w:numPr>
          <w:ilvl w:val="0"/>
          <w:numId w:val="0"/>
        </w:numPr>
        <w:tabs>
          <w:tab w:val="left" w:pos="360"/>
        </w:tabs>
        <w:spacing w:line="360" w:lineRule="auto"/>
        <w:ind w:leftChars="0"/>
        <w:outlineLvl w:val="1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作用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靶点：TRPA1（外周）&amp; 5-HTT、NET（中枢）</w:t>
      </w:r>
    </w:p>
    <w:p w14:paraId="6DE45151">
      <w:pPr>
        <w:numPr>
          <w:ilvl w:val="0"/>
          <w:numId w:val="0"/>
        </w:numPr>
        <w:tabs>
          <w:tab w:val="left" w:pos="360"/>
        </w:tabs>
        <w:spacing w:line="360" w:lineRule="auto"/>
        <w:ind w:leftChars="0"/>
        <w:outlineLvl w:val="1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以度洛西汀（5-羟色胺去甲肾上腺素再摄取抑制剂）为基础，进行新一代治疗纤维肌痛综合征的药物开发。LDS对5-羟色胺和去甲肾上腺素的再摄取抑制活性降低，但可以保留一定的活性，与TRPA1靶点共同起作用发挥三靶点的协同增效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。</w:t>
      </w:r>
    </w:p>
    <w:p w14:paraId="371C5B44">
      <w:pPr>
        <w:numPr>
          <w:ilvl w:val="0"/>
          <w:numId w:val="0"/>
        </w:numPr>
        <w:tabs>
          <w:tab w:val="left" w:pos="360"/>
        </w:tabs>
        <w:spacing w:line="360" w:lineRule="auto"/>
        <w:ind w:leftChars="0"/>
        <w:outlineLvl w:val="1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</w:p>
    <w:p w14:paraId="0CAD62A9">
      <w:pPr>
        <w:numPr>
          <w:ilvl w:val="0"/>
          <w:numId w:val="0"/>
        </w:numPr>
        <w:tabs>
          <w:tab w:val="left" w:pos="360"/>
        </w:tabs>
        <w:spacing w:line="360" w:lineRule="auto"/>
        <w:ind w:leftChars="0"/>
        <w:outlineLvl w:val="1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随机分组：随机分配，分配到LDS片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低剂量组、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LDS片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高剂量组和安慰剂组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几率均为1/3。</w:t>
      </w:r>
    </w:p>
    <w:p w14:paraId="09488EC2">
      <w:pPr>
        <w:numPr>
          <w:ilvl w:val="0"/>
          <w:numId w:val="0"/>
        </w:numPr>
        <w:tabs>
          <w:tab w:val="left" w:pos="360"/>
        </w:tabs>
        <w:spacing w:line="360" w:lineRule="auto"/>
        <w:ind w:leftChars="0"/>
        <w:outlineLvl w:val="1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用药：每天一次口服。每天服用2片或者3片药物。一共服药13周。</w:t>
      </w:r>
    </w:p>
    <w:p w14:paraId="5B370F49">
      <w:pPr>
        <w:numPr>
          <w:ilvl w:val="0"/>
          <w:numId w:val="0"/>
        </w:numPr>
        <w:tabs>
          <w:tab w:val="left" w:pos="360"/>
        </w:tabs>
        <w:spacing w:line="360" w:lineRule="auto"/>
        <w:ind w:leftChars="0"/>
        <w:outlineLvl w:val="1"/>
        <w:rPr>
          <w:rFonts w:hint="default" w:ascii="Times New Roman" w:hAnsi="Times New Roman" w:eastAsia="宋体" w:cs="Times New Roman"/>
          <w:b/>
          <w:sz w:val="28"/>
          <w:lang w:val="en-US" w:eastAsia="zh-CN"/>
        </w:rPr>
      </w:pPr>
    </w:p>
    <w:p w14:paraId="43C99432">
      <w:pPr>
        <w:numPr>
          <w:ilvl w:val="0"/>
          <w:numId w:val="1"/>
        </w:numPr>
        <w:tabs>
          <w:tab w:val="left" w:pos="360"/>
          <w:tab w:val="clear" w:pos="312"/>
        </w:tabs>
        <w:spacing w:line="360" w:lineRule="auto"/>
        <w:ind w:left="0" w:leftChars="0" w:firstLine="0" w:firstLineChars="0"/>
        <w:outlineLvl w:val="1"/>
        <w:rPr>
          <w:rFonts w:ascii="Times New Roman" w:hAnsi="Times New Roman" w:eastAsia="宋体" w:cs="Times New Roman"/>
          <w:b/>
          <w:sz w:val="28"/>
        </w:rPr>
      </w:pPr>
      <w:r>
        <w:rPr>
          <w:rFonts w:hint="eastAsia" w:ascii="Times New Roman" w:hAnsi="Times New Roman" w:eastAsia="宋体" w:cs="Times New Roman"/>
          <w:b/>
          <w:sz w:val="28"/>
          <w:lang w:val="en-US" w:eastAsia="zh-CN"/>
        </w:rPr>
        <w:t>患者要求</w:t>
      </w:r>
    </w:p>
    <w:p w14:paraId="16E5EC5A">
      <w:pPr>
        <w:numPr>
          <w:ilvl w:val="0"/>
          <w:numId w:val="2"/>
        </w:numPr>
        <w:tabs>
          <w:tab w:val="left" w:pos="360"/>
          <w:tab w:val="clear" w:pos="312"/>
        </w:tabs>
        <w:spacing w:line="360" w:lineRule="auto"/>
        <w:ind w:leftChars="0"/>
        <w:outlineLvl w:val="1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提供近期就诊的病历复印件/照片（二甲及以上医院电子门诊病历），最好是近6个月内的，既往的病历有保存的尽可能都提供。</w:t>
      </w:r>
    </w:p>
    <w:p w14:paraId="6F971F03">
      <w:pPr>
        <w:numPr>
          <w:ilvl w:val="0"/>
          <w:numId w:val="2"/>
        </w:numPr>
        <w:tabs>
          <w:tab w:val="left" w:pos="360"/>
          <w:tab w:val="clear" w:pos="312"/>
        </w:tabs>
        <w:spacing w:line="360" w:lineRule="auto"/>
        <w:ind w:leftChars="0"/>
        <w:outlineLvl w:val="1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既往就诊病历需要明确诊断为纤维肌痛。</w:t>
      </w:r>
    </w:p>
    <w:p w14:paraId="1360940D">
      <w:pPr>
        <w:numPr>
          <w:ilvl w:val="0"/>
          <w:numId w:val="2"/>
        </w:numPr>
        <w:tabs>
          <w:tab w:val="left" w:pos="360"/>
          <w:tab w:val="clear" w:pos="312"/>
        </w:tabs>
        <w:spacing w:line="360" w:lineRule="auto"/>
        <w:ind w:leftChars="0"/>
        <w:outlineLvl w:val="1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患者最近3个月内疼痛明显。近期广泛疼痛指数（WPI）≥ 7 分和症状严重程度量表 （SSS）评分≥5分或WPI 4-6分和SSS 评分≥ 9 分。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highlight w:val="yellow"/>
          <w:lang w:val="en-US" w:eastAsia="zh-CN"/>
        </w:rPr>
        <w:t>【能基本问询的可以先问询，也可以到医院面诊的时候再评估】</w:t>
      </w:r>
    </w:p>
    <w:p w14:paraId="79530293">
      <w:pPr>
        <w:numPr>
          <w:ilvl w:val="0"/>
          <w:numId w:val="2"/>
        </w:numPr>
        <w:tabs>
          <w:tab w:val="left" w:pos="360"/>
          <w:tab w:val="clear" w:pos="312"/>
        </w:tabs>
        <w:spacing w:line="360" w:lineRule="auto"/>
        <w:ind w:leftChars="0"/>
        <w:outlineLvl w:val="1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若最近有使用治疗药物（如普瑞巴林、度洛西汀），需要确认末次用药时间，要求知情筛选时至少停药7天。其他的一些治疗药物知情筛选是至少停药21天。</w:t>
      </w:r>
    </w:p>
    <w:p w14:paraId="27A9E66C">
      <w:pPr>
        <w:numPr>
          <w:ilvl w:val="0"/>
          <w:numId w:val="2"/>
        </w:numPr>
        <w:tabs>
          <w:tab w:val="left" w:pos="360"/>
          <w:tab w:val="clear" w:pos="312"/>
        </w:tabs>
        <w:spacing w:line="360" w:lineRule="auto"/>
        <w:ind w:leftChars="0"/>
        <w:outlineLvl w:val="1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合并病史关注：</w:t>
      </w:r>
    </w:p>
    <w:p w14:paraId="77C09617">
      <w:pPr>
        <w:numPr>
          <w:ilvl w:val="0"/>
          <w:numId w:val="0"/>
        </w:numPr>
        <w:tabs>
          <w:tab w:val="left" w:pos="360"/>
        </w:tabs>
        <w:spacing w:line="360" w:lineRule="auto"/>
        <w:outlineLvl w:val="1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无恶性肿瘤史，无重度抑郁，无窄角型青光眼，无其他严重疾病。</w:t>
      </w:r>
    </w:p>
    <w:p w14:paraId="5757D5EB">
      <w:pPr>
        <w:numPr>
          <w:ilvl w:val="0"/>
          <w:numId w:val="0"/>
        </w:numPr>
        <w:tabs>
          <w:tab w:val="left" w:pos="360"/>
        </w:tabs>
        <w:spacing w:line="360" w:lineRule="auto"/>
        <w:outlineLvl w:val="1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若合并其他结缔组织病（如红斑狼疮、类风湿关节炎、硬皮病、皮肌炎、结节性多动脉炎、韦格纳肉芽肿、巨细胞动脉炎及干燥综合征等）或骨关节炎、风湿性多肌痛病情稳定，非主要疼痛来源。</w:t>
      </w:r>
    </w:p>
    <w:p w14:paraId="719B370C">
      <w:pPr>
        <w:numPr>
          <w:ilvl w:val="0"/>
          <w:numId w:val="0"/>
        </w:numPr>
        <w:tabs>
          <w:tab w:val="left" w:pos="360"/>
        </w:tabs>
        <w:spacing w:line="360" w:lineRule="auto"/>
        <w:outlineLvl w:val="1"/>
        <w:rPr>
          <w:rFonts w:hint="default" w:ascii="Times New Roman" w:hAnsi="Times New Roman" w:eastAsia="宋体" w:cs="Times New Roman"/>
          <w:b w:val="0"/>
          <w:bCs/>
          <w:sz w:val="24"/>
          <w:szCs w:val="24"/>
          <w:highlight w:val="yellow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highlight w:val="yellow"/>
          <w:lang w:val="en-US" w:eastAsia="zh-CN"/>
        </w:rPr>
        <w:t>（面诊时研究医生会再问诊确认。）</w:t>
      </w:r>
    </w:p>
    <w:p w14:paraId="1B8F6991">
      <w:pPr>
        <w:numPr>
          <w:ilvl w:val="0"/>
          <w:numId w:val="2"/>
        </w:numPr>
        <w:tabs>
          <w:tab w:val="left" w:pos="360"/>
          <w:tab w:val="clear" w:pos="312"/>
        </w:tabs>
        <w:spacing w:line="360" w:lineRule="auto"/>
        <w:ind w:leftChars="0"/>
        <w:outlineLvl w:val="1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资料审核和面诊流程：</w:t>
      </w:r>
    </w:p>
    <w:p w14:paraId="54A92D20">
      <w:pPr>
        <w:numPr>
          <w:ilvl w:val="0"/>
          <w:numId w:val="0"/>
        </w:numPr>
        <w:tabs>
          <w:tab w:val="left" w:pos="360"/>
        </w:tabs>
        <w:spacing w:line="360" w:lineRule="auto"/>
        <w:outlineLvl w:val="1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病历材料扫成一个PDF文件（可隐去患者信息）发送项目组审核（以微信群形式），审核时间1-2天，审核结果会在群上通知陈璐老师，审核通过后由陈璐老师提供患者联系方式，由参研医院的助理与患者联系确认面诊时间/知情筛选时间。面诊时需要带上病历材料（带到医院的材料不能隐去患者信息），项目助理会复印保存在医院。</w:t>
      </w:r>
    </w:p>
    <w:tbl>
      <w:tblPr>
        <w:tblStyle w:val="3"/>
        <w:tblW w:w="83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44"/>
        <w:gridCol w:w="5500"/>
        <w:gridCol w:w="1840"/>
      </w:tblGrid>
      <w:tr w14:paraId="1BCD5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044" w:type="dxa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2598264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18"/>
                <w:szCs w:val="18"/>
              </w:rPr>
              <w:t>药物分类</w:t>
            </w:r>
          </w:p>
        </w:tc>
        <w:tc>
          <w:tcPr>
            <w:tcW w:w="5500" w:type="dxa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64BDA8A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18"/>
                <w:szCs w:val="18"/>
              </w:rPr>
              <w:t>常见代表药物</w:t>
            </w:r>
          </w:p>
        </w:tc>
        <w:tc>
          <w:tcPr>
            <w:tcW w:w="1840" w:type="dxa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598605C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18"/>
                <w:szCs w:val="18"/>
                <w:lang w:val="en-US" w:eastAsia="zh-CN"/>
              </w:rPr>
              <w:t>知情筛选时</w:t>
            </w:r>
          </w:p>
          <w:p w14:paraId="77FCF6F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18"/>
                <w:szCs w:val="18"/>
                <w:lang w:val="en-US" w:eastAsia="zh-CN"/>
              </w:rPr>
              <w:t>停药时间要求</w:t>
            </w:r>
          </w:p>
        </w:tc>
      </w:tr>
      <w:tr w14:paraId="1C361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44" w:type="dxa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4F1D62B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三环类抗抑郁药（TCAs）</w:t>
            </w:r>
          </w:p>
        </w:tc>
        <w:tc>
          <w:tcPr>
            <w:tcW w:w="5500" w:type="dxa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2A4A0A4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阿米替林、丙咪嗪、去甲替林、氯米帕明</w:t>
            </w:r>
          </w:p>
        </w:tc>
        <w:tc>
          <w:tcPr>
            <w:tcW w:w="1840" w:type="dxa"/>
            <w:vMerge w:val="restart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5F95196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  <w:lang w:val="en-US" w:eastAsia="zh-CN"/>
              </w:rPr>
              <w:t>除普瑞巴林、度洛西汀、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单胺氧化酶抑制剂（MAOIs）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  <w:lang w:val="en-US" w:eastAsia="zh-CN"/>
              </w:rPr>
              <w:t>停药7天及以上，其他的药物要求停药21天及以上</w:t>
            </w:r>
          </w:p>
        </w:tc>
      </w:tr>
      <w:tr w14:paraId="794BA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44" w:type="dxa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7A125A81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5 - 羟色胺类抗抑郁药</w:t>
            </w:r>
          </w:p>
        </w:tc>
        <w:tc>
          <w:tcPr>
            <w:tcW w:w="5500" w:type="dxa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1F80042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1. SSRI 类：舍曲林、氟西汀、帕罗西汀、西酞普兰、氟伏沙明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2. SNRI 类：度洛西汀、文拉法辛、米那普仑</w:t>
            </w:r>
          </w:p>
        </w:tc>
        <w:tc>
          <w:tcPr>
            <w:tcW w:w="1840" w:type="dxa"/>
            <w:vMerge w:val="continue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0BA124A1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</w:pPr>
          </w:p>
        </w:tc>
      </w:tr>
      <w:tr w14:paraId="08A3F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44" w:type="dxa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266CA1A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单胺氧化酶抑制剂（MAOIs）</w:t>
            </w:r>
          </w:p>
        </w:tc>
        <w:tc>
          <w:tcPr>
            <w:tcW w:w="5500" w:type="dxa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4AA68D5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  <w:highlight w:val="green"/>
              </w:rPr>
              <w:t>苯乙肼、司来吉兰、反苯环丙胺、吗氯贝胺</w:t>
            </w:r>
          </w:p>
        </w:tc>
        <w:tc>
          <w:tcPr>
            <w:tcW w:w="1840" w:type="dxa"/>
            <w:vMerge w:val="continue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3E395DA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  <w:highlight w:val="green"/>
              </w:rPr>
            </w:pPr>
          </w:p>
        </w:tc>
      </w:tr>
      <w:tr w14:paraId="636A1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44" w:type="dxa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2987725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抗惊厥药</w:t>
            </w:r>
          </w:p>
        </w:tc>
        <w:tc>
          <w:tcPr>
            <w:tcW w:w="5500" w:type="dxa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0049E73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  <w:highlight w:val="green"/>
              </w:rPr>
              <w:t>普瑞巴林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、加巴喷丁</w:t>
            </w:r>
          </w:p>
        </w:tc>
        <w:tc>
          <w:tcPr>
            <w:tcW w:w="1840" w:type="dxa"/>
            <w:vMerge w:val="continue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357C6AA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  <w:highlight w:val="green"/>
              </w:rPr>
            </w:pPr>
          </w:p>
        </w:tc>
      </w:tr>
      <w:tr w14:paraId="0AD12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44" w:type="dxa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2FF6EE93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阿片类镇痛药</w:t>
            </w:r>
          </w:p>
        </w:tc>
        <w:tc>
          <w:tcPr>
            <w:tcW w:w="5500" w:type="dxa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580A5673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吗啡、羟考酮、芬太尼、氢可酮、美沙酮</w:t>
            </w:r>
          </w:p>
        </w:tc>
        <w:tc>
          <w:tcPr>
            <w:tcW w:w="1840" w:type="dxa"/>
            <w:vMerge w:val="continue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4869F881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</w:pPr>
          </w:p>
        </w:tc>
      </w:tr>
      <w:tr w14:paraId="3ADF5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44" w:type="dxa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5C35E00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非甾体类抗炎药</w:t>
            </w:r>
          </w:p>
        </w:tc>
        <w:tc>
          <w:tcPr>
            <w:tcW w:w="5500" w:type="dxa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7193842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布洛芬、萘普生、双氯芬酸、吲哚美辛、大剂量阿司匹林（每日＞300mg）、对乙酰氨基酚、氟比洛芬、酮洛芬、洛索洛芬钠、塞来昔布、依托考昔、帕瑞昔布钠、伐地昔布</w:t>
            </w:r>
          </w:p>
        </w:tc>
        <w:tc>
          <w:tcPr>
            <w:tcW w:w="1840" w:type="dxa"/>
            <w:vMerge w:val="continue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5722944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</w:pPr>
          </w:p>
        </w:tc>
      </w:tr>
      <w:tr w14:paraId="72EF1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44" w:type="dxa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7723F04A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镇静药</w:t>
            </w:r>
          </w:p>
        </w:tc>
        <w:tc>
          <w:tcPr>
            <w:tcW w:w="5500" w:type="dxa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7F0F524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唑吡坦、佐匹克隆</w:t>
            </w:r>
          </w:p>
        </w:tc>
        <w:tc>
          <w:tcPr>
            <w:tcW w:w="1840" w:type="dxa"/>
            <w:vMerge w:val="continue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00FF064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</w:pPr>
          </w:p>
        </w:tc>
      </w:tr>
      <w:tr w14:paraId="5BAC1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44" w:type="dxa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57FD396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5 - 羟色胺受体拮抗剂</w:t>
            </w:r>
          </w:p>
        </w:tc>
        <w:tc>
          <w:tcPr>
            <w:tcW w:w="5500" w:type="dxa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2FBBAC5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托烷司琼、昂丹司琼、格拉司琼、帕洛诺司琼、阿瑞匹坦</w:t>
            </w:r>
          </w:p>
        </w:tc>
        <w:tc>
          <w:tcPr>
            <w:tcW w:w="1840" w:type="dxa"/>
            <w:vMerge w:val="continue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12482E6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</w:pPr>
          </w:p>
        </w:tc>
      </w:tr>
      <w:tr w14:paraId="47B29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44" w:type="dxa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7833F18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CYP2D6 代谢的药物（禁用类药物）</w:t>
            </w:r>
          </w:p>
        </w:tc>
        <w:tc>
          <w:tcPr>
            <w:tcW w:w="5500" w:type="dxa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3E03337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1.抗抑郁药：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  <w:highlight w:val="green"/>
              </w:rPr>
              <w:t>度洛西汀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、文拉法辛、阿米替林、丙咪嗪、去甲替林、氯米帕明、米氮平、阿莫沙平。</w:t>
            </w:r>
          </w:p>
          <w:p w14:paraId="28A06B1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2.阿片类镇痛药：羟考酮、氢可酮、可待因、曲马多。</w:t>
            </w:r>
          </w:p>
          <w:p w14:paraId="414F1A5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3.抗精神病药：利培酮、氟哌啶醇、硫利达嗪、阿立哌唑。</w:t>
            </w:r>
          </w:p>
          <w:p w14:paraId="1641215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4.心血管系统药物：β 受体阻滞剂：美托洛尔； 抗心律失常药：普罗帕酮。</w:t>
            </w:r>
          </w:p>
          <w:p w14:paraId="2EC5008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5.其他：托特罗定、右美沙芬</w:t>
            </w:r>
          </w:p>
        </w:tc>
        <w:tc>
          <w:tcPr>
            <w:tcW w:w="1840" w:type="dxa"/>
            <w:vMerge w:val="continue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08F6F59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</w:pPr>
          </w:p>
        </w:tc>
      </w:tr>
      <w:tr w14:paraId="66C7F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44" w:type="dxa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52C8B2C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CYP2D6 代谢的药物（慎用类药物）</w:t>
            </w:r>
          </w:p>
        </w:tc>
        <w:tc>
          <w:tcPr>
            <w:tcW w:w="5500" w:type="dxa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22D08D7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心血管系统药物：β 受体阻滞剂：比索洛尔、卡维地洛。</w:t>
            </w:r>
          </w:p>
        </w:tc>
        <w:tc>
          <w:tcPr>
            <w:tcW w:w="1840" w:type="dxa"/>
            <w:vMerge w:val="continue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3FFB8A3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</w:pPr>
          </w:p>
        </w:tc>
      </w:tr>
      <w:tr w14:paraId="65B82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44" w:type="dxa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5EEE699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CYP2D6 强效抑制剂</w:t>
            </w:r>
          </w:p>
        </w:tc>
        <w:tc>
          <w:tcPr>
            <w:tcW w:w="5500" w:type="dxa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4866CC8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1. 抗抑郁药：帕罗西汀、氟西汀、舍曲林、氯米帕明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2. 抗心律失常药：奎尼丁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3. 抗真菌药：特比萘芬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4. 其他：利托那韦</w:t>
            </w:r>
          </w:p>
        </w:tc>
        <w:tc>
          <w:tcPr>
            <w:tcW w:w="1840" w:type="dxa"/>
            <w:vMerge w:val="continue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7B45620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</w:pPr>
          </w:p>
        </w:tc>
      </w:tr>
      <w:tr w14:paraId="27047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44" w:type="dxa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77FDFB71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CYP2D6 强效诱导剂</w:t>
            </w:r>
          </w:p>
        </w:tc>
        <w:tc>
          <w:tcPr>
            <w:tcW w:w="5500" w:type="dxa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659EDE43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1. 抗结核药：利福平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2. 抗癫痫药：苯妥英钠、卡马西平、苯巴比妥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3. 其他：圣约翰草提取物</w:t>
            </w:r>
          </w:p>
        </w:tc>
        <w:tc>
          <w:tcPr>
            <w:tcW w:w="1840" w:type="dxa"/>
            <w:vMerge w:val="continue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145D33D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</w:pPr>
          </w:p>
        </w:tc>
      </w:tr>
      <w:tr w14:paraId="26439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44" w:type="dxa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795CA94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CYP3A4 强效抑制剂</w:t>
            </w:r>
          </w:p>
        </w:tc>
        <w:tc>
          <w:tcPr>
            <w:tcW w:w="5500" w:type="dxa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50B2D6B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1. 抗真菌药：伊曲康唑、酮康唑、伏立康唑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2. 大环内酯类抗生素：克拉霉素、红霉素、泰利霉素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3. 抗 HIV 药（蛋白酶抑制剂）：利托那韦、洛匹那韦、印地那韦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4. 钙通道阻滞剂：地尔硫䓬、维拉帕米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5. 其他：葡萄柚汁（食物，含呋喃香豆素类）、西咪替丁（H2 受体拮抗剂）</w:t>
            </w:r>
          </w:p>
        </w:tc>
        <w:tc>
          <w:tcPr>
            <w:tcW w:w="1840" w:type="dxa"/>
            <w:vMerge w:val="continue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6B7B5E3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</w:pPr>
          </w:p>
        </w:tc>
      </w:tr>
      <w:tr w14:paraId="13F1E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44" w:type="dxa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6EE5EB6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CYP3A4 强效诱导剂</w:t>
            </w:r>
          </w:p>
        </w:tc>
        <w:tc>
          <w:tcPr>
            <w:tcW w:w="5500" w:type="dxa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3BF7758A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1. 抗结核药：利福平、利福布汀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2. 抗癫痫药：苯巴比妥、苯妥英钠、卡马西平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3. 糖皮质激素：地塞米松（长期大剂量）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  <w:t>4. 其他：圣约翰草提取物（草药）、依法韦仑</w:t>
            </w:r>
          </w:p>
        </w:tc>
        <w:tc>
          <w:tcPr>
            <w:tcW w:w="1840" w:type="dxa"/>
            <w:vMerge w:val="continue"/>
            <w:shd w:val="clear" w:color="auto" w:fill="auto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2D30928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</w:rPr>
            </w:pPr>
          </w:p>
        </w:tc>
      </w:tr>
    </w:tbl>
    <w:p w14:paraId="64B2EDDE">
      <w:pPr>
        <w:widowControl w:val="0"/>
        <w:numPr>
          <w:ilvl w:val="0"/>
          <w:numId w:val="0"/>
        </w:numPr>
        <w:tabs>
          <w:tab w:val="left" w:pos="360"/>
        </w:tabs>
        <w:spacing w:line="360" w:lineRule="auto"/>
        <w:jc w:val="both"/>
        <w:outlineLvl w:val="1"/>
        <w:rPr>
          <w:rFonts w:hint="default" w:ascii="Times New Roman" w:hAnsi="Times New Roman" w:eastAsia="宋体" w:cs="Times New Roman"/>
          <w:b w:val="0"/>
          <w:bCs/>
          <w:sz w:val="28"/>
          <w:lang w:val="en-US" w:eastAsia="zh-CN"/>
        </w:rPr>
      </w:pPr>
    </w:p>
    <w:p w14:paraId="7E05E504">
      <w:pPr>
        <w:numPr>
          <w:ilvl w:val="0"/>
          <w:numId w:val="1"/>
        </w:numPr>
        <w:tabs>
          <w:tab w:val="left" w:pos="360"/>
          <w:tab w:val="clear" w:pos="312"/>
        </w:tabs>
        <w:spacing w:line="360" w:lineRule="auto"/>
        <w:ind w:left="0" w:leftChars="0" w:firstLine="0" w:firstLineChars="0"/>
        <w:outlineLvl w:val="1"/>
        <w:rPr>
          <w:rFonts w:ascii="Times New Roman" w:hAnsi="Times New Roman" w:eastAsia="宋体" w:cs="Times New Roman"/>
          <w:b/>
          <w:sz w:val="28"/>
        </w:rPr>
      </w:pPr>
      <w:r>
        <w:rPr>
          <w:rFonts w:hint="eastAsia" w:ascii="Times New Roman" w:hAnsi="Times New Roman" w:eastAsia="宋体" w:cs="Times New Roman"/>
          <w:b/>
          <w:sz w:val="28"/>
          <w:lang w:val="en-US" w:eastAsia="zh-CN"/>
        </w:rPr>
        <w:t>纳排标准：由参研医院的研究医生最后审核确认。</w:t>
      </w:r>
    </w:p>
    <w:p w14:paraId="499B8CE7">
      <w:pPr>
        <w:numPr>
          <w:ilvl w:val="0"/>
          <w:numId w:val="0"/>
        </w:numPr>
        <w:tabs>
          <w:tab w:val="left" w:pos="360"/>
        </w:tabs>
        <w:spacing w:line="360" w:lineRule="auto"/>
        <w:ind w:leftChars="0"/>
        <w:outlineLvl w:val="1"/>
        <w:rPr>
          <w:rFonts w:ascii="Times New Roman" w:hAnsi="Times New Roman" w:eastAsia="宋体" w:cs="Times New Roman"/>
          <w:b/>
          <w:sz w:val="28"/>
        </w:rPr>
      </w:pPr>
      <w:r>
        <w:rPr>
          <w:rFonts w:ascii="Times New Roman" w:hAnsi="Times New Roman" w:eastAsia="宋体" w:cs="Times New Roman"/>
          <w:b/>
          <w:sz w:val="28"/>
        </w:rPr>
        <w:t>纳入标准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6F7968F6">
      <w:pPr>
        <w:spacing w:line="360" w:lineRule="auto"/>
        <w:ind w:firstLine="480" w:firstLineChars="20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受试者必须符合以下所有标准才能入选本研究。</w:t>
      </w:r>
    </w:p>
    <w:p w14:paraId="1FBC868D">
      <w:pPr>
        <w:pStyle w:val="5"/>
        <w:numPr>
          <w:ilvl w:val="0"/>
          <w:numId w:val="3"/>
        </w:numPr>
        <w:ind w:firstLineChars="0"/>
        <w:rPr>
          <w:rFonts w:ascii="Times New Roman" w:hAnsi="Times New Roman"/>
          <w:bCs/>
          <w:sz w:val="24"/>
          <w:szCs w:val="24"/>
        </w:rPr>
      </w:pPr>
      <w:bookmarkStart w:id="8" w:name="_Hlk206754809"/>
      <w:r>
        <w:rPr>
          <w:rFonts w:hint="eastAsia" w:ascii="Times New Roman" w:hAnsi="Times New Roman"/>
          <w:bCs/>
          <w:sz w:val="24"/>
          <w:szCs w:val="24"/>
        </w:rPr>
        <w:t>同意参加本临床试验并签署知情同意书；</w:t>
      </w:r>
    </w:p>
    <w:p w14:paraId="1E829954">
      <w:pPr>
        <w:pStyle w:val="5"/>
        <w:numPr>
          <w:ilvl w:val="0"/>
          <w:numId w:val="3"/>
        </w:numPr>
        <w:ind w:firstLineChars="0"/>
        <w:rPr>
          <w:rFonts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年龄18周岁至75周岁（含18、75周岁），性别不限；</w:t>
      </w:r>
    </w:p>
    <w:p w14:paraId="1340F7A5">
      <w:pPr>
        <w:pStyle w:val="5"/>
        <w:numPr>
          <w:ilvl w:val="0"/>
          <w:numId w:val="3"/>
        </w:numPr>
        <w:ind w:firstLineChars="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符合2016年美国风湿病学会纤维肌痛诊断标准，广泛疼痛指数（WPI）≥ 7 分和症状严重程度量表 （SSS）评分≥5分或WPI </w:t>
      </w:r>
      <w:r>
        <w:rPr>
          <w:rFonts w:hint="eastAsia" w:ascii="Times New Roman" w:hAnsi="Times New Roman"/>
          <w:bCs/>
          <w:sz w:val="24"/>
          <w:szCs w:val="24"/>
        </w:rPr>
        <w:t>4</w:t>
      </w:r>
      <w:r>
        <w:rPr>
          <w:rFonts w:ascii="Times New Roman" w:hAnsi="Times New Roman"/>
          <w:bCs/>
          <w:sz w:val="24"/>
          <w:szCs w:val="24"/>
        </w:rPr>
        <w:t>-6分和SSS 评分≥ 9 分，病程﹥3个月者</w:t>
      </w:r>
      <w:r>
        <w:rPr>
          <w:rFonts w:hint="eastAsia" w:ascii="Times New Roman" w:hAnsi="Times New Roman"/>
          <w:bCs/>
          <w:sz w:val="24"/>
          <w:szCs w:val="24"/>
        </w:rPr>
        <w:t>；</w:t>
      </w:r>
    </w:p>
    <w:p w14:paraId="3E693D66">
      <w:pPr>
        <w:pStyle w:val="5"/>
        <w:numPr>
          <w:ilvl w:val="0"/>
          <w:numId w:val="3"/>
        </w:numPr>
        <w:ind w:firstLineChars="0"/>
        <w:rPr>
          <w:rFonts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体重指数（BMI）在18.0~35.0 kg/m</w:t>
      </w:r>
      <w:r>
        <w:rPr>
          <w:rFonts w:ascii="Times New Roman" w:hAnsi="Times New Roman"/>
          <w:bCs/>
          <w:sz w:val="24"/>
          <w:szCs w:val="24"/>
          <w:vertAlign w:val="superscript"/>
        </w:rPr>
        <w:t>2</w:t>
      </w:r>
      <w:r>
        <w:rPr>
          <w:rFonts w:hint="eastAsia" w:ascii="Times New Roman" w:hAnsi="Times New Roman"/>
          <w:bCs/>
          <w:sz w:val="24"/>
          <w:szCs w:val="24"/>
        </w:rPr>
        <w:t>范围内（包括临界值）；</w:t>
      </w:r>
    </w:p>
    <w:p w14:paraId="66653E54">
      <w:pPr>
        <w:pStyle w:val="5"/>
        <w:numPr>
          <w:ilvl w:val="0"/>
          <w:numId w:val="3"/>
        </w:numPr>
        <w:ind w:firstLineChars="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在</w:t>
      </w:r>
      <w:r>
        <w:rPr>
          <w:rFonts w:hint="eastAsia" w:ascii="Times New Roman" w:hAnsi="Times New Roman"/>
          <w:bCs/>
          <w:sz w:val="24"/>
          <w:szCs w:val="24"/>
        </w:rPr>
        <w:t>签署知情同意当天</w:t>
      </w:r>
      <w:r>
        <w:rPr>
          <w:rFonts w:ascii="Times New Roman" w:hAnsi="Times New Roman"/>
          <w:bCs/>
          <w:sz w:val="24"/>
          <w:szCs w:val="24"/>
        </w:rPr>
        <w:t>和随机入组</w:t>
      </w:r>
      <w:r>
        <w:rPr>
          <w:rFonts w:hint="eastAsia" w:ascii="Times New Roman" w:hAnsi="Times New Roman"/>
          <w:bCs/>
          <w:sz w:val="24"/>
          <w:szCs w:val="24"/>
        </w:rPr>
        <w:t>当天</w:t>
      </w:r>
      <w:r>
        <w:rPr>
          <w:rFonts w:ascii="Times New Roman" w:hAnsi="Times New Roman"/>
          <w:bCs/>
          <w:sz w:val="24"/>
          <w:szCs w:val="24"/>
        </w:rPr>
        <w:t>，受试者NRS疼痛评分≥4分；</w:t>
      </w:r>
    </w:p>
    <w:p w14:paraId="55151945">
      <w:pPr>
        <w:pStyle w:val="5"/>
        <w:numPr>
          <w:ilvl w:val="0"/>
          <w:numId w:val="3"/>
        </w:numPr>
        <w:ind w:firstLineChars="0"/>
        <w:rPr>
          <w:rFonts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在导入期（随机入组前的7天）内，受试者必须完成至少4天的日NRS疼痛评分且疼痛评分均值≥4分。</w:t>
      </w:r>
      <w:bookmarkEnd w:id="8"/>
    </w:p>
    <w:p w14:paraId="25775677">
      <w:pPr>
        <w:tabs>
          <w:tab w:val="left" w:pos="360"/>
        </w:tabs>
        <w:spacing w:line="360" w:lineRule="auto"/>
        <w:outlineLvl w:val="1"/>
        <w:rPr>
          <w:rFonts w:ascii="Times New Roman" w:hAnsi="Times New Roman" w:eastAsia="宋体" w:cs="Times New Roman"/>
          <w:b/>
          <w:sz w:val="28"/>
        </w:rPr>
      </w:pPr>
      <w:bookmarkStart w:id="9" w:name="_Toc523756371"/>
      <w:bookmarkStart w:id="10" w:name="_Toc372211830"/>
      <w:bookmarkStart w:id="11" w:name="_Toc522710020"/>
      <w:bookmarkStart w:id="12" w:name="_Toc336257867"/>
      <w:bookmarkStart w:id="13" w:name="_Toc472410087"/>
      <w:bookmarkStart w:id="14" w:name="_Toc24104077"/>
      <w:bookmarkStart w:id="15" w:name="_Toc522710359"/>
      <w:bookmarkStart w:id="16" w:name="_Toc449368427"/>
      <w:bookmarkStart w:id="17" w:name="_Toc333841036"/>
      <w:bookmarkStart w:id="18" w:name="_Toc215077135"/>
      <w:bookmarkStart w:id="19" w:name="_Toc434568060"/>
      <w:bookmarkStart w:id="20" w:name="_Toc432576929"/>
      <w:bookmarkStart w:id="21" w:name="_Toc410466513"/>
      <w:bookmarkStart w:id="22" w:name="_Toc340050136"/>
      <w:bookmarkStart w:id="23" w:name="_Toc451434249"/>
      <w:r>
        <w:rPr>
          <w:rFonts w:ascii="Times New Roman" w:hAnsi="Times New Roman" w:eastAsia="宋体" w:cs="Times New Roman"/>
          <w:b/>
          <w:sz w:val="28"/>
        </w:rPr>
        <w:t>排除标准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r>
        <w:rPr>
          <w:rFonts w:ascii="Times New Roman" w:hAnsi="Times New Roman" w:eastAsia="宋体" w:cs="Times New Roman"/>
          <w:b/>
          <w:sz w:val="28"/>
        </w:rPr>
        <w:t xml:space="preserve"> </w:t>
      </w:r>
    </w:p>
    <w:p w14:paraId="6E3CEA5F">
      <w:pPr>
        <w:spacing w:line="360" w:lineRule="auto"/>
        <w:ind w:firstLine="480" w:firstLineChars="20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符合以下任一标准的受试者将不得参与本研究。</w:t>
      </w:r>
    </w:p>
    <w:p w14:paraId="31F821DE">
      <w:pPr>
        <w:pStyle w:val="5"/>
        <w:numPr>
          <w:ilvl w:val="0"/>
          <w:numId w:val="4"/>
        </w:numPr>
        <w:ind w:firstLineChars="0"/>
        <w:rPr>
          <w:rFonts w:ascii="Times New Roman" w:hAnsi="Times New Roman"/>
          <w:sz w:val="24"/>
          <w:szCs w:val="21"/>
        </w:rPr>
      </w:pPr>
      <w:bookmarkStart w:id="24" w:name="_Hlk206754973"/>
      <w:r>
        <w:rPr>
          <w:rFonts w:hint="eastAsia" w:ascii="Times New Roman" w:hAnsi="Times New Roman"/>
          <w:sz w:val="24"/>
          <w:szCs w:val="21"/>
        </w:rPr>
        <w:t>已知或怀疑对试验用药及其辅料有过敏史或严重不良反应，或已知对度洛西汀及其辅料有既往过敏史者；</w:t>
      </w:r>
    </w:p>
    <w:p w14:paraId="17381618">
      <w:pPr>
        <w:pStyle w:val="5"/>
        <w:numPr>
          <w:ilvl w:val="0"/>
          <w:numId w:val="4"/>
        </w:numPr>
        <w:ind w:firstLineChars="0"/>
        <w:rPr>
          <w:rFonts w:ascii="Times New Roman" w:hAnsi="Times New Roman"/>
          <w:sz w:val="24"/>
          <w:szCs w:val="21"/>
        </w:rPr>
      </w:pPr>
      <w:r>
        <w:rPr>
          <w:rFonts w:hint="eastAsia" w:ascii="Times New Roman" w:hAnsi="Times New Roman"/>
          <w:sz w:val="24"/>
          <w:szCs w:val="21"/>
        </w:rPr>
        <w:t>存在除纤维肌痛外的其他可能影响疼痛自我评估的合并症，如带状疱疹后神经痛、糖尿病周围神经病变等，以及活动性感染或未经治疗或控制不佳的内分泌疾病（如甲状腺功能亢进</w:t>
      </w:r>
      <w:r>
        <w:rPr>
          <w:rFonts w:ascii="Times New Roman" w:hAnsi="Times New Roman"/>
          <w:sz w:val="24"/>
          <w:szCs w:val="21"/>
        </w:rPr>
        <w:t>/</w:t>
      </w:r>
      <w:r>
        <w:rPr>
          <w:rFonts w:hint="eastAsia" w:ascii="Times New Roman" w:hAnsi="Times New Roman"/>
          <w:sz w:val="24"/>
          <w:szCs w:val="21"/>
        </w:rPr>
        <w:t>减退、糖尿病血糖控制不佳等）；</w:t>
      </w:r>
    </w:p>
    <w:p w14:paraId="6CA2A2E3">
      <w:pPr>
        <w:pStyle w:val="5"/>
        <w:numPr>
          <w:ilvl w:val="0"/>
          <w:numId w:val="4"/>
        </w:numPr>
        <w:ind w:firstLineChars="0"/>
        <w:rPr>
          <w:rFonts w:ascii="Times New Roman" w:hAnsi="Times New Roman"/>
          <w:sz w:val="24"/>
          <w:szCs w:val="21"/>
        </w:rPr>
      </w:pPr>
      <w:r>
        <w:rPr>
          <w:rFonts w:hint="eastAsia" w:ascii="Times New Roman" w:hAnsi="Times New Roman"/>
          <w:sz w:val="24"/>
          <w:szCs w:val="21"/>
        </w:rPr>
        <w:t>存在除纤维肌痛外的其他结缔组织病（如红斑狼疮、类风湿关节炎、硬皮病、皮肌炎、结节性多动脉炎、韦格纳肉芽肿、巨细胞动脉炎及干燥综合征等）或骨关节炎、风湿性多肌痛等且为主要疼痛来源者；</w:t>
      </w:r>
    </w:p>
    <w:p w14:paraId="391D5F32">
      <w:pPr>
        <w:pStyle w:val="5"/>
        <w:numPr>
          <w:ilvl w:val="0"/>
          <w:numId w:val="4"/>
        </w:numPr>
        <w:ind w:firstLineChars="0"/>
        <w:rPr>
          <w:rFonts w:ascii="Times New Roman" w:hAnsi="Times New Roman"/>
          <w:sz w:val="24"/>
          <w:szCs w:val="21"/>
        </w:rPr>
      </w:pPr>
      <w:r>
        <w:rPr>
          <w:rFonts w:hint="eastAsia" w:ascii="Times New Roman" w:hAnsi="Times New Roman"/>
          <w:sz w:val="24"/>
          <w:szCs w:val="21"/>
        </w:rPr>
        <w:t>存在重度认知障碍（</w:t>
      </w:r>
      <w:r>
        <w:rPr>
          <w:rFonts w:ascii="Times New Roman" w:hAnsi="Times New Roman"/>
          <w:sz w:val="24"/>
          <w:szCs w:val="21"/>
        </w:rPr>
        <w:t xml:space="preserve">MMSE </w:t>
      </w:r>
      <w:r>
        <w:rPr>
          <w:rFonts w:hint="eastAsia" w:ascii="Times New Roman" w:hAnsi="Times New Roman"/>
          <w:sz w:val="24"/>
          <w:szCs w:val="21"/>
        </w:rPr>
        <w:t>评分≤</w:t>
      </w:r>
      <w:r>
        <w:rPr>
          <w:rFonts w:ascii="Times New Roman" w:hAnsi="Times New Roman"/>
          <w:sz w:val="24"/>
          <w:szCs w:val="21"/>
        </w:rPr>
        <w:t xml:space="preserve">9 </w:t>
      </w:r>
      <w:r>
        <w:rPr>
          <w:rFonts w:hint="eastAsia" w:ascii="Times New Roman" w:hAnsi="Times New Roman"/>
          <w:sz w:val="24"/>
          <w:szCs w:val="21"/>
        </w:rPr>
        <w:t>分）、重度抑郁（</w:t>
      </w:r>
      <w:r>
        <w:rPr>
          <w:rFonts w:ascii="Times New Roman" w:hAnsi="Times New Roman"/>
          <w:sz w:val="24"/>
          <w:szCs w:val="21"/>
        </w:rPr>
        <w:t xml:space="preserve">PHQ-9 </w:t>
      </w:r>
      <w:r>
        <w:rPr>
          <w:rFonts w:hint="eastAsia" w:ascii="Times New Roman" w:hAnsi="Times New Roman"/>
          <w:sz w:val="24"/>
          <w:szCs w:val="21"/>
        </w:rPr>
        <w:t>评分≥</w:t>
      </w:r>
      <w:r>
        <w:rPr>
          <w:rFonts w:ascii="Times New Roman" w:hAnsi="Times New Roman"/>
          <w:sz w:val="24"/>
          <w:szCs w:val="21"/>
        </w:rPr>
        <w:t xml:space="preserve">20 </w:t>
      </w:r>
      <w:r>
        <w:rPr>
          <w:rFonts w:hint="eastAsia" w:ascii="Times New Roman" w:hAnsi="Times New Roman"/>
          <w:sz w:val="24"/>
          <w:szCs w:val="21"/>
        </w:rPr>
        <w:t>分）、精神分裂症、双相情感障碍；或经研究者评估可能影响疼痛评分可靠性者、可能会影响受试者对纤维肌痛的评价或完成日</w:t>
      </w:r>
      <w:r>
        <w:rPr>
          <w:rFonts w:ascii="Times New Roman" w:hAnsi="Times New Roman"/>
          <w:sz w:val="24"/>
          <w:szCs w:val="21"/>
        </w:rPr>
        <w:t>NRS</w:t>
      </w:r>
      <w:r>
        <w:rPr>
          <w:rFonts w:hint="eastAsia" w:ascii="Times New Roman" w:hAnsi="Times New Roman"/>
          <w:sz w:val="24"/>
          <w:szCs w:val="21"/>
        </w:rPr>
        <w:t>疼痛、睡眠日记；或因该类疾病而无法合作或不愿合作者，或有自杀倾向者（评分表详见附件</w:t>
      </w:r>
      <w:r>
        <w:rPr>
          <w:rFonts w:ascii="Times New Roman" w:hAnsi="Times New Roman"/>
          <w:sz w:val="24"/>
          <w:szCs w:val="21"/>
        </w:rPr>
        <w:t>3</w:t>
      </w:r>
      <w:r>
        <w:rPr>
          <w:rFonts w:hint="eastAsia" w:ascii="Times New Roman" w:hAnsi="Times New Roman"/>
          <w:sz w:val="24"/>
          <w:szCs w:val="21"/>
        </w:rPr>
        <w:t>）；</w:t>
      </w:r>
    </w:p>
    <w:p w14:paraId="6023767B">
      <w:pPr>
        <w:pStyle w:val="5"/>
        <w:numPr>
          <w:ilvl w:val="0"/>
          <w:numId w:val="4"/>
        </w:numPr>
        <w:ind w:firstLineChars="0"/>
        <w:rPr>
          <w:rFonts w:ascii="Times New Roman" w:hAnsi="Times New Roman"/>
          <w:sz w:val="24"/>
          <w:szCs w:val="21"/>
        </w:rPr>
      </w:pPr>
      <w:r>
        <w:rPr>
          <w:rFonts w:hint="eastAsia" w:ascii="Times New Roman" w:hAnsi="Times New Roman"/>
          <w:sz w:val="24"/>
          <w:szCs w:val="21"/>
        </w:rPr>
        <w:t>未经治疗的窄角型青光眼患者；</w:t>
      </w:r>
    </w:p>
    <w:p w14:paraId="4B852FAA">
      <w:pPr>
        <w:pStyle w:val="5"/>
        <w:numPr>
          <w:ilvl w:val="0"/>
          <w:numId w:val="4"/>
        </w:numPr>
        <w:ind w:firstLineChars="0"/>
        <w:rPr>
          <w:rFonts w:ascii="Times New Roman" w:hAnsi="Times New Roman"/>
          <w:sz w:val="24"/>
          <w:szCs w:val="21"/>
        </w:rPr>
      </w:pPr>
      <w:r>
        <w:rPr>
          <w:rFonts w:hint="eastAsia" w:ascii="Times New Roman" w:hAnsi="Times New Roman"/>
          <w:sz w:val="24"/>
          <w:szCs w:val="21"/>
        </w:rPr>
        <w:t>与签署知情同意书当天比较，随机当天的数字疼痛评定量表（</w:t>
      </w:r>
      <w:r>
        <w:rPr>
          <w:rFonts w:ascii="Times New Roman" w:hAnsi="Times New Roman"/>
          <w:sz w:val="24"/>
          <w:szCs w:val="21"/>
        </w:rPr>
        <w:t>NRS</w:t>
      </w:r>
      <w:r>
        <w:rPr>
          <w:rFonts w:hint="eastAsia" w:ascii="Times New Roman" w:hAnsi="Times New Roman"/>
          <w:sz w:val="24"/>
          <w:szCs w:val="21"/>
        </w:rPr>
        <w:t>）评分下降≥</w:t>
      </w:r>
      <w:r>
        <w:rPr>
          <w:rFonts w:ascii="Times New Roman" w:hAnsi="Times New Roman"/>
          <w:sz w:val="24"/>
          <w:szCs w:val="21"/>
        </w:rPr>
        <w:t>30%</w:t>
      </w:r>
      <w:r>
        <w:rPr>
          <w:rFonts w:hint="eastAsia" w:ascii="Times New Roman" w:hAnsi="Times New Roman"/>
          <w:sz w:val="24"/>
          <w:szCs w:val="21"/>
        </w:rPr>
        <w:t>；</w:t>
      </w:r>
    </w:p>
    <w:p w14:paraId="4F826493">
      <w:pPr>
        <w:pStyle w:val="5"/>
        <w:numPr>
          <w:ilvl w:val="0"/>
          <w:numId w:val="4"/>
        </w:numPr>
        <w:ind w:firstLineChars="0"/>
        <w:rPr>
          <w:rFonts w:ascii="Times New Roman" w:hAnsi="Times New Roman"/>
          <w:sz w:val="24"/>
          <w:szCs w:val="21"/>
        </w:rPr>
      </w:pPr>
      <w:r>
        <w:rPr>
          <w:rFonts w:hint="eastAsia" w:ascii="Times New Roman" w:hAnsi="Times New Roman"/>
          <w:sz w:val="24"/>
          <w:szCs w:val="21"/>
        </w:rPr>
        <w:t>合并吞咽困难或者不能耐受口服药物者；</w:t>
      </w:r>
    </w:p>
    <w:p w14:paraId="585930BF">
      <w:pPr>
        <w:pStyle w:val="5"/>
        <w:numPr>
          <w:ilvl w:val="0"/>
          <w:numId w:val="4"/>
        </w:numPr>
        <w:ind w:firstLineChars="0"/>
        <w:rPr>
          <w:rFonts w:ascii="Times New Roman" w:hAnsi="Times New Roman"/>
          <w:sz w:val="24"/>
          <w:szCs w:val="21"/>
        </w:rPr>
      </w:pPr>
      <w:r>
        <w:rPr>
          <w:rFonts w:hint="eastAsia" w:ascii="Times New Roman" w:hAnsi="Times New Roman"/>
          <w:sz w:val="24"/>
          <w:szCs w:val="21"/>
        </w:rPr>
        <w:t>入组前</w:t>
      </w:r>
      <w:r>
        <w:rPr>
          <w:rFonts w:ascii="Times New Roman" w:hAnsi="Times New Roman"/>
          <w:sz w:val="24"/>
          <w:szCs w:val="21"/>
        </w:rPr>
        <w:t xml:space="preserve">6 </w:t>
      </w:r>
      <w:r>
        <w:rPr>
          <w:rFonts w:hint="eastAsia" w:ascii="Times New Roman" w:hAnsi="Times New Roman"/>
          <w:sz w:val="24"/>
          <w:szCs w:val="21"/>
        </w:rPr>
        <w:t>个月内有活动性胃肠道疾病（包括任何胃肠道手术史）的患者，并经研究者判断上述疾病或手术可能干扰研究药物的吸收；</w:t>
      </w:r>
    </w:p>
    <w:p w14:paraId="70AFE4F4">
      <w:pPr>
        <w:pStyle w:val="5"/>
        <w:numPr>
          <w:ilvl w:val="0"/>
          <w:numId w:val="4"/>
        </w:numPr>
        <w:ind w:firstLineChars="0"/>
        <w:rPr>
          <w:rFonts w:ascii="Times New Roman" w:hAnsi="Times New Roman"/>
          <w:sz w:val="24"/>
          <w:szCs w:val="21"/>
        </w:rPr>
      </w:pPr>
      <w:r>
        <w:rPr>
          <w:rFonts w:ascii="Times New Roman" w:hAnsi="Times New Roman"/>
          <w:sz w:val="24"/>
          <w:szCs w:val="21"/>
        </w:rPr>
        <w:t>WBC</w:t>
      </w:r>
      <w:r>
        <w:rPr>
          <w:rFonts w:hint="eastAsia" w:ascii="Times New Roman" w:hAnsi="Times New Roman"/>
          <w:sz w:val="24"/>
          <w:szCs w:val="21"/>
        </w:rPr>
        <w:t>＜</w:t>
      </w:r>
      <w:r>
        <w:rPr>
          <w:rFonts w:ascii="Times New Roman" w:hAnsi="Times New Roman"/>
          <w:sz w:val="24"/>
          <w:szCs w:val="21"/>
        </w:rPr>
        <w:t>3</w:t>
      </w:r>
      <w:r>
        <w:rPr>
          <w:rFonts w:hint="eastAsia" w:ascii="Times New Roman" w:hAnsi="Times New Roman"/>
          <w:sz w:val="24"/>
          <w:szCs w:val="21"/>
        </w:rPr>
        <w:t>×</w:t>
      </w:r>
      <w:r>
        <w:rPr>
          <w:rFonts w:ascii="Times New Roman" w:hAnsi="Times New Roman"/>
          <w:sz w:val="24"/>
          <w:szCs w:val="21"/>
        </w:rPr>
        <w:t>10</w:t>
      </w:r>
      <w:r>
        <w:rPr>
          <w:rFonts w:ascii="Times New Roman" w:hAnsi="Times New Roman"/>
          <w:sz w:val="24"/>
          <w:szCs w:val="21"/>
          <w:vertAlign w:val="superscript"/>
        </w:rPr>
        <w:t>9</w:t>
      </w:r>
      <w:r>
        <w:rPr>
          <w:rFonts w:ascii="Times New Roman" w:hAnsi="Times New Roman"/>
          <w:sz w:val="24"/>
          <w:szCs w:val="21"/>
        </w:rPr>
        <w:t>/L</w:t>
      </w:r>
      <w:r>
        <w:rPr>
          <w:rFonts w:hint="eastAsia" w:ascii="Times New Roman" w:hAnsi="Times New Roman"/>
          <w:sz w:val="24"/>
          <w:szCs w:val="21"/>
        </w:rPr>
        <w:t>；中性粒细胞计数＜</w:t>
      </w:r>
      <w:r>
        <w:rPr>
          <w:rFonts w:ascii="Times New Roman" w:hAnsi="Times New Roman"/>
          <w:sz w:val="24"/>
          <w:szCs w:val="21"/>
        </w:rPr>
        <w:t>1.5</w:t>
      </w:r>
      <w:r>
        <w:rPr>
          <w:rFonts w:hint="eastAsia" w:ascii="Times New Roman" w:hAnsi="Times New Roman"/>
          <w:sz w:val="24"/>
          <w:szCs w:val="21"/>
        </w:rPr>
        <w:t>×</w:t>
      </w:r>
      <w:r>
        <w:rPr>
          <w:rFonts w:ascii="Times New Roman" w:hAnsi="Times New Roman"/>
          <w:sz w:val="24"/>
          <w:szCs w:val="21"/>
        </w:rPr>
        <w:t>10</w:t>
      </w:r>
      <w:r>
        <w:rPr>
          <w:rFonts w:ascii="Times New Roman" w:hAnsi="Times New Roman"/>
          <w:sz w:val="24"/>
          <w:szCs w:val="21"/>
          <w:vertAlign w:val="superscript"/>
        </w:rPr>
        <w:t>9</w:t>
      </w:r>
      <w:r>
        <w:rPr>
          <w:rFonts w:ascii="Times New Roman" w:hAnsi="Times New Roman"/>
          <w:sz w:val="24"/>
          <w:szCs w:val="21"/>
        </w:rPr>
        <w:t>/L</w:t>
      </w:r>
      <w:r>
        <w:rPr>
          <w:rFonts w:hint="eastAsia" w:ascii="Times New Roman" w:hAnsi="Times New Roman"/>
          <w:sz w:val="24"/>
          <w:szCs w:val="21"/>
        </w:rPr>
        <w:t>；血小板计数＜</w:t>
      </w:r>
      <w:r>
        <w:rPr>
          <w:rFonts w:ascii="Times New Roman" w:hAnsi="Times New Roman"/>
          <w:sz w:val="24"/>
          <w:szCs w:val="21"/>
        </w:rPr>
        <w:t>100</w:t>
      </w:r>
      <w:r>
        <w:rPr>
          <w:rFonts w:hint="eastAsia" w:ascii="Times New Roman" w:hAnsi="Times New Roman"/>
          <w:sz w:val="24"/>
          <w:szCs w:val="21"/>
        </w:rPr>
        <w:t>×</w:t>
      </w:r>
      <w:r>
        <w:rPr>
          <w:rFonts w:ascii="Times New Roman" w:hAnsi="Times New Roman"/>
          <w:sz w:val="24"/>
          <w:szCs w:val="21"/>
        </w:rPr>
        <w:t>10</w:t>
      </w:r>
      <w:r>
        <w:rPr>
          <w:rFonts w:ascii="Times New Roman" w:hAnsi="Times New Roman"/>
          <w:sz w:val="24"/>
          <w:szCs w:val="21"/>
          <w:vertAlign w:val="superscript"/>
        </w:rPr>
        <w:t>9</w:t>
      </w:r>
      <w:r>
        <w:rPr>
          <w:rFonts w:ascii="Times New Roman" w:hAnsi="Times New Roman"/>
          <w:sz w:val="24"/>
          <w:szCs w:val="21"/>
        </w:rPr>
        <w:t>/L</w:t>
      </w:r>
      <w:r>
        <w:rPr>
          <w:rFonts w:hint="eastAsia" w:ascii="Times New Roman" w:hAnsi="Times New Roman"/>
          <w:sz w:val="24"/>
          <w:szCs w:val="21"/>
        </w:rPr>
        <w:t>；</w:t>
      </w:r>
      <w:r>
        <w:rPr>
          <w:rFonts w:ascii="Times New Roman" w:hAnsi="Times New Roman"/>
          <w:sz w:val="24"/>
          <w:szCs w:val="21"/>
        </w:rPr>
        <w:t>HGB</w:t>
      </w:r>
      <w:r>
        <w:rPr>
          <w:rFonts w:hint="eastAsia" w:ascii="Times New Roman" w:hAnsi="Times New Roman"/>
          <w:sz w:val="24"/>
          <w:szCs w:val="21"/>
        </w:rPr>
        <w:t>＜</w:t>
      </w:r>
      <w:r>
        <w:rPr>
          <w:rFonts w:ascii="Times New Roman" w:hAnsi="Times New Roman"/>
          <w:sz w:val="24"/>
          <w:szCs w:val="21"/>
        </w:rPr>
        <w:t>90 g/L</w:t>
      </w:r>
      <w:r>
        <w:rPr>
          <w:rFonts w:hint="eastAsia" w:ascii="Times New Roman" w:hAnsi="Times New Roman"/>
          <w:sz w:val="24"/>
          <w:szCs w:val="21"/>
        </w:rPr>
        <w:t>；</w:t>
      </w:r>
    </w:p>
    <w:p w14:paraId="26EF4F1E">
      <w:pPr>
        <w:pStyle w:val="5"/>
        <w:numPr>
          <w:ilvl w:val="0"/>
          <w:numId w:val="4"/>
        </w:numPr>
        <w:ind w:firstLineChars="0"/>
        <w:rPr>
          <w:rFonts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sz w:val="24"/>
          <w:szCs w:val="21"/>
        </w:rPr>
        <w:t>合并严重肝肾疾病，或肝肾功能检查异常（</w:t>
      </w:r>
      <w:r>
        <w:rPr>
          <w:rFonts w:ascii="Times New Roman" w:hAnsi="Times New Roman"/>
          <w:sz w:val="24"/>
          <w:szCs w:val="21"/>
        </w:rPr>
        <w:t>ALT</w:t>
      </w:r>
      <w:r>
        <w:rPr>
          <w:rFonts w:hint="eastAsia" w:ascii="Times New Roman" w:hAnsi="Times New Roman"/>
          <w:sz w:val="24"/>
          <w:szCs w:val="21"/>
        </w:rPr>
        <w:t>、</w:t>
      </w:r>
      <w:r>
        <w:rPr>
          <w:rFonts w:ascii="Times New Roman" w:hAnsi="Times New Roman"/>
          <w:sz w:val="24"/>
          <w:szCs w:val="21"/>
        </w:rPr>
        <w:t>AST</w:t>
      </w:r>
      <w:r>
        <w:rPr>
          <w:rFonts w:hint="eastAsia" w:ascii="Times New Roman" w:hAnsi="Times New Roman"/>
          <w:sz w:val="24"/>
          <w:szCs w:val="21"/>
        </w:rPr>
        <w:t>≥正常上限</w:t>
      </w:r>
      <w:r>
        <w:rPr>
          <w:rFonts w:ascii="Times New Roman" w:hAnsi="Times New Roman"/>
          <w:sz w:val="24"/>
          <w:szCs w:val="21"/>
        </w:rPr>
        <w:t>2</w:t>
      </w:r>
      <w:r>
        <w:rPr>
          <w:rFonts w:hint="eastAsia" w:ascii="Times New Roman" w:hAnsi="Times New Roman"/>
          <w:sz w:val="24"/>
          <w:szCs w:val="21"/>
        </w:rPr>
        <w:t>倍，血清肌酐清除率≤</w:t>
      </w:r>
      <w:r>
        <w:rPr>
          <w:rFonts w:ascii="Times New Roman" w:hAnsi="Times New Roman"/>
          <w:sz w:val="24"/>
          <w:szCs w:val="21"/>
        </w:rPr>
        <w:t>60ml/min</w:t>
      </w:r>
      <w:r>
        <w:rPr>
          <w:rFonts w:hint="eastAsia" w:ascii="Times New Roman" w:hAnsi="Times New Roman"/>
          <w:sz w:val="24"/>
          <w:szCs w:val="21"/>
        </w:rPr>
        <w:t>）；</w:t>
      </w:r>
    </w:p>
    <w:p w14:paraId="45BAE9B8">
      <w:pPr>
        <w:pStyle w:val="5"/>
        <w:numPr>
          <w:ilvl w:val="0"/>
          <w:numId w:val="4"/>
        </w:numPr>
        <w:ind w:firstLineChars="0"/>
        <w:rPr>
          <w:rFonts w:ascii="Times New Roman" w:hAnsi="Times New Roman"/>
          <w:sz w:val="24"/>
          <w:szCs w:val="21"/>
        </w:rPr>
      </w:pPr>
      <w:r>
        <w:rPr>
          <w:rFonts w:hint="eastAsia" w:ascii="Times New Roman" w:hAnsi="Times New Roman"/>
          <w:sz w:val="24"/>
          <w:szCs w:val="21"/>
        </w:rPr>
        <w:t>合并严重心脑血管疾病（如</w:t>
      </w:r>
      <w:r>
        <w:rPr>
          <w:rFonts w:ascii="Times New Roman" w:hAnsi="Times New Roman"/>
          <w:sz w:val="24"/>
          <w:szCs w:val="21"/>
        </w:rPr>
        <w:t>NYHA</w:t>
      </w:r>
      <w:r>
        <w:rPr>
          <w:rFonts w:hint="eastAsia" w:ascii="Times New Roman" w:hAnsi="Times New Roman"/>
          <w:sz w:val="24"/>
          <w:szCs w:val="21"/>
        </w:rPr>
        <w:t>心功能分级为Ⅲ</w:t>
      </w:r>
      <w:r>
        <w:rPr>
          <w:rFonts w:ascii="Times New Roman" w:hAnsi="Times New Roman"/>
          <w:sz w:val="24"/>
          <w:szCs w:val="21"/>
        </w:rPr>
        <w:t>-</w:t>
      </w:r>
      <w:r>
        <w:rPr>
          <w:rFonts w:hint="eastAsia" w:ascii="Times New Roman" w:hAnsi="Times New Roman"/>
          <w:sz w:val="24"/>
          <w:szCs w:val="21"/>
        </w:rPr>
        <w:t>Ⅳ级的充血性心力衰竭、心肌梗死、急性脑卒中等）；</w:t>
      </w:r>
    </w:p>
    <w:p w14:paraId="2EA51E0C">
      <w:pPr>
        <w:pStyle w:val="5"/>
        <w:numPr>
          <w:ilvl w:val="0"/>
          <w:numId w:val="4"/>
        </w:numPr>
        <w:ind w:firstLineChars="0"/>
        <w:rPr>
          <w:rFonts w:ascii="Times New Roman" w:hAnsi="Times New Roman"/>
          <w:sz w:val="24"/>
          <w:szCs w:val="21"/>
        </w:rPr>
      </w:pPr>
      <w:r>
        <w:rPr>
          <w:rFonts w:hint="eastAsia" w:ascii="Times New Roman" w:hAnsi="Times New Roman"/>
          <w:sz w:val="24"/>
          <w:szCs w:val="21"/>
        </w:rPr>
        <w:t>合并自身免疫性疾病，恶性肿瘤，严重呼吸系统、血液和造血系统疾病；</w:t>
      </w:r>
    </w:p>
    <w:p w14:paraId="0F7E82E9">
      <w:pPr>
        <w:pStyle w:val="5"/>
        <w:numPr>
          <w:ilvl w:val="0"/>
          <w:numId w:val="4"/>
        </w:numPr>
        <w:ind w:firstLineChars="0"/>
        <w:rPr>
          <w:rFonts w:ascii="Times New Roman" w:hAnsi="Times New Roman"/>
          <w:sz w:val="24"/>
          <w:szCs w:val="21"/>
        </w:rPr>
      </w:pPr>
      <w:r>
        <w:rPr>
          <w:rFonts w:hint="eastAsia" w:ascii="Times New Roman" w:hAnsi="Times New Roman"/>
          <w:sz w:val="24"/>
          <w:szCs w:val="21"/>
        </w:rPr>
        <w:t>怀疑或确有酒精、药物滥用或依赖倾向者（酗酒定义为每日规律饮用酒精超过以下标准量：啤酒</w:t>
      </w:r>
      <w:r>
        <w:rPr>
          <w:rFonts w:ascii="Times New Roman" w:hAnsi="Times New Roman"/>
          <w:sz w:val="24"/>
          <w:szCs w:val="21"/>
        </w:rPr>
        <w:t>720ml</w:t>
      </w:r>
      <w:r>
        <w:rPr>
          <w:rFonts w:hint="eastAsia" w:ascii="Times New Roman" w:hAnsi="Times New Roman"/>
          <w:sz w:val="24"/>
          <w:szCs w:val="21"/>
        </w:rPr>
        <w:t>，红酒</w:t>
      </w:r>
      <w:r>
        <w:rPr>
          <w:rFonts w:ascii="Times New Roman" w:hAnsi="Times New Roman"/>
          <w:sz w:val="24"/>
          <w:szCs w:val="21"/>
        </w:rPr>
        <w:t>300ml</w:t>
      </w:r>
      <w:r>
        <w:rPr>
          <w:rFonts w:hint="eastAsia" w:ascii="Times New Roman" w:hAnsi="Times New Roman"/>
          <w:sz w:val="24"/>
          <w:szCs w:val="21"/>
        </w:rPr>
        <w:t>或白酒</w:t>
      </w:r>
      <w:r>
        <w:rPr>
          <w:rFonts w:ascii="Times New Roman" w:hAnsi="Times New Roman"/>
          <w:sz w:val="24"/>
          <w:szCs w:val="21"/>
        </w:rPr>
        <w:t>90ml</w:t>
      </w:r>
      <w:r>
        <w:rPr>
          <w:rFonts w:hint="eastAsia" w:ascii="Times New Roman" w:hAnsi="Times New Roman"/>
          <w:sz w:val="24"/>
          <w:szCs w:val="21"/>
        </w:rPr>
        <w:t>，各约含酒精</w:t>
      </w:r>
      <w:r>
        <w:rPr>
          <w:rFonts w:ascii="Times New Roman" w:hAnsi="Times New Roman"/>
          <w:sz w:val="24"/>
          <w:szCs w:val="21"/>
        </w:rPr>
        <w:t>20g</w:t>
      </w:r>
      <w:r>
        <w:rPr>
          <w:rFonts w:hint="eastAsia" w:ascii="Times New Roman" w:hAnsi="Times New Roman"/>
          <w:sz w:val="24"/>
          <w:szCs w:val="21"/>
        </w:rPr>
        <w:t>；药物滥用指使用违禁药物）；</w:t>
      </w:r>
    </w:p>
    <w:p w14:paraId="0370E23D">
      <w:pPr>
        <w:pStyle w:val="5"/>
        <w:numPr>
          <w:ilvl w:val="0"/>
          <w:numId w:val="4"/>
        </w:numPr>
        <w:ind w:firstLineChars="0"/>
        <w:rPr>
          <w:rFonts w:ascii="Times New Roman" w:hAnsi="Times New Roman"/>
          <w:sz w:val="24"/>
          <w:szCs w:val="21"/>
        </w:rPr>
      </w:pPr>
      <w:r>
        <w:rPr>
          <w:rFonts w:hint="eastAsia" w:ascii="Times New Roman" w:hAnsi="Times New Roman"/>
          <w:sz w:val="24"/>
          <w:szCs w:val="21"/>
        </w:rPr>
        <w:t>重度吸烟者（如每天吸烟超过</w:t>
      </w:r>
      <w:r>
        <w:rPr>
          <w:rFonts w:ascii="Times New Roman" w:hAnsi="Times New Roman"/>
          <w:sz w:val="24"/>
          <w:szCs w:val="21"/>
        </w:rPr>
        <w:t>20</w:t>
      </w:r>
      <w:r>
        <w:rPr>
          <w:rFonts w:hint="eastAsia" w:ascii="Times New Roman" w:hAnsi="Times New Roman"/>
          <w:sz w:val="24"/>
          <w:szCs w:val="21"/>
        </w:rPr>
        <w:t>支）；</w:t>
      </w:r>
    </w:p>
    <w:p w14:paraId="1CA3FD7A">
      <w:pPr>
        <w:pStyle w:val="5"/>
        <w:numPr>
          <w:ilvl w:val="0"/>
          <w:numId w:val="4"/>
        </w:numPr>
        <w:ind w:firstLineChars="0"/>
        <w:rPr>
          <w:rFonts w:ascii="Times New Roman" w:hAnsi="Times New Roman"/>
          <w:sz w:val="24"/>
          <w:szCs w:val="21"/>
        </w:rPr>
      </w:pPr>
      <w:r>
        <w:rPr>
          <w:rFonts w:hint="eastAsia" w:ascii="Times New Roman" w:hAnsi="Times New Roman"/>
          <w:sz w:val="24"/>
          <w:szCs w:val="21"/>
        </w:rPr>
        <w:t>入组前</w:t>
      </w:r>
      <w:r>
        <w:rPr>
          <w:rFonts w:ascii="Times New Roman" w:hAnsi="Times New Roman"/>
          <w:sz w:val="24"/>
          <w:szCs w:val="21"/>
        </w:rPr>
        <w:t>14</w:t>
      </w:r>
      <w:r>
        <w:rPr>
          <w:rFonts w:hint="eastAsia" w:ascii="Times New Roman" w:hAnsi="Times New Roman"/>
          <w:sz w:val="24"/>
          <w:szCs w:val="21"/>
        </w:rPr>
        <w:t>天内使用过单胺氧化酶抑制剂（如苯乙肼、异烟肼、异唑肼、异丙肼、苯环丙胺、丙炔苯丙胺、灰黄霉素、呋喃唑酮、甲基苄肼等）者；</w:t>
      </w:r>
    </w:p>
    <w:p w14:paraId="5A3FF774">
      <w:pPr>
        <w:pStyle w:val="5"/>
        <w:numPr>
          <w:ilvl w:val="0"/>
          <w:numId w:val="4"/>
        </w:numPr>
        <w:ind w:firstLineChars="0"/>
        <w:rPr>
          <w:rFonts w:ascii="Times New Roman" w:hAnsi="Times New Roman"/>
          <w:sz w:val="24"/>
          <w:szCs w:val="21"/>
        </w:rPr>
      </w:pPr>
      <w:r>
        <w:rPr>
          <w:rFonts w:hint="eastAsia" w:ascii="Times New Roman" w:hAnsi="Times New Roman"/>
          <w:sz w:val="24"/>
          <w:szCs w:val="21"/>
        </w:rPr>
        <w:t>入组前</w:t>
      </w:r>
      <w:r>
        <w:rPr>
          <w:rFonts w:ascii="Times New Roman" w:hAnsi="Times New Roman"/>
          <w:sz w:val="24"/>
          <w:szCs w:val="21"/>
        </w:rPr>
        <w:t xml:space="preserve"> 14 </w:t>
      </w:r>
      <w:r>
        <w:rPr>
          <w:rFonts w:hint="eastAsia" w:ascii="Times New Roman" w:hAnsi="Times New Roman"/>
          <w:sz w:val="24"/>
          <w:szCs w:val="21"/>
        </w:rPr>
        <w:t>天内使用过纤维肌痛治疗药物（如普瑞巴林、度洛西汀等），或停药后未达到</w:t>
      </w:r>
      <w:r>
        <w:rPr>
          <w:rFonts w:ascii="Times New Roman" w:hAnsi="Times New Roman"/>
          <w:sz w:val="24"/>
          <w:szCs w:val="21"/>
        </w:rPr>
        <w:t xml:space="preserve"> 5 </w:t>
      </w:r>
      <w:r>
        <w:rPr>
          <w:rFonts w:hint="eastAsia" w:ascii="Times New Roman" w:hAnsi="Times New Roman"/>
          <w:sz w:val="24"/>
          <w:szCs w:val="21"/>
        </w:rPr>
        <w:t>个半衰期洗脱期者；</w:t>
      </w:r>
    </w:p>
    <w:p w14:paraId="509ACBD2">
      <w:pPr>
        <w:pStyle w:val="5"/>
        <w:numPr>
          <w:ilvl w:val="0"/>
          <w:numId w:val="4"/>
        </w:numPr>
        <w:ind w:firstLineChars="0"/>
        <w:rPr>
          <w:rFonts w:ascii="Times New Roman" w:hAnsi="Times New Roman"/>
          <w:sz w:val="24"/>
          <w:szCs w:val="21"/>
        </w:rPr>
      </w:pPr>
      <w:r>
        <w:rPr>
          <w:rFonts w:hint="eastAsia" w:ascii="Times New Roman" w:hAnsi="Times New Roman"/>
          <w:sz w:val="24"/>
          <w:szCs w:val="21"/>
        </w:rPr>
        <w:t>使用其他禁用药物后缺乏适当洗脱期（至少</w:t>
      </w:r>
      <w:r>
        <w:rPr>
          <w:rFonts w:ascii="Times New Roman" w:hAnsi="Times New Roman"/>
          <w:sz w:val="24"/>
          <w:szCs w:val="21"/>
        </w:rPr>
        <w:t>4</w:t>
      </w:r>
      <w:r>
        <w:rPr>
          <w:rFonts w:hint="eastAsia" w:ascii="Times New Roman" w:hAnsi="Times New Roman"/>
          <w:sz w:val="24"/>
          <w:szCs w:val="21"/>
        </w:rPr>
        <w:t>周或</w:t>
      </w:r>
      <w:r>
        <w:rPr>
          <w:rFonts w:ascii="Times New Roman" w:hAnsi="Times New Roman"/>
          <w:sz w:val="24"/>
          <w:szCs w:val="21"/>
        </w:rPr>
        <w:t>5</w:t>
      </w:r>
      <w:r>
        <w:rPr>
          <w:rFonts w:hint="eastAsia" w:ascii="Times New Roman" w:hAnsi="Times New Roman"/>
          <w:sz w:val="24"/>
          <w:szCs w:val="21"/>
        </w:rPr>
        <w:t>个半衰期，以较长时间者为准），或可能在研究过程中需要使用禁用药物者（禁用药物及洗脱期详见禁用药部分）；</w:t>
      </w:r>
    </w:p>
    <w:p w14:paraId="5D8A1612">
      <w:pPr>
        <w:pStyle w:val="5"/>
        <w:numPr>
          <w:ilvl w:val="0"/>
          <w:numId w:val="4"/>
        </w:numPr>
        <w:ind w:firstLineChars="0"/>
        <w:rPr>
          <w:rFonts w:ascii="Times New Roman" w:hAnsi="Times New Roman"/>
          <w:sz w:val="24"/>
          <w:szCs w:val="21"/>
        </w:rPr>
      </w:pPr>
      <w:r>
        <w:rPr>
          <w:rFonts w:hint="eastAsia" w:ascii="Times New Roman" w:hAnsi="Times New Roman"/>
          <w:sz w:val="24"/>
          <w:szCs w:val="21"/>
        </w:rPr>
        <w:t>妊娠、哺乳期妇女或近期有生育计划者（试验期间及试验结束后</w:t>
      </w:r>
      <w:r>
        <w:rPr>
          <w:rFonts w:ascii="Times New Roman" w:hAnsi="Times New Roman"/>
          <w:sz w:val="24"/>
          <w:szCs w:val="21"/>
        </w:rPr>
        <w:t>6</w:t>
      </w:r>
      <w:r>
        <w:rPr>
          <w:rFonts w:hint="eastAsia" w:ascii="Times New Roman" w:hAnsi="Times New Roman"/>
          <w:sz w:val="24"/>
          <w:szCs w:val="21"/>
        </w:rPr>
        <w:t>个月内）；</w:t>
      </w:r>
    </w:p>
    <w:p w14:paraId="157DA821">
      <w:pPr>
        <w:pStyle w:val="5"/>
        <w:numPr>
          <w:ilvl w:val="0"/>
          <w:numId w:val="4"/>
        </w:numPr>
        <w:ind w:firstLineChars="0"/>
        <w:rPr>
          <w:rFonts w:ascii="Times New Roman" w:hAnsi="Times New Roman"/>
          <w:sz w:val="24"/>
          <w:szCs w:val="21"/>
        </w:rPr>
      </w:pPr>
      <w:r>
        <w:rPr>
          <w:rFonts w:hint="eastAsia" w:ascii="Times New Roman" w:hAnsi="Times New Roman"/>
          <w:sz w:val="24"/>
          <w:szCs w:val="21"/>
        </w:rPr>
        <w:t>入选前</w:t>
      </w:r>
      <w:r>
        <w:rPr>
          <w:rFonts w:ascii="Times New Roman" w:hAnsi="Times New Roman"/>
          <w:sz w:val="24"/>
          <w:szCs w:val="21"/>
        </w:rPr>
        <w:t>3</w:t>
      </w:r>
      <w:r>
        <w:rPr>
          <w:rFonts w:hint="eastAsia" w:ascii="Times New Roman" w:hAnsi="Times New Roman"/>
          <w:sz w:val="24"/>
          <w:szCs w:val="21"/>
        </w:rPr>
        <w:t>个月内参加过其它临床试验者；</w:t>
      </w:r>
    </w:p>
    <w:p w14:paraId="10A7A992">
      <w:pPr>
        <w:pStyle w:val="5"/>
        <w:numPr>
          <w:ilvl w:val="0"/>
          <w:numId w:val="4"/>
        </w:numPr>
        <w:ind w:firstLineChars="0"/>
        <w:rPr>
          <w:rFonts w:ascii="Times New Roman" w:hAnsi="Times New Roman"/>
          <w:sz w:val="24"/>
          <w:szCs w:val="21"/>
        </w:rPr>
      </w:pPr>
      <w:r>
        <w:rPr>
          <w:rFonts w:hint="eastAsia" w:ascii="Times New Roman" w:hAnsi="Times New Roman"/>
          <w:sz w:val="24"/>
          <w:szCs w:val="21"/>
        </w:rPr>
        <w:t>筛选时前</w:t>
      </w:r>
      <w:r>
        <w:rPr>
          <w:rFonts w:ascii="Times New Roman" w:hAnsi="Times New Roman"/>
          <w:sz w:val="24"/>
          <w:szCs w:val="21"/>
        </w:rPr>
        <w:t xml:space="preserve">28 </w:t>
      </w:r>
      <w:r>
        <w:rPr>
          <w:rFonts w:hint="eastAsia" w:ascii="Times New Roman" w:hAnsi="Times New Roman"/>
          <w:sz w:val="24"/>
          <w:szCs w:val="21"/>
        </w:rPr>
        <w:t>天内接受过大型手术或发生严重创伤；</w:t>
      </w:r>
    </w:p>
    <w:p w14:paraId="0B2106A1">
      <w:pPr>
        <w:pStyle w:val="5"/>
        <w:numPr>
          <w:ilvl w:val="0"/>
          <w:numId w:val="4"/>
        </w:numPr>
        <w:ind w:firstLineChars="0"/>
        <w:rPr>
          <w:rFonts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sz w:val="24"/>
          <w:szCs w:val="21"/>
        </w:rPr>
        <w:t>研究者认为不宜参与本试验的其它情况者</w:t>
      </w:r>
      <w:r>
        <w:rPr>
          <w:rFonts w:hint="eastAsia" w:ascii="Times New Roman" w:hAnsi="Times New Roman"/>
          <w:bCs/>
          <w:sz w:val="24"/>
          <w:szCs w:val="24"/>
        </w:rPr>
        <w:t>。</w:t>
      </w:r>
      <w:bookmarkEnd w:id="24"/>
    </w:p>
    <w:p w14:paraId="70F1200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851579"/>
    <w:multiLevelType w:val="multilevel"/>
    <w:tmpl w:val="1E851579"/>
    <w:lvl w:ilvl="0" w:tentative="0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23286517"/>
    <w:multiLevelType w:val="multilevel"/>
    <w:tmpl w:val="23286517"/>
    <w:lvl w:ilvl="0" w:tentative="0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3EAB159B"/>
    <w:multiLevelType w:val="singleLevel"/>
    <w:tmpl w:val="3EAB159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6849BE9"/>
    <w:multiLevelType w:val="singleLevel"/>
    <w:tmpl w:val="66849BE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403C17"/>
    <w:rsid w:val="04A9250C"/>
    <w:rsid w:val="0E587BEA"/>
    <w:rsid w:val="115F57F5"/>
    <w:rsid w:val="11B37874"/>
    <w:rsid w:val="12F925E6"/>
    <w:rsid w:val="13B769F1"/>
    <w:rsid w:val="14347EDB"/>
    <w:rsid w:val="16403C17"/>
    <w:rsid w:val="37A57F02"/>
    <w:rsid w:val="38174ADA"/>
    <w:rsid w:val="40881691"/>
    <w:rsid w:val="40CB28E7"/>
    <w:rsid w:val="487F366E"/>
    <w:rsid w:val="4ECB338C"/>
    <w:rsid w:val="4FEC78E3"/>
    <w:rsid w:val="500B12DF"/>
    <w:rsid w:val="525742B9"/>
    <w:rsid w:val="52BB569C"/>
    <w:rsid w:val="531760C8"/>
    <w:rsid w:val="54412513"/>
    <w:rsid w:val="546D7272"/>
    <w:rsid w:val="56CA2358"/>
    <w:rsid w:val="59471835"/>
    <w:rsid w:val="59A16141"/>
    <w:rsid w:val="5C68219C"/>
    <w:rsid w:val="5CAE3283"/>
    <w:rsid w:val="5E7F70C9"/>
    <w:rsid w:val="602A0F80"/>
    <w:rsid w:val="621A6DD3"/>
    <w:rsid w:val="63EF5C4B"/>
    <w:rsid w:val="686322B8"/>
    <w:rsid w:val="6BC23746"/>
    <w:rsid w:val="71E511AB"/>
    <w:rsid w:val="7A1C2238"/>
    <w:rsid w:val="7BB10350"/>
    <w:rsid w:val="7D6D017E"/>
    <w:rsid w:val="7EAF5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5">
    <w:name w:val="List Paragraph"/>
    <w:basedOn w:val="1"/>
    <w:qFormat/>
    <w:uiPriority w:val="34"/>
    <w:pPr>
      <w:spacing w:line="360" w:lineRule="auto"/>
      <w:ind w:firstLine="420" w:firstLineChars="200"/>
    </w:pPr>
    <w:rPr>
      <w:rFonts w:ascii="Calibri" w:hAnsi="Calibri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3746</Words>
  <Characters>4042</Characters>
  <Lines>0</Lines>
  <Paragraphs>0</Paragraphs>
  <TotalTime>1</TotalTime>
  <ScaleCrop>false</ScaleCrop>
  <LinksUpToDate>false</LinksUpToDate>
  <CharactersWithSpaces>4108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2025-12-26T08:25:00Z</dcterms:created>
  <dc:creator>潘静仪啊</dc:creator>
  <cp:lastModifiedBy>潘静仪啊</cp:lastModifiedBy>
  <dcterms:modified xsi:type="dcterms:W3CDTF">2026-01-13T10:33:35Z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E9B0F2E9BE444754B9B42E7F52DDC597_11</vt:lpwstr>
  </property>
  <property fmtid="{D5CDD505-2E9C-101B-9397-08002B2CF9AE}" pid="4" name="KSOTemplateDocerSaveRecord">
    <vt:lpwstr>eyJoZGlkIjoiNzI1MzljODBiNDliMzEyMzFlZWNlN2EzYjU0N2YzMWEiLCJ1c2VySWQiOiIzODk3MTk2MzcifQ==</vt:lpwstr>
  </property>
</Properties>
</file>