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DF6F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"/>
        </w:rPr>
        <w:t>难治性高血压合并慢性肾功能不全患者的福音</w:t>
      </w:r>
    </w:p>
    <w:p w14:paraId="19F1720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eastAsia" w:ascii="微软雅黑" w:hAnsi="微软雅黑" w:eastAsia="微软雅黑" w:cs="微软雅黑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 xml:space="preserve"> </w:t>
      </w:r>
    </w:p>
    <w:p w14:paraId="2207DC8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由北京安贞医院牵头开展一项全国多中心临床研究，旨在验证一次性射频消融导管系统用于</w:t>
      </w:r>
      <w:r>
        <w:rPr>
          <w:rFonts w:hint="eastAsia" w:ascii="微软雅黑" w:hAnsi="微软雅黑" w:eastAsia="微软雅黑" w:cs="微软雅黑"/>
          <w:b/>
          <w:bCs w:val="0"/>
          <w:kern w:val="2"/>
          <w:sz w:val="24"/>
          <w:szCs w:val="24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"/>
        </w:rPr>
        <w:t>难治性高血压合并慢性肾功能不全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患者的有效性和安全性。</w:t>
      </w:r>
    </w:p>
    <w:p w14:paraId="7511BD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该疗法是一种微创治疗高血压的新技术，现招募</w:t>
      </w:r>
      <w:r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"/>
        </w:rPr>
        <w:t>难治性高血压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患者30名。</w:t>
      </w:r>
    </w:p>
    <w:p w14:paraId="5D10C9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/>
          <w:bCs w:val="0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4"/>
          <w:szCs w:val="24"/>
          <w:highlight w:val="green"/>
          <w:lang w:val="en-US" w:eastAsia="zh-CN" w:bidi="ar"/>
        </w:rPr>
        <w:t>入选条件：</w:t>
      </w:r>
    </w:p>
    <w:p w14:paraId="51919E1E">
      <w:pPr>
        <w:pStyle w:val="4"/>
        <w:widowControl/>
        <w:numPr>
          <w:ilvl w:val="0"/>
          <w:numId w:val="1"/>
        </w:numPr>
        <w:spacing w:before="0" w:beforeAutospacing="1" w:after="0" w:afterAutospacing="1"/>
        <w:ind w:left="420" w:right="0" w:hanging="420"/>
        <w:rPr>
          <w:rFonts w:hint="default" w:ascii="Times New Roman" w:hAnsi="Times New Roman" w:eastAsia="微软雅黑" w:cs="Times New Roman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</w:rPr>
        <w:t>年龄在</w:t>
      </w:r>
      <w:r>
        <w:rPr>
          <w:rFonts w:hint="default" w:ascii="Times New Roman" w:hAnsi="Times New Roman" w:eastAsia="微软雅黑" w:cs="Times New Roman"/>
          <w:color w:val="FF0000"/>
          <w:kern w:val="2"/>
          <w:sz w:val="24"/>
          <w:szCs w:val="24"/>
        </w:rPr>
        <w:t>18-65</w:t>
      </w:r>
      <w:r>
        <w:rPr>
          <w:rFonts w:hint="eastAsia" w:ascii="微软雅黑" w:hAnsi="微软雅黑" w:eastAsia="微软雅黑" w:cs="微软雅黑"/>
          <w:kern w:val="2"/>
          <w:sz w:val="24"/>
          <w:szCs w:val="24"/>
        </w:rPr>
        <w:t>周岁（含</w:t>
      </w:r>
      <w:r>
        <w:rPr>
          <w:rFonts w:hint="default" w:ascii="Times New Roman" w:hAnsi="Times New Roman" w:eastAsia="微软雅黑" w:cs="Times New Roman"/>
          <w:kern w:val="2"/>
          <w:sz w:val="24"/>
          <w:szCs w:val="24"/>
        </w:rPr>
        <w:t>65</w:t>
      </w:r>
      <w:r>
        <w:rPr>
          <w:rFonts w:hint="eastAsia" w:ascii="微软雅黑" w:hAnsi="微软雅黑" w:eastAsia="微软雅黑" w:cs="微软雅黑"/>
          <w:kern w:val="2"/>
          <w:sz w:val="24"/>
          <w:szCs w:val="24"/>
        </w:rPr>
        <w:t>周岁）；</w:t>
      </w:r>
    </w:p>
    <w:p w14:paraId="471A68DF">
      <w:pPr>
        <w:pStyle w:val="4"/>
        <w:widowControl/>
        <w:numPr>
          <w:ilvl w:val="0"/>
          <w:numId w:val="1"/>
        </w:numPr>
        <w:spacing w:before="0" w:beforeAutospacing="1" w:after="0" w:afterAutospacing="1"/>
        <w:ind w:left="420" w:right="0" w:hanging="420"/>
        <w:rPr>
          <w:rFonts w:hint="default" w:ascii="Times New Roman" w:hAnsi="Times New Roman" w:eastAsia="微软雅黑" w:cs="Times New Roman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</w:rPr>
        <w:t>服用</w:t>
      </w:r>
      <w:r>
        <w:rPr>
          <w:rFonts w:hint="default" w:ascii="Times New Roman" w:hAnsi="Times New Roman" w:eastAsia="微软雅黑" w:cs="Times New Roman"/>
          <w:color w:val="FF0000"/>
          <w:kern w:val="2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color w:val="FF0000"/>
          <w:kern w:val="2"/>
          <w:sz w:val="24"/>
          <w:szCs w:val="24"/>
        </w:rPr>
        <w:t>或</w:t>
      </w:r>
      <w:r>
        <w:rPr>
          <w:rFonts w:hint="default" w:ascii="Times New Roman" w:hAnsi="Times New Roman" w:eastAsia="微软雅黑" w:cs="Times New Roman"/>
          <w:color w:val="FF0000"/>
          <w:kern w:val="2"/>
          <w:sz w:val="24"/>
          <w:szCs w:val="24"/>
        </w:rPr>
        <w:t>≥3</w:t>
      </w:r>
      <w:r>
        <w:rPr>
          <w:rFonts w:hint="eastAsia" w:ascii="微软雅黑" w:hAnsi="微软雅黑" w:eastAsia="微软雅黑" w:cs="微软雅黑"/>
          <w:kern w:val="2"/>
          <w:sz w:val="24"/>
          <w:szCs w:val="24"/>
        </w:rPr>
        <w:t>种降压药，血压</w:t>
      </w:r>
      <w:r>
        <w:rPr>
          <w:rFonts w:hint="eastAsia" w:ascii="微软雅黑" w:hAnsi="微软雅黑" w:eastAsia="微软雅黑" w:cs="微软雅黑"/>
          <w:color w:val="FF0000"/>
          <w:kern w:val="2"/>
          <w:sz w:val="24"/>
          <w:szCs w:val="24"/>
        </w:rPr>
        <w:t>仍</w:t>
      </w:r>
      <w:r>
        <w:rPr>
          <w:rFonts w:hint="default" w:ascii="Times New Roman" w:hAnsi="Times New Roman" w:eastAsia="微软雅黑" w:cs="Times New Roman"/>
          <w:kern w:val="2"/>
          <w:sz w:val="24"/>
          <w:szCs w:val="24"/>
        </w:rPr>
        <w:t>≥140</w:t>
      </w:r>
      <w:r>
        <w:rPr>
          <w:rFonts w:hint="eastAsia" w:ascii="微软雅黑" w:hAnsi="微软雅黑" w:eastAsia="微软雅黑" w:cs="微软雅黑"/>
          <w:kern w:val="2"/>
          <w:sz w:val="24"/>
          <w:szCs w:val="24"/>
        </w:rPr>
        <w:t>＜</w:t>
      </w:r>
      <w:r>
        <w:rPr>
          <w:rFonts w:hint="default" w:ascii="Times New Roman" w:hAnsi="Times New Roman" w:eastAsia="微软雅黑" w:cs="Times New Roman"/>
          <w:kern w:val="2"/>
          <w:sz w:val="24"/>
          <w:szCs w:val="24"/>
        </w:rPr>
        <w:t>180</w:t>
      </w:r>
      <w:r>
        <w:rPr>
          <w:rFonts w:hint="eastAsia" w:ascii="微软雅黑" w:hAnsi="微软雅黑" w:eastAsia="微软雅黑" w:cs="微软雅黑"/>
          <w:kern w:val="2"/>
          <w:sz w:val="24"/>
          <w:szCs w:val="24"/>
        </w:rPr>
        <w:t>；</w:t>
      </w:r>
    </w:p>
    <w:p w14:paraId="0542438E">
      <w:pPr>
        <w:pStyle w:val="4"/>
        <w:widowControl/>
        <w:numPr>
          <w:ilvl w:val="0"/>
          <w:numId w:val="1"/>
        </w:numPr>
        <w:spacing w:before="0" w:beforeAutospacing="1" w:after="0" w:afterAutospacing="1"/>
        <w:ind w:left="420" w:right="0" w:hanging="420"/>
        <w:rPr>
          <w:rFonts w:hint="default" w:ascii="Times New Roman" w:hAnsi="Times New Roman" w:eastAsia="微软雅黑" w:cs="Times New Roman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kern w:val="2"/>
          <w:sz w:val="24"/>
          <w:szCs w:val="24"/>
        </w:rPr>
        <w:t>难治性高血压，合并慢性肾功能不全</w:t>
      </w:r>
      <w:r>
        <w:rPr>
          <w:rFonts w:hint="eastAsia" w:ascii="微软雅黑" w:hAnsi="微软雅黑" w:eastAsia="微软雅黑" w:cs="微软雅黑"/>
          <w:color w:val="000000"/>
          <w:kern w:val="2"/>
          <w:sz w:val="24"/>
          <w:szCs w:val="24"/>
        </w:rPr>
        <w:t>（血肌酐升高，</w:t>
      </w:r>
      <w:r>
        <w:rPr>
          <w:rFonts w:hint="default" w:ascii="Times New Roman" w:hAnsi="Times New Roman" w:eastAsia="微软雅黑" w:cs="Times New Roman"/>
          <w:color w:val="000000"/>
          <w:kern w:val="2"/>
          <w:sz w:val="24"/>
          <w:szCs w:val="24"/>
        </w:rPr>
        <w:t>eGFR 20-60 mL/min/1.73m</w:t>
      </w:r>
      <w:r>
        <w:rPr>
          <w:rFonts w:hint="default" w:ascii="Times New Roman" w:hAnsi="Times New Roman" w:eastAsia="微软雅黑" w:cs="Times New Roman"/>
          <w:color w:val="000000"/>
          <w:kern w:val="2"/>
          <w:sz w:val="24"/>
          <w:szCs w:val="24"/>
          <w:vertAlign w:val="superscript"/>
        </w:rPr>
        <w:t>2</w:t>
      </w:r>
      <w:r>
        <w:rPr>
          <w:rFonts w:hint="eastAsia" w:ascii="微软雅黑" w:hAnsi="微软雅黑" w:eastAsia="微软雅黑" w:cs="微软雅黑"/>
          <w:color w:val="000000"/>
          <w:kern w:val="2"/>
          <w:sz w:val="24"/>
          <w:szCs w:val="24"/>
        </w:rPr>
        <w:t>）。</w:t>
      </w:r>
      <w:bookmarkStart w:id="0" w:name="_GoBack"/>
      <w:bookmarkEnd w:id="0"/>
    </w:p>
    <w:p w14:paraId="3B2B42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/>
          <w:bCs w:val="0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4"/>
          <w:szCs w:val="24"/>
          <w:highlight w:val="green"/>
          <w:lang w:val="en-US" w:eastAsia="zh-CN" w:bidi="ar"/>
        </w:rPr>
        <w:t>对患者要求：</w:t>
      </w:r>
    </w:p>
    <w:p w14:paraId="1F8DD707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Cs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>治疗后7天或出院前 、 术后1、3、6、12、24、36个月来院随访；</w:t>
      </w:r>
    </w:p>
    <w:p w14:paraId="5A9B4639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default" w:ascii="Times New Roman" w:hAnsi="Times New Roman" w:eastAsia="微软雅黑" w:cs="Times New Roman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>按要求服药并做好记录。</w:t>
      </w:r>
    </w:p>
    <w:p w14:paraId="71098B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/>
          <w:bCs w:val="0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24"/>
          <w:szCs w:val="24"/>
          <w:highlight w:val="green"/>
          <w:lang w:val="en-US" w:eastAsia="zh-CN" w:bidi="ar"/>
        </w:rPr>
        <w:t>患者获益：</w:t>
      </w:r>
    </w:p>
    <w:p w14:paraId="5F8B60DE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  <w:rPr>
          <w:rFonts w:hint="eastAsia" w:ascii="微软雅黑" w:hAnsi="微软雅黑" w:eastAsia="微软雅黑" w:cs="微软雅黑"/>
          <w:bCs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>项目</w:t>
      </w:r>
      <w:r>
        <w:rPr>
          <w:rFonts w:hint="eastAsia" w:ascii="微软雅黑" w:hAnsi="微软雅黑" w:eastAsia="微软雅黑" w:cs="微软雅黑"/>
          <w:bCs/>
          <w:color w:val="FF0000"/>
          <w:kern w:val="2"/>
          <w:sz w:val="24"/>
          <w:szCs w:val="24"/>
          <w:lang w:val="en-US" w:eastAsia="zh-CN" w:bidi="ar"/>
        </w:rPr>
        <w:t>免费</w:t>
      </w: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>提供试验器械、</w:t>
      </w:r>
      <w:r>
        <w:rPr>
          <w:rFonts w:hint="eastAsia" w:ascii="微软雅黑" w:hAnsi="微软雅黑" w:eastAsia="微软雅黑" w:cs="微软雅黑"/>
          <w:bCs/>
          <w:color w:val="FF0000"/>
          <w:kern w:val="2"/>
          <w:sz w:val="24"/>
          <w:szCs w:val="24"/>
          <w:lang w:val="en-US" w:eastAsia="zh-CN" w:bidi="ar"/>
        </w:rPr>
        <w:t>免费</w:t>
      </w: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>进行相应的检验、检查费用；</w:t>
      </w:r>
    </w:p>
    <w:p w14:paraId="1494A39A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  <w:rPr>
          <w:rFonts w:hint="eastAsia" w:ascii="微软雅黑" w:hAnsi="微软雅黑" w:eastAsia="微软雅黑" w:cs="微软雅黑"/>
          <w:bCs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color w:val="FF0000"/>
          <w:kern w:val="2"/>
          <w:sz w:val="24"/>
          <w:szCs w:val="24"/>
          <w:lang w:val="en-US" w:eastAsia="zh-CN" w:bidi="ar"/>
        </w:rPr>
        <w:t>免费</w:t>
      </w: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>手术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射频消融治疗；</w:t>
      </w:r>
    </w:p>
    <w:p w14:paraId="57A36D6D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/>
        <w:ind w:left="420" w:right="0" w:hanging="420"/>
        <w:jc w:val="both"/>
        <w:rPr>
          <w:rFonts w:hint="eastAsia" w:ascii="微软雅黑" w:hAnsi="微软雅黑" w:eastAsia="微软雅黑" w:cs="微软雅黑"/>
          <w:bCs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>安贞医院专家团队的定期随访、发放相应的交通补助。</w:t>
      </w:r>
    </w:p>
    <w:p w14:paraId="7BD0DEAC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right="0"/>
        <w:jc w:val="both"/>
        <w:rPr>
          <w:rFonts w:hint="eastAsia" w:ascii="微软雅黑" w:hAnsi="微软雅黑" w:eastAsia="微软雅黑" w:cs="微软雅黑"/>
          <w:bCs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kern w:val="2"/>
          <w:sz w:val="24"/>
          <w:szCs w:val="24"/>
          <w:lang w:val="en-US" w:eastAsia="zh-CN" w:bidi="ar"/>
        </w:rPr>
        <w:t xml:space="preserve"> </w:t>
      </w:r>
    </w:p>
    <w:p w14:paraId="73E483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微软雅黑" w:cs="Times New Roman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现场咨询：首都医科大学附属北京安贞医院通州院区高血压中心一区（一号住院楼</w:t>
      </w:r>
      <w:r>
        <w:rPr>
          <w:rFonts w:hint="default" w:ascii="Times New Roman" w:hAnsi="Times New Roman" w:eastAsia="微软雅黑" w:cs="Times New Roman"/>
          <w:kern w:val="2"/>
          <w:sz w:val="24"/>
          <w:szCs w:val="24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层）</w:t>
      </w:r>
    </w:p>
    <w:p w14:paraId="02E52E6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联系人：</w:t>
      </w:r>
    </w:p>
    <w:p w14:paraId="0D2B694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王老师 电话：13810468285</w:t>
      </w:r>
    </w:p>
    <w:p w14:paraId="7A8829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周医生</w:t>
      </w:r>
      <w:r>
        <w:rPr>
          <w:rFonts w:hint="default" w:ascii="Times New Roman" w:hAnsi="Times New Roman" w:eastAsia="微软雅黑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lang w:val="en-US" w:eastAsia="zh-CN" w:bidi="ar"/>
        </w:rPr>
        <w:t>电话：18742568090</w:t>
      </w:r>
    </w:p>
    <w:p w14:paraId="60458A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kern w:val="2"/>
          <w:sz w:val="24"/>
          <w:szCs w:val="24"/>
        </w:rPr>
      </w:pPr>
      <w:r>
        <w:rPr>
          <w:rFonts w:hint="eastAsia" w:ascii="微软雅黑" w:hAnsi="微软雅黑" w:eastAsia="微软雅黑" w:cs="微软雅黑"/>
          <w:bCs/>
          <w:color w:val="FF0000"/>
          <w:kern w:val="2"/>
          <w:sz w:val="28"/>
          <w:szCs w:val="28"/>
          <w:lang w:val="en-US" w:eastAsia="zh-CN" w:bidi="ar"/>
        </w:rPr>
        <w:t>竞争入组，名额有限，有意者可扫描此二维码尽快报名。</w:t>
      </w:r>
    </w:p>
    <w:p w14:paraId="5FCA3D48">
      <w:pPr>
        <w:keepNext w:val="0"/>
        <w:keepLines w:val="0"/>
        <w:widowControl w:val="0"/>
        <w:suppressLineNumbers w:val="0"/>
        <w:spacing w:before="0" w:beforeAutospacing="0" w:after="0" w:afterAutospacing="0" w:line="480" w:lineRule="auto"/>
        <w:ind w:left="0" w:right="0" w:firstLine="435"/>
        <w:jc w:val="right"/>
        <w:rPr>
          <w:rFonts w:hint="default" w:ascii="Times New Roman" w:hAnsi="Times New Roman" w:eastAsia="微软雅黑" w:cs="Times New Roman"/>
          <w:kern w:val="2"/>
          <w:sz w:val="24"/>
          <w:szCs w:val="24"/>
        </w:rPr>
      </w:pPr>
    </w:p>
    <w:p w14:paraId="271A71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8F7CB"/>
    <w:multiLevelType w:val="multilevel"/>
    <w:tmpl w:val="8488F7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930DB5AE"/>
    <w:multiLevelType w:val="multilevel"/>
    <w:tmpl w:val="930DB5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3E090825"/>
    <w:multiLevelType w:val="multilevel"/>
    <w:tmpl w:val="3E0908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14612"/>
    <w:rsid w:val="476E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uiPriority w:val="0"/>
    <w:pPr>
      <w:keepNext w:val="0"/>
      <w:keepLines w:val="0"/>
      <w:widowControl w:val="0"/>
      <w:suppressLineNumbers w:val="0"/>
      <w:spacing w:line="360" w:lineRule="auto"/>
      <w:ind w:left="840" w:hanging="360"/>
      <w:jc w:val="both"/>
    </w:pPr>
    <w:rPr>
      <w:rFonts w:hint="eastAsia" w:ascii="等线" w:hAnsi="等线" w:eastAsia="等线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378</Words>
  <Characters>432</Characters>
  <Lines>0</Lines>
  <Paragraphs>0</Paragraphs>
  <TotalTime>100</TotalTime>
  <ScaleCrop>false</ScaleCrop>
  <LinksUpToDate>false</LinksUpToDate>
  <CharactersWithSpaces>440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2025-12-09T01:06:00Z</dcterms:created>
  <dc:creator>JTZhaoleiYan</dc:creator>
  <cp:lastModifiedBy>沁芳</cp:lastModifiedBy>
  <dcterms:modified xsi:type="dcterms:W3CDTF">2025-12-09T02:50:45Z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eyJoZGlkIjoiMGQyYTA5N2YyZjQ1ODRiZjYyNzgxY2U4YmZmZWFjNTciLCJ1c2VySWQiOiIzNTEyNzI2NTcifQ==</vt:lpwstr>
  </property>
  <property fmtid="{D5CDD505-2E9C-101B-9397-08002B2CF9AE}" pid="4" name="ICV">
    <vt:lpwstr>FED04CFE20F347DB8D0905E21889DF30_12</vt:lpwstr>
  </property>
</Properties>
</file>