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扩散 Transformer 架构研究与技术解读</w:t>
      </w:r>
    </w:p>
    <w:p>
      <w:pPr>
        <w:pStyle w:val="Heading1"/>
      </w:pPr>
      <w:r>
        <w:t>以 DiT 为例</w:t>
      </w:r>
    </w:p>
    <w:p>
      <w:r>
        <w:rPr>
          <w:b/>
        </w:rPr>
        <w:t>研究性质：</w:t>
      </w:r>
      <w:r>
        <w:t xml:space="preserve"> 基于公开论文与官方实现的 DiT 架构研读与技术分析。</w:t>
      </w:r>
    </w:p>
    <w:p>
      <w:pPr>
        <w:pStyle w:val="Heading1"/>
      </w:pPr>
      <w:r>
        <w:t>摘要</w:t>
      </w:r>
    </w:p>
    <w:p>
      <w:r>
        <w:t>扩散 Transformer（Diffusion Transformer，DiT）把 Transformer 引入潜空间图像扩散模型，替代传统的 U-Net 去噪主干。本文围绕“图像怎样变为 Transformer 可处理的序列”“扩散时间步和类别条件怎样进入网络”“模型计算量与生成质量的关系如何被研究”三个问题，梳理 DiT 的设计。为避免把整体生成系统与去噪模型混为一谈，本文区分预训练 VAE、DiT 主干和采样器的职责，并结合官方 PyTorch 实现说明输入、条件和输出的对应关系。最后以 PixArt-α 和 Open-Sora 为参照，讨论从类别条件图像生成走向文本条件图像和视频生成时，架构需要处理的新问题。本文的判断来自已有论文和公开代码，原论文指标均归于原作者。</w:t>
      </w:r>
    </w:p>
    <w:p>
      <w:r>
        <w:rPr>
          <w:b/>
        </w:rPr>
        <w:t>关键词：</w:t>
      </w:r>
      <w:r>
        <w:t xml:space="preserve"> 扩散模型；Transformer；DiT；生成模型架构；技术解读</w:t>
      </w:r>
    </w:p>
    <w:p>
      <w:pPr>
        <w:pStyle w:val="Heading1"/>
      </w:pPr>
      <w:r>
        <w:t>一 研究动机</w:t>
      </w:r>
    </w:p>
    <w:p>
      <w:r>
        <w:t>我选择 DiT 作为学习对象，是因为它回答了一个清晰的架构问题：扩散模型的去噪网络是否必须采用卷积 U-Net？DiT 原作者把潜空间表示切为 patch token，再用 Transformer 处理；这使模型深度、宽度和 token 数量成为可以系统比较的设计变量。[1] 对想理解生成模型的人来说，DiT 既有论文，也有官方实现和权重，适合沿着“研究问题—架构设计—实验结论”追踪作者的思路。[2]</w:t>
      </w:r>
    </w:p>
    <w:p>
      <w:r>
        <w:t>本文以 DiT 原论文和官方实现为主要资料，重点分析架构设计、模块连接及实验结论的含义。涉及的生成质量指标均注明原论文来源；源码分析聚焦公开实现的数据流和关键模块。[1][2]</w:t>
      </w:r>
    </w:p>
    <w:p>
      <w:pPr>
        <w:pStyle w:val="Heading1"/>
      </w:pPr>
      <w:r>
        <w:t>二 从图像到去噪预测</w:t>
      </w:r>
    </w:p>
    <w:p>
      <w:r>
        <w:t>DiT 采用潜空间扩散路线。图像先由预训练 VAE 的编码器压缩为空间尺寸更小的潜变量；扩散模型在潜变量上学习去噪；采样得到潜变量后，再由 VAE 解码器还原图像。[1] 因此，DiT 指的是中间的去噪主干，VAE 和迭代采样过程是完整生成系统的其他部分。</w:t>
      </w:r>
    </w:p>
    <w:p>
      <w:r>
        <w:rPr>
          <w:b/>
        </w:rPr>
        <w:t>架构主线：</w:t>
      </w:r>
      <w:r>
        <w:t xml:space="preserve"> 图像 → VAE 潜变量 → 加噪潜变量 → patch token → DiT blocks → 噪声等预测 → 迭代采样 → VAE 解码图像。</w:t>
      </w:r>
    </w:p>
    <w:p>
      <w:pPr>
        <w:pStyle w:val="Heading2"/>
        <w:pageBreakBefore w:val="0"/>
      </w:pPr>
      <w:r>
        <w:t>一次前向计算中的数据流</w:t>
      </w:r>
    </w:p>
    <w:p>
      <w:r>
        <w:t>以 256×256 图像为例，VAE 可将其压缩成 32×32×4 的潜变量。训练时，先按随机选取的时间步对潜变量加噪；推理时，则从随机噪声潜变量开始。DiT 每次接收的是某一时间步的潜变量张量，而不是原始 RGB 图像。因此，论文中的 2×2 patch 指潜变量网格上的 2×2，并非原图上的 2×2 像素。[1]</w:t>
      </w:r>
    </w:p>
    <w:p>
      <w:r>
        <w:t>随后，</w:t>
      </w:r>
      <w:r>
        <w:rPr>
          <w:rFonts w:ascii="Menlo" w:hAnsi="Menlo"/>
          <w:sz w:val="16"/>
        </w:rPr>
        <w:t>PatchEmbed</w:t>
      </w:r>
      <w:r>
        <w:t xml:space="preserve"> 将局部潜变量映射为统一维度的 token，并加入位置编码。多个 DiT block 在 token 序列上执行自注意力与前馈变换。时间步和类别标签被编码为条件向量，调制 block 内部的计算。</w:t>
      </w:r>
      <w:r>
        <w:rPr>
          <w:rFonts w:ascii="Menlo" w:hAnsi="Menlo"/>
          <w:sz w:val="16"/>
        </w:rPr>
        <w:t>FinalLayer</w:t>
      </w:r>
      <w:r>
        <w:t xml:space="preserve"> 把每个 token 投影回一个潜变量 patch 所需的输出通道，</w:t>
      </w:r>
      <w:r>
        <w:rPr>
          <w:rFonts w:ascii="Menlo" w:hAnsi="Menlo"/>
          <w:sz w:val="16"/>
        </w:rPr>
        <w:t>unpatchify</w:t>
      </w:r>
      <w:r>
        <w:t xml:space="preserve"> 按空间位置重排。一次前向的输入和输出具有相应的空间布局；反复去噪以及最终解码仍由主干之外的流程完成。[2]</w:t>
      </w:r>
    </w:p>
    <w:p>
      <w:r>
        <w:t xml:space="preserve">这个数据流也给出检查代码的顺序：先看 </w:t>
      </w:r>
      <w:r>
        <w:rPr>
          <w:rFonts w:ascii="Menlo" w:hAnsi="Menlo"/>
          <w:sz w:val="16"/>
        </w:rPr>
        <w:t>DiT.__init__</w:t>
      </w:r>
      <w:r>
        <w:t xml:space="preserve"> 定义哪些组件，再看 </w:t>
      </w:r>
      <w:r>
        <w:rPr>
          <w:rFonts w:ascii="Menlo" w:hAnsi="Menlo"/>
          <w:sz w:val="16"/>
        </w:rPr>
        <w:t>DiT.forward</w:t>
      </w:r>
      <w:r>
        <w:t xml:space="preserve"> 中输入与条件如何流转，最后核对输出形状。沿着张量走，才能弄清模型在什么表示上工作、条件进入哪里、输出又交给谁。这一阅读路径把论文中的架构图与具体实现对应起来。</w:t>
      </w:r>
    </w:p>
    <w:p>
      <w:r>
        <w:t>原论文举例：256×256 图像被编码为 32×32×4 的潜变量。若 patch 边长为 2，32×32 的空间网格会变成 256 个 token；若 patch 边长为 4，则变成 64 个 token。一般地，潜变量宽高均为 I、patch 边长为 p 时，token 数为 (I/p)²。[1] 这解释了为什么 patch 变小会明显增加计算量：网络每层要处理更长的序列。论文还指出，改变 patch 大小对参数量的影响很小，因此“参数量差不多”并不意味着“计算成本差不多”。</w:t>
      </w:r>
    </w:p>
    <w:p>
      <w:pPr>
        <w:pStyle w:val="Heading2"/>
        <w:pageBreakBefore w:val="0"/>
      </w:pPr>
      <w:r>
        <w:t>patch 大小如何改变计算预算</w:t>
      </w:r>
    </w:p>
    <w:p>
      <w:r>
        <w:t>对同一个 32×32 潜变量，p=4 时有 64 个 token，p=2 时有 256 个 token，序列长度变为 4 倍。标准全局自注意力的注意力矩阵规模随 token 数的平方增长，因此仅从注意力矩阵看，规模可变为约 16 倍；整层计算还包含线性投影和 MLP，实际 GFLOPs 不能直接用 16 倍代替。[1] 这说明 patch 是计算预算的旋钮：较小 patch 保留更细的局部划分，却要求网络处理更长序列。选择它时要同时看生成质量、训练成本和推理成本，不能只看参数量。</w:t>
      </w:r>
    </w:p>
    <w:p>
      <w:r>
        <w:t xml:space="preserve">官方代码中的 </w:t>
      </w:r>
      <w:r>
        <w:rPr>
          <w:rFonts w:ascii="Menlo" w:hAnsi="Menlo"/>
          <w:sz w:val="16"/>
        </w:rPr>
        <w:t>PatchEmbed</w:t>
      </w:r>
      <w:r>
        <w:t xml:space="preserve"> 对应潜变量分块与嵌入，固定的二维正弦余弦位置编码帮助模型区分 token 的空间位置。</w:t>
      </w:r>
      <w:r>
        <w:rPr>
          <w:rFonts w:ascii="Menlo" w:hAnsi="Menlo"/>
          <w:sz w:val="16"/>
        </w:rPr>
        <w:t>DiT.forward</w:t>
      </w:r>
      <w:r>
        <w:t xml:space="preserve"> 先计算图像、时间步和类别的嵌入，再把条件传给一系列 </w:t>
      </w:r>
      <w:r>
        <w:rPr>
          <w:rFonts w:ascii="Menlo" w:hAnsi="Menlo"/>
          <w:sz w:val="16"/>
        </w:rPr>
        <w:t>DiTBlock</w:t>
      </w:r>
      <w:r>
        <w:t xml:space="preserve">，最后用 </w:t>
      </w:r>
      <w:r>
        <w:rPr>
          <w:rFonts w:ascii="Menlo" w:hAnsi="Menlo"/>
          <w:sz w:val="16"/>
        </w:rPr>
        <w:t>FinalLayer</w:t>
      </w:r>
      <w:r>
        <w:t xml:space="preserve"> 和 </w:t>
      </w:r>
      <w:r>
        <w:rPr>
          <w:rFonts w:ascii="Menlo" w:hAnsi="Menlo"/>
          <w:sz w:val="16"/>
        </w:rPr>
        <w:t>unpatchify</w:t>
      </w:r>
      <w:r>
        <w:t xml:space="preserve"> 将 token 结果还原为空间张量。[2] 这些模块共同构成潜变量 token 的前向处理路径。</w:t>
      </w:r>
    </w:p>
    <w:p>
      <w:pPr>
        <w:pStyle w:val="Heading1"/>
      </w:pPr>
      <w:r>
        <w:t>三 条件怎样进入 Transformer</w:t>
      </w:r>
    </w:p>
    <w:p>
      <w:r>
        <w:t xml:space="preserve">普通图像分类 Transformer 主要处理图像 token；扩散去噪还需要知道当前时间步。DiT 的类别条件生成任务还需要类别标签。时间步告诉网络当前噪声处于扩散过程的哪一阶段，类别标签指定要生成的类别。官方实现分别用 </w:t>
      </w:r>
      <w:r>
        <w:rPr>
          <w:rFonts w:ascii="Menlo" w:hAnsi="Menlo"/>
          <w:sz w:val="16"/>
        </w:rPr>
        <w:t>TimestepEmbedder</w:t>
      </w:r>
      <w:r>
        <w:t xml:space="preserve"> 和 </w:t>
      </w:r>
      <w:r>
        <w:rPr>
          <w:rFonts w:ascii="Menlo" w:hAnsi="Menlo"/>
          <w:sz w:val="16"/>
        </w:rPr>
        <w:t>LabelEmbedder</w:t>
      </w:r>
      <w:r>
        <w:t xml:space="preserve"> 得到向量，再将两者相加，作为 block 的条件输入。[2]</w:t>
      </w:r>
    </w:p>
    <w:p>
      <w:r>
        <w:t xml:space="preserve">原论文比较了几种条件注入方式：把条件当作额外 token、增加交叉注意力、使用自适应层归一化，以及加入零初始化的自适应层归一化（adaLN-Zero）。原作者报告，在其控制实验中，adaLN-Zero 的表现最好。[1] 其核心做法是让条件向量产生归一化调制参数，同时控制注意力与前馈分支的残差输出。相关调制层以零初始化，使 block 在训练开始时接近恒等映射。官方 </w:t>
      </w:r>
      <w:r>
        <w:rPr>
          <w:rFonts w:ascii="Menlo" w:hAnsi="Menlo"/>
          <w:sz w:val="16"/>
        </w:rPr>
        <w:t>DiTBlock</w:t>
      </w:r>
      <w:r>
        <w:t xml:space="preserve"> 的 </w:t>
      </w:r>
      <w:r>
        <w:rPr>
          <w:rFonts w:ascii="Menlo" w:hAnsi="Menlo"/>
          <w:sz w:val="16"/>
        </w:rPr>
        <w:t>adaLN_modulation</w:t>
      </w:r>
      <w:r>
        <w:t>、注意力分支与 MLP 分支可以对应这一设计。[2]</w:t>
      </w:r>
    </w:p>
    <w:p>
      <w:r>
        <w:t>这部分最值得在面试中讲清的是</w:t>
      </w:r>
      <w:r>
        <w:rPr>
          <w:b/>
        </w:rPr>
        <w:t>条件输入与图像 token 的分工</w:t>
      </w:r>
      <w:r>
        <w:t>：图像 token 承载当前被加噪的内容；时间步与类别不替代图像 token，而是改变网络处理 token 的方式。DiT 原模型研究的是类别条件生成，不能把它直接描述为文本到图像模型。</w:t>
      </w:r>
    </w:p>
    <w:p>
      <w:pPr>
        <w:pStyle w:val="Heading2"/>
        <w:pageBreakBefore w:val="0"/>
      </w:pPr>
      <w:r>
        <w:t>为什么是 adaLN-Zero</w:t>
      </w:r>
    </w:p>
    <w:p>
      <w:r>
        <w:t>可以把 adaLN-Zero 拆成两步理解。第一步，自适应层归一化用条件向量产生缩放和偏移，使相同的图像 token 在不同时间步或类别条件下经过不同的变换。第二步，额外产生门控值，控制注意力分支与 MLP 分支的残差贡献。官方实现中，条件向量经调制层产生六组参数，分别供两条分支的缩放、偏移与门控使用。[2] 这种设计让条件作用于网络内部，而不是简单地在输入序列末尾附加一个标签 token。</w:t>
      </w:r>
    </w:p>
    <w:p>
      <w:r>
        <w:t>“Zero”指相关调制层在初始化时采用零初始化。这样，训练初期两条残差分支的门控接近零，block 的输出接近输入，有利于深层网络从稳定状态开始优化。[1][2] 这是一种关于初始化和条件注入的设计解释；它不等于声称 adaLN-Zero 在所有数据集、所有条件形式上都优于交叉注意力。文本到图像模型如何使用文本条件，还要看具体模型的结构与对照实验。</w:t>
      </w:r>
    </w:p>
    <w:p>
      <w:pPr>
        <w:pStyle w:val="Heading1"/>
      </w:pPr>
      <w:r>
        <w:t>四 输出层和采样并非一回事</w:t>
      </w:r>
    </w:p>
    <w:p>
      <w:r>
        <w:t>DiT block 输出的仍是 token 序列。原论文通过最终归一化与线性层，将每个 token 映射回对应 patch 的输出，再重排为空间张量。论文设置下，模型预测噪声以及反向过程方差相关输出；官方实现默认在学习方差时让输出通道数为输入通道数的两倍。[1][2]</w:t>
      </w:r>
    </w:p>
    <w:p>
      <w:r>
        <w:t>模型的一次前向计算只给出当前时间步所需的预测。生成图像还需采样器从噪声出发，多次调用去噪网络更新潜变量，最后交给 VAE 解码器。区分“一次模型前向”和“完整生成流程”很重要：采样步数变化会改变生成成本，却不代表 DiT 主干架构发生改变。类别无关引导（classifier-free guidance）同样属于条件生成与采样策略的一部分，讨论它的效果时应与网络结构分开。[1][2]</w:t>
      </w:r>
    </w:p>
    <w:p>
      <w:pPr>
        <w:pStyle w:val="Heading1"/>
      </w:pPr>
      <w:r>
        <w:t>五 怎样理解原论文的实验结论</w:t>
      </w:r>
    </w:p>
    <w:p>
      <w:r>
        <w:t>DiT 的重要贡献不只是“换成 Transformer”，还在于给出一个可比较的架构设计空间。原论文同时改变网络深度、宽度和 patch 大小，用前向计算量 GFLOPs 与生成质量指标 FID 观察规模趋势。作者发现，在其 ImageNet 类别条件生成实验中，计算量较高的配置通常取得较低 FID；固定模型大小、减小 patch 时，参数量基本不变而计算量上升，质量也可能改善。[1]</w:t>
      </w:r>
    </w:p>
    <w:p>
      <w:r>
        <w:t>原作者报告 DiT-XL/2 在 256×256 ImageNet 类别条件生成任务上取得 FID 2.27。这是</w:t>
      </w:r>
      <w:r>
        <w:rPr>
          <w:b/>
        </w:rPr>
        <w:t>原论文的实验结果</w:t>
      </w:r>
      <w:r>
        <w:t>，应与其数据、训练、采样和评测协议一起理解。[1] FID 数字也不能单独回答推理速度、人工偏好或其他任务上的表现。后续若补充实测，可记录设备、权重版本、采样参数和随机种子，再与论文结果进行有条件的对照。</w:t>
      </w:r>
    </w:p>
    <w:p>
      <w:pPr>
        <w:pStyle w:val="Heading2"/>
        <w:pageBreakBefore/>
      </w:pPr>
      <w:r>
        <w:t>证据来源与结论边界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E8EDF3"/>
          </w:tcPr>
          <w:p>
            <w:pPr>
              <w:spacing w:after="40"/>
            </w:pPr>
            <w:r>
              <w:rPr>
                <w:b/>
                <w:sz w:val="16"/>
              </w:rPr>
              <w:t>讨论对象</w:t>
            </w:r>
          </w:p>
        </w:tc>
        <w:tc>
          <w:tcPr>
            <w:tcW w:type="dxa" w:w="3154"/>
            <w:vAlign w:val="center"/>
            <w:shd w:fill="E8EDF3"/>
          </w:tcPr>
          <w:p>
            <w:pPr>
              <w:spacing w:after="40"/>
            </w:pPr>
            <w:r>
              <w:rPr>
                <w:b/>
                <w:sz w:val="16"/>
              </w:rPr>
              <w:t>可核对的依据</w:t>
            </w:r>
          </w:p>
        </w:tc>
        <w:tc>
          <w:tcPr>
            <w:tcW w:type="dxa" w:w="3154"/>
            <w:vAlign w:val="center"/>
            <w:shd w:fill="E8EDF3"/>
          </w:tcPr>
          <w:p>
            <w:pPr>
              <w:spacing w:after="40"/>
            </w:pPr>
            <w:r>
              <w:rPr>
                <w:b/>
                <w:sz w:val="16"/>
              </w:rPr>
              <w:t>本文能够得出的结论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6"/>
              </w:rPr>
              <w:t>DiT 的模块连接与输入输出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6"/>
              </w:rPr>
              <w:t xml:space="preserve">官方 </w:t>
            </w:r>
            <w:r>
              <w:rPr>
                <w:rFonts w:ascii="Menlo" w:hAnsi="Menlo"/>
                <w:sz w:val="16"/>
              </w:rPr>
              <w:t>models.py</w:t>
            </w:r>
            <w:r>
              <w:rPr>
                <w:sz w:val="16"/>
              </w:rPr>
              <w:t xml:space="preserve"> 中的类定义和前向路径 [2]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6"/>
              </w:rPr>
              <w:t>说明公开实现的结构及张量如何流转。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6"/>
              </w:rPr>
              <w:t>patch、模型规模与质量的关系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6"/>
              </w:rPr>
              <w:t>DiT 原论文的架构消融和 FID 结果 [1]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6"/>
              </w:rPr>
              <w:t>说明作者在规定实验条件下观察到的规模趋势。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6"/>
              </w:rPr>
              <w:t>DiT-XL/2 的 FID 2.27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6"/>
              </w:rPr>
              <w:t>DiT 原论文的 ImageNet 256×256 结果 [1]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6"/>
              </w:rPr>
              <w:t>标明该指标来自原作者及其评测协议。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6"/>
              </w:rPr>
              <w:t>文本与视频方向的结构变化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6"/>
              </w:rPr>
              <w:t>PixArt-α 与 Open-Sora 论文 [3][4]</w:t>
            </w:r>
          </w:p>
        </w:tc>
        <w:tc>
          <w:tcPr>
            <w:tcW w:type="dxa" w:w="3154"/>
            <w:vAlign w:val="center"/>
          </w:tcPr>
          <w:p>
            <w:pPr>
              <w:spacing w:after="40"/>
            </w:pPr>
            <w:r>
              <w:rPr>
                <w:sz w:val="16"/>
              </w:rPr>
              <w:t>比较任务和条件形式带来的新设计问题。</w:t>
            </w:r>
          </w:p>
        </w:tc>
      </w:tr>
    </w:tbl>
    <w:p/>
    <w:p>
      <w:r>
        <w:t>这张表将论文实验、官方实现和跨模型比较分别对应到证据来源。读者可以据此区分架构事实、原作者测得的指标与本文的分析判断。未来若加入实测，可另设实验方法和结果章节，独立呈现新数据。</w:t>
      </w:r>
    </w:p>
    <w:p>
      <w:pPr>
        <w:pStyle w:val="Heading1"/>
      </w:pPr>
      <w:r>
        <w:t>六 从 DiT 到图像与视频生成</w:t>
      </w:r>
    </w:p>
    <w:p>
      <w:r>
        <w:t>DiT 原论文主要研究类别条件图像生成。PixArt-α 则面向文本到图像生成，在 DiT 路线中加入文本条件相关设计，并把训练策略与数据质量作为重要研究对象。[3] 这意味着任务变化不仅是“把类别标签换成一句话”：文本包含更复杂的语义关系，模型需要建立文字与图像内容之间的对应。</w:t>
      </w:r>
    </w:p>
    <w:p>
      <w:r>
        <w:t>Open-Sora 进一步面向视频。视频除了每帧的空间内容，还包含跨帧运动与时间一致性。其论文提出空间—时间扩散 Transformer，将空间和时间注意力分开设计，并使用视频压缩表示控制计算量。[4] 因此，从 DiT 走向视频模型时，关键新增问题是如何处理时间维度及其计算成本。这一对照强调任务变化带来的结构问题，性能评价仍需相同条件下的实验设计。</w:t>
      </w:r>
    </w:p>
    <w:p>
      <w:pPr>
        <w:pStyle w:val="Heading1"/>
      </w:pPr>
      <w:r>
        <w:t>七 分析收获与后续方向</w:t>
      </w:r>
    </w:p>
    <w:p>
      <w:pPr>
        <w:pStyle w:val="Heading2"/>
        <w:pageBreakBefore w:val="0"/>
      </w:pPr>
      <w:r>
        <w:t>架构选择能回答什么问题</w:t>
      </w:r>
    </w:p>
    <w:p>
      <w:r>
        <w:t>回看全文，DiT 的核心研究问题不是“Transformer 是否比任何 U-Net 都好”，而是在潜空间扩散的共同框架下，Transformer 主干能否形成清晰的规模扩展规律。原作者通过改变网络深度、宽度和 patch 大小进行对照，观察计算量与生成质量的关系。[1] 这使架构选择有了可解释的变量：如果固定分辨率与潜空间表示，增加深度和宽度会改变模型容量；缩小 patch 会增加 token 数；改条件注入方式则改变网络利用任务信息的路径。不同变量会影响不同成本，不能统一称为“模型更大”。</w:t>
      </w:r>
    </w:p>
    <w:p>
      <w:r>
        <w:t>对多模态生成岗位而言，这套分析方法也有迁移价值。看一个新模型时，可以先问生成目标是什么、条件来自哪种模态，再问条件与生成表示在何处交互。例如，类别条件是一个较短的离散标识，文本条件则包含词序、对象关系和属性约束；视频生成还要表示时间变化。即使模型名称都包含 Transformer，真正决定其能力边界的仍是表示、条件交互、训练目标和采样过程的组合。这是本文基于所读论文形成的分析框架，不是对所有多模态模型效果的实验结论。[1][3][4]</w:t>
      </w:r>
    </w:p>
    <w:p>
      <w:pPr>
        <w:pStyle w:val="Heading2"/>
        <w:pageBreakBefore w:val="0"/>
      </w:pPr>
      <w:r>
        <w:t>后续可验证的问题</w:t>
      </w:r>
    </w:p>
    <w:p>
      <w:r>
        <w:t>根据上述分析，后续可以设计两个范围清楚的小实验。其一，固定权重、分辨率与采样设置，记录不同采样步数下的耗时与输出差异，以区分采样成本和主干结构。其二，在可获得相应权重与足够算力的前提下，对比不同 patch 配置的 token 数、理论计算量和实际推理时延。实验记录应包含代码版本、设备、随机种子和测量方法，结果与原论文数据分别呈现。这样的安排能把架构解读逐步推进到可重复的实测分析。</w:t>
      </w:r>
    </w:p>
    <w:p>
      <w:r>
        <w:t>这次研究形成了一个理解生成模型的框架：先确定模型处理的是像素还是潜变量，再看如何把表示转换为 token，接着追踪条件如何进入网络、网络预测什么，最后把去噪模型与采样器、解码器分开。用这个框架阅读后续论文，比只记“某模型使用 DiT”更容易发现真实的架构差异。</w:t>
      </w:r>
    </w:p>
    <w:p>
      <w:r>
        <w:t>本研究的下一步是建立可重复的实验记录：确定官方代码与权重版本，固定设备和采样条件，分别测量推理时延、显存占用及生成质量。对于 PixArt-α 与 Open-Sora，还可进一步绘制条件注入和时空处理路径的对照图，使跨任务比较更加具体。</w:t>
      </w:r>
    </w:p>
    <w:p>
      <w:pPr>
        <w:pStyle w:val="Heading1"/>
      </w:pPr>
      <w:r>
        <w:t>参考文献</w:t>
      </w:r>
    </w:p>
    <w:p>
      <w:r>
        <w:t xml:space="preserve">[1] William Peebles, Saining Xie. </w:t>
      </w:r>
      <w:r>
        <w:rPr>
          <w:color w:val="1E4B91"/>
          <w:u w:val="single"/>
        </w:rPr>
        <w:t>Scalable Diffusion Models with Transformers</w:t>
      </w:r>
      <w:r>
        <w:rPr>
          <w:sz w:val="15"/>
        </w:rPr>
        <w:t>（https://arxiv.org/abs/2212.09748）</w:t>
      </w:r>
      <w:r>
        <w:t>. ICCV 2023.</w:t>
      </w:r>
    </w:p>
    <w:p>
      <w:r>
        <w:t xml:space="preserve">[2] Meta Research. </w:t>
      </w:r>
      <w:r>
        <w:rPr>
          <w:color w:val="1E4B91"/>
          <w:u w:val="single"/>
        </w:rPr>
        <w:t>DiT 官方 PyTorch 实现</w:t>
      </w:r>
      <w:r>
        <w:rPr>
          <w:sz w:val="15"/>
        </w:rPr>
        <w:t>（https://github.com/facebookresearch/DiT）</w:t>
      </w:r>
      <w:r>
        <w:t xml:space="preserve">，重点参考 </w:t>
      </w:r>
      <w:r>
        <w:rPr>
          <w:rFonts w:ascii="Menlo" w:hAnsi="Menlo"/>
          <w:sz w:val="16"/>
        </w:rPr>
        <w:t>models.py</w:t>
      </w:r>
      <w:r>
        <w:t>。</w:t>
      </w:r>
    </w:p>
    <w:p>
      <w:r>
        <w:t xml:space="preserve">[3] Junsong Chen 等. </w:t>
      </w:r>
      <w:r>
        <w:rPr>
          <w:color w:val="1E4B91"/>
          <w:u w:val="single"/>
        </w:rPr>
        <w:t>PixArt-α: Fast Training of Diffusion Transformer for Photorealistic Text-to-Image Synthesis</w:t>
      </w:r>
      <w:r>
        <w:rPr>
          <w:sz w:val="15"/>
        </w:rPr>
        <w:t>（https://arxiv.org/abs/2310.00426）</w:t>
      </w:r>
      <w:r>
        <w:t>. ICLR 2024.</w:t>
      </w:r>
    </w:p>
    <w:p>
      <w:r>
        <w:t xml:space="preserve">[4] Zangwei Zheng 等. </w:t>
      </w:r>
      <w:r>
        <w:rPr>
          <w:color w:val="1E4B91"/>
          <w:u w:val="single"/>
        </w:rPr>
        <w:t>Open-Sora: Democratizing Efficient Video Production for All</w:t>
      </w:r>
      <w:r>
        <w:rPr>
          <w:sz w:val="15"/>
        </w:rPr>
        <w:t>（https://arxiv.org/abs/2412.20404）</w:t>
      </w:r>
      <w:r>
        <w:t>.</w:t>
      </w:r>
    </w:p>
    <w:sectPr w:rsidR="00FC693F" w:rsidRPr="0006063C" w:rsidSect="00034616">
      <w:footerReference w:type="default" r:id="rId9"/>
      <w:pgSz w:w="12240" w:h="15840"/>
      <w:pgMar w:top="1276" w:right="1389" w:bottom="1219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DiT 架构研究与技术解读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1" w:lineRule="auto"/>
    </w:pPr>
    <w:rPr>
      <w:rFonts w:ascii="Source Han Sans CN" w:hAnsi="Source Han Sans CN" w:eastAsia="Source Han Sans C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200"/>
    </w:pPr>
    <w:rPr>
      <w:rFonts w:ascii="Source Han Sans CN" w:hAnsi="Source Han Sans CN" w:eastAsia="Source Han Sans CN"/>
      <w:b/>
      <w:color w:val="000000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