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F7B20">
      <w:pPr>
        <w:pageBreakBefore w:val="0"/>
        <w:kinsoku/>
        <w:wordWrap/>
        <w:overflowPunct/>
        <w:topLinePunct w:val="0"/>
        <w:autoSpaceDE/>
        <w:autoSpaceDN/>
        <w:bidi w:val="0"/>
        <w:adjustRightInd/>
        <w:spacing w:line="360" w:lineRule="auto"/>
        <w:jc w:val="left"/>
        <w:textAlignment w:val="auto"/>
        <w:rPr>
          <w:rFonts w:ascii="Times New Roman" w:hAnsi="Times New Roman" w:eastAsia="方正黑体简体" w:cs="Times New Roman"/>
          <w:color w:val="000000"/>
          <w:sz w:val="18"/>
          <w:szCs w:val="18"/>
        </w:rPr>
      </w:pP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pict>
          <v:shape id="_x0000_i1025" o:spt="75" type="#_x0000_t75" style="height:31.75pt;width:190.6pt;" filled="f" o:preferrelative="t" stroked="f" coordsize="21600,21600">
            <v:path/>
            <v:fill on="f" focussize="0,0"/>
            <v:stroke on="f" joinstyle="miter"/>
            <v:imagedata r:id="rId10" r:href="rId11" o:title=""/>
            <o:lock v:ext="edit" aspectratio="t"/>
            <w10:wrap type="none"/>
            <w10:anchorlock/>
          </v:shape>
        </w:pict>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p>
    <w:p w14:paraId="6413378A">
      <w:pPr>
        <w:pageBreakBefore w:val="0"/>
        <w:kinsoku/>
        <w:wordWrap/>
        <w:overflowPunct/>
        <w:topLinePunct w:val="0"/>
        <w:autoSpaceDE/>
        <w:autoSpaceDN/>
        <w:bidi w:val="0"/>
        <w:adjustRightInd/>
        <w:spacing w:line="360" w:lineRule="auto"/>
        <w:jc w:val="center"/>
        <w:textAlignment w:val="auto"/>
        <w:rPr>
          <w:rFonts w:ascii="Times New Roman" w:hAnsi="Times New Roman" w:eastAsia="方正黑体简体" w:cs="Times New Roman"/>
          <w:b/>
          <w:color w:val="000000"/>
          <w:sz w:val="52"/>
          <w:szCs w:val="52"/>
        </w:rPr>
      </w:pPr>
    </w:p>
    <w:p w14:paraId="50469CD2">
      <w:pPr>
        <w:pageBreakBefore w:val="0"/>
        <w:kinsoku/>
        <w:wordWrap/>
        <w:overflowPunct/>
        <w:topLinePunct w:val="0"/>
        <w:autoSpaceDE/>
        <w:autoSpaceDN/>
        <w:bidi w:val="0"/>
        <w:adjustRightInd/>
        <w:spacing w:line="360" w:lineRule="auto"/>
        <w:jc w:val="center"/>
        <w:textAlignment w:val="auto"/>
        <w:rPr>
          <w:rFonts w:ascii="Times New Roman" w:hAnsi="Times New Roman" w:eastAsia="方正黑体简体" w:cs="Times New Roman"/>
          <w:b/>
          <w:color w:val="000000"/>
          <w:sz w:val="52"/>
          <w:szCs w:val="52"/>
        </w:rPr>
      </w:pPr>
    </w:p>
    <w:p w14:paraId="41A34782">
      <w:pPr>
        <w:pageBreakBefore w:val="0"/>
        <w:kinsoku/>
        <w:wordWrap/>
        <w:overflowPunct/>
        <w:topLinePunct w:val="0"/>
        <w:autoSpaceDE/>
        <w:autoSpaceDN/>
        <w:bidi w:val="0"/>
        <w:adjustRightInd/>
        <w:spacing w:line="360" w:lineRule="auto"/>
        <w:jc w:val="center"/>
        <w:textAlignment w:val="auto"/>
        <w:rPr>
          <w:rFonts w:ascii="Times New Roman" w:hAnsi="Times New Roman" w:eastAsia="黑体" w:cs="Times New Roman"/>
          <w:color w:val="000000"/>
          <w:spacing w:val="100"/>
          <w:kern w:val="0"/>
          <w:sz w:val="72"/>
          <w:szCs w:val="72"/>
          <w:lang w:bidi="zh-TW"/>
        </w:rPr>
      </w:pPr>
      <w:r>
        <w:rPr>
          <w:rFonts w:ascii="Times New Roman" w:hAnsi="Times New Roman" w:eastAsia="黑体" w:cs="Times New Roman"/>
          <w:color w:val="000000"/>
          <w:spacing w:val="100"/>
          <w:kern w:val="0"/>
          <w:sz w:val="72"/>
          <w:szCs w:val="72"/>
          <w:lang w:bidi="zh-TW"/>
        </w:rPr>
        <w:t>Python数据分析</w:t>
      </w:r>
    </w:p>
    <w:p w14:paraId="3FFB0F83">
      <w:pPr>
        <w:pageBreakBefore w:val="0"/>
        <w:kinsoku/>
        <w:wordWrap/>
        <w:overflowPunct/>
        <w:topLinePunct w:val="0"/>
        <w:autoSpaceDE/>
        <w:autoSpaceDN/>
        <w:bidi w:val="0"/>
        <w:adjustRightInd/>
        <w:spacing w:line="360" w:lineRule="auto"/>
        <w:jc w:val="center"/>
        <w:textAlignment w:val="auto"/>
        <w:rPr>
          <w:rFonts w:ascii="Times New Roman" w:hAnsi="Times New Roman" w:eastAsia="黑体" w:cs="Times New Roman"/>
          <w:color w:val="000000"/>
          <w:spacing w:val="100"/>
          <w:kern w:val="0"/>
          <w:sz w:val="72"/>
          <w:szCs w:val="72"/>
          <w:lang w:val="zh-TW" w:bidi="zh-TW"/>
        </w:rPr>
      </w:pPr>
      <w:r>
        <w:rPr>
          <w:rFonts w:ascii="Times New Roman" w:hAnsi="Times New Roman" w:eastAsia="黑体" w:cs="Times New Roman"/>
          <w:color w:val="000000"/>
          <w:spacing w:val="100"/>
          <w:kern w:val="0"/>
          <w:sz w:val="72"/>
          <w:szCs w:val="72"/>
          <w:lang w:bidi="zh-TW"/>
        </w:rPr>
        <w:t>大作业</w:t>
      </w:r>
    </w:p>
    <w:p w14:paraId="1D8EEBA9">
      <w:pPr>
        <w:pageBreakBefore w:val="0"/>
        <w:kinsoku/>
        <w:wordWrap/>
        <w:overflowPunct/>
        <w:topLinePunct w:val="0"/>
        <w:autoSpaceDE/>
        <w:autoSpaceDN/>
        <w:bidi w:val="0"/>
        <w:adjustRightInd/>
        <w:spacing w:line="360" w:lineRule="auto"/>
        <w:jc w:val="center"/>
        <w:textAlignment w:val="auto"/>
        <w:rPr>
          <w:rFonts w:ascii="Times New Roman" w:hAnsi="Times New Roman" w:eastAsia="宋体" w:cs="Times New Roman"/>
          <w:bCs/>
          <w:color w:val="000000"/>
          <w:sz w:val="30"/>
          <w:szCs w:val="24"/>
        </w:rPr>
      </w:pPr>
    </w:p>
    <w:p w14:paraId="0EF3686C">
      <w:pPr>
        <w:pageBreakBefore w:val="0"/>
        <w:kinsoku/>
        <w:wordWrap/>
        <w:overflowPunct/>
        <w:topLinePunct w:val="0"/>
        <w:autoSpaceDE/>
        <w:autoSpaceDN/>
        <w:bidi w:val="0"/>
        <w:adjustRightInd/>
        <w:spacing w:line="360" w:lineRule="auto"/>
        <w:jc w:val="center"/>
        <w:textAlignment w:val="auto"/>
        <w:rPr>
          <w:rFonts w:ascii="Times New Roman" w:hAnsi="Times New Roman" w:eastAsia="宋体" w:cs="Times New Roman"/>
          <w:bCs/>
          <w:color w:val="000000"/>
          <w:sz w:val="30"/>
          <w:szCs w:val="24"/>
        </w:rPr>
      </w:pPr>
    </w:p>
    <w:tbl>
      <w:tblPr>
        <w:tblStyle w:val="22"/>
        <w:tblpPr w:leftFromText="180" w:rightFromText="180" w:vertAnchor="text" w:horzAnchor="margin" w:tblpXSpec="center" w:tblpY="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6227"/>
      </w:tblGrid>
      <w:tr w14:paraId="2374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4" w:hRule="atLeast"/>
        </w:trPr>
        <w:tc>
          <w:tcPr>
            <w:tcW w:w="1701" w:type="dxa"/>
            <w:tcBorders>
              <w:top w:val="nil"/>
              <w:left w:val="nil"/>
              <w:bottom w:val="nil"/>
              <w:right w:val="nil"/>
            </w:tcBorders>
            <w:vAlign w:val="center"/>
          </w:tcPr>
          <w:p w14:paraId="2AF9A94A">
            <w:pPr>
              <w:keepNext w:val="0"/>
              <w:keepLines w:val="0"/>
              <w:pageBreakBefore w:val="0"/>
              <w:suppressLineNumbers w:val="0"/>
              <w:kinsoku/>
              <w:wordWrap/>
              <w:overflowPunct/>
              <w:topLinePunct w:val="0"/>
              <w:autoSpaceDE/>
              <w:autoSpaceDN/>
              <w:bidi w:val="0"/>
              <w:adjustRightInd/>
              <w:snapToGrid w:val="0"/>
              <w:spacing w:before="0" w:beforeAutospacing="0" w:after="160" w:afterAutospacing="0" w:line="360" w:lineRule="auto"/>
              <w:ind w:left="0" w:right="0"/>
              <w:textAlignment w:val="auto"/>
              <w:rPr>
                <w:rFonts w:hint="eastAsia" w:ascii="华文中宋" w:hAnsi="华文中宋" w:eastAsia="华文中宋" w:cs="Times New Roman"/>
                <w:spacing w:val="-20"/>
                <w:sz w:val="52"/>
                <w:szCs w:val="52"/>
                <w:lang w:bidi="en-US"/>
              </w:rPr>
            </w:pPr>
            <w:r>
              <w:rPr>
                <w:rFonts w:hint="eastAsia" w:ascii="黑体" w:hAnsi="黑体" w:eastAsia="黑体" w:cs="Times New Roman"/>
                <w:sz w:val="30"/>
                <w:szCs w:val="30"/>
                <w:lang w:bidi="en-US"/>
              </w:rPr>
              <w:t>题    目：</w:t>
            </w:r>
          </w:p>
        </w:tc>
        <w:tc>
          <w:tcPr>
            <w:tcW w:w="6236" w:type="dxa"/>
            <w:tcBorders>
              <w:top w:val="nil"/>
              <w:left w:val="nil"/>
              <w:right w:val="nil"/>
            </w:tcBorders>
            <w:vAlign w:val="center"/>
          </w:tcPr>
          <w:p w14:paraId="46E03C3F">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360" w:lineRule="auto"/>
              <w:ind w:left="0" w:right="0"/>
              <w:jc w:val="both"/>
              <w:textAlignment w:val="auto"/>
              <w:rPr>
                <w:rFonts w:hint="eastAsia" w:cs="Times New Roman" w:asciiTheme="minorEastAsia" w:hAnsiTheme="minorEastAsia"/>
                <w:sz w:val="28"/>
                <w:szCs w:val="28"/>
                <w:lang w:bidi="en-US"/>
              </w:rPr>
            </w:pPr>
          </w:p>
        </w:tc>
      </w:tr>
    </w:tbl>
    <w:p w14:paraId="4EEC5129">
      <w:pPr>
        <w:pageBreakBefore w:val="0"/>
        <w:kinsoku/>
        <w:wordWrap/>
        <w:overflowPunct/>
        <w:topLinePunct w:val="0"/>
        <w:autoSpaceDE/>
        <w:autoSpaceDN/>
        <w:bidi w:val="0"/>
        <w:adjustRightInd/>
        <w:spacing w:line="360" w:lineRule="auto"/>
        <w:textAlignment w:val="auto"/>
        <w:rPr>
          <w:rFonts w:hint="eastAsia" w:ascii="Times New Roman" w:hAnsi="Times New Roman" w:eastAsia="宋体" w:cs="Times New Roman"/>
          <w:bCs/>
          <w:color w:val="000000"/>
          <w:sz w:val="30"/>
          <w:szCs w:val="24"/>
        </w:rPr>
      </w:pPr>
    </w:p>
    <w:p w14:paraId="5AF262AA">
      <w:pPr>
        <w:pageBreakBefore w:val="0"/>
        <w:kinsoku/>
        <w:wordWrap/>
        <w:overflowPunct/>
        <w:topLinePunct w:val="0"/>
        <w:autoSpaceDE/>
        <w:autoSpaceDN/>
        <w:bidi w:val="0"/>
        <w:adjustRightInd/>
        <w:spacing w:line="360" w:lineRule="auto"/>
        <w:jc w:val="center"/>
        <w:textAlignment w:val="auto"/>
        <w:rPr>
          <w:rFonts w:ascii="Times New Roman" w:hAnsi="Times New Roman" w:eastAsia="宋体" w:cs="Times New Roman"/>
          <w:bCs/>
          <w:color w:val="000000"/>
          <w:sz w:val="30"/>
          <w:szCs w:val="24"/>
        </w:rPr>
      </w:pPr>
    </w:p>
    <w:tbl>
      <w:tblPr>
        <w:tblStyle w:val="23"/>
        <w:tblW w:w="77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
        <w:gridCol w:w="1418"/>
        <w:gridCol w:w="2551"/>
        <w:gridCol w:w="1418"/>
        <w:gridCol w:w="2268"/>
      </w:tblGrid>
      <w:tr w14:paraId="0DF6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1418" w:type="dxa"/>
            <w:tcBorders>
              <w:top w:val="nil"/>
              <w:left w:val="nil"/>
              <w:bottom w:val="nil"/>
              <w:right w:val="nil"/>
            </w:tcBorders>
            <w:vAlign w:val="center"/>
          </w:tcPr>
          <w:p w14:paraId="1FC00C9F">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黑体" w:hAnsi="黑体" w:eastAsia="黑体" w:cs="Times New Roman"/>
                <w:sz w:val="28"/>
                <w:szCs w:val="28"/>
                <w:lang w:bidi="en-US"/>
              </w:rPr>
            </w:pPr>
            <w:r>
              <w:rPr>
                <w:rFonts w:hint="eastAsia" w:ascii="黑体" w:hAnsi="黑体" w:eastAsia="黑体" w:cs="Times New Roman"/>
                <w:sz w:val="28"/>
                <w:szCs w:val="28"/>
                <w:lang w:bidi="en-US"/>
              </w:rPr>
              <w:t>小 组 名</w:t>
            </w:r>
          </w:p>
        </w:tc>
        <w:tc>
          <w:tcPr>
            <w:tcW w:w="6237" w:type="dxa"/>
            <w:gridSpan w:val="3"/>
            <w:tcBorders>
              <w:top w:val="nil"/>
              <w:left w:val="nil"/>
              <w:right w:val="nil"/>
            </w:tcBorders>
            <w:vAlign w:val="center"/>
          </w:tcPr>
          <w:p w14:paraId="25B0E2B7">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lang w:eastAsia="zh"/>
                <w:woUserID w:val="2"/>
              </w:rPr>
            </w:pPr>
            <w:r>
              <w:rPr>
                <w:rFonts w:hint="eastAsia" w:ascii="Times New Roman" w:hAnsi="Times New Roman" w:eastAsia="宋体" w:cs="Times New Roman"/>
                <w:bCs/>
                <w:color w:val="000000"/>
                <w:sz w:val="30"/>
                <w:szCs w:val="24"/>
                <w:lang w:val="en-US" w:eastAsia="zh-CN"/>
                <w:woUserID w:val="2"/>
              </w:rPr>
              <w:t xml:space="preserve">第 </w:t>
            </w:r>
            <w:r>
              <w:rPr>
                <w:rFonts w:hint="eastAsia" w:ascii="Times New Roman" w:hAnsi="Times New Roman" w:eastAsia="宋体" w:cs="Times New Roman"/>
                <w:bCs/>
                <w:color w:val="000000"/>
                <w:sz w:val="30"/>
                <w:szCs w:val="24"/>
                <w:lang w:eastAsia="zh"/>
                <w:woUserID w:val="2"/>
              </w:rPr>
              <w:t>小组</w:t>
            </w:r>
          </w:p>
        </w:tc>
      </w:tr>
      <w:tr w14:paraId="67C5E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1418" w:type="dxa"/>
            <w:tcBorders>
              <w:top w:val="nil"/>
              <w:left w:val="nil"/>
              <w:bottom w:val="nil"/>
              <w:right w:val="nil"/>
            </w:tcBorders>
            <w:vAlign w:val="center"/>
          </w:tcPr>
          <w:p w14:paraId="1EA94C22">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rPr>
            </w:pPr>
            <w:r>
              <w:rPr>
                <w:rFonts w:hint="eastAsia" w:ascii="黑体" w:hAnsi="黑体" w:eastAsia="黑体" w:cs="Times New Roman"/>
                <w:sz w:val="28"/>
                <w:szCs w:val="28"/>
                <w:lang w:bidi="en-US"/>
              </w:rPr>
              <w:t>学生姓名</w:t>
            </w:r>
          </w:p>
        </w:tc>
        <w:tc>
          <w:tcPr>
            <w:tcW w:w="2551" w:type="dxa"/>
            <w:tcBorders>
              <w:left w:val="nil"/>
              <w:right w:val="nil"/>
            </w:tcBorders>
            <w:vAlign w:val="center"/>
          </w:tcPr>
          <w:p w14:paraId="5FDA881F">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lang w:eastAsia="zh"/>
                <w:woUserID w:val="2"/>
              </w:rPr>
            </w:pPr>
          </w:p>
        </w:tc>
        <w:tc>
          <w:tcPr>
            <w:tcW w:w="1418" w:type="dxa"/>
            <w:tcBorders>
              <w:top w:val="nil"/>
              <w:left w:val="nil"/>
              <w:bottom w:val="nil"/>
              <w:right w:val="nil"/>
            </w:tcBorders>
            <w:vAlign w:val="center"/>
          </w:tcPr>
          <w:p w14:paraId="5DA4E9F2">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rPr>
            </w:pPr>
            <w:r>
              <w:rPr>
                <w:rFonts w:hint="eastAsia" w:ascii="黑体" w:hAnsi="黑体" w:eastAsia="黑体" w:cs="Times New Roman"/>
                <w:sz w:val="28"/>
                <w:szCs w:val="28"/>
                <w:lang w:bidi="en-US"/>
              </w:rPr>
              <w:t>贡献率</w:t>
            </w:r>
          </w:p>
        </w:tc>
        <w:tc>
          <w:tcPr>
            <w:tcW w:w="2268" w:type="dxa"/>
            <w:tcBorders>
              <w:left w:val="nil"/>
              <w:right w:val="nil"/>
            </w:tcBorders>
            <w:vAlign w:val="center"/>
          </w:tcPr>
          <w:p w14:paraId="1AAFDD35">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lang w:eastAsia="zh"/>
                <w:woUserID w:val="2"/>
              </w:rPr>
            </w:pPr>
            <w:r>
              <w:rPr>
                <w:rFonts w:hint="eastAsia" w:ascii="Times New Roman" w:hAnsi="Times New Roman" w:eastAsia="宋体" w:cs="Times New Roman"/>
                <w:bCs/>
                <w:color w:val="000000"/>
                <w:sz w:val="30"/>
                <w:szCs w:val="24"/>
                <w:lang w:eastAsia="zh"/>
                <w:woUserID w:val="2"/>
              </w:rPr>
              <w:t>%</w:t>
            </w:r>
          </w:p>
        </w:tc>
      </w:tr>
      <w:tr w14:paraId="471B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1418" w:type="dxa"/>
            <w:tcBorders>
              <w:top w:val="nil"/>
              <w:left w:val="nil"/>
              <w:bottom w:val="nil"/>
              <w:right w:val="nil"/>
            </w:tcBorders>
            <w:vAlign w:val="center"/>
          </w:tcPr>
          <w:p w14:paraId="2EB3F6D1">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rPr>
            </w:pPr>
            <w:r>
              <w:rPr>
                <w:rFonts w:hint="eastAsia" w:ascii="黑体" w:hAnsi="黑体" w:eastAsia="黑体" w:cs="Times New Roman"/>
                <w:sz w:val="28"/>
                <w:szCs w:val="28"/>
                <w:lang w:bidi="en-US"/>
              </w:rPr>
              <w:t>学生姓名</w:t>
            </w:r>
          </w:p>
        </w:tc>
        <w:tc>
          <w:tcPr>
            <w:tcW w:w="2551" w:type="dxa"/>
            <w:tcBorders>
              <w:left w:val="nil"/>
              <w:right w:val="nil"/>
            </w:tcBorders>
            <w:vAlign w:val="center"/>
          </w:tcPr>
          <w:p w14:paraId="491068F2">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lang w:eastAsia="zh"/>
                <w:woUserID w:val="2"/>
              </w:rPr>
            </w:pPr>
          </w:p>
        </w:tc>
        <w:tc>
          <w:tcPr>
            <w:tcW w:w="1418" w:type="dxa"/>
            <w:tcBorders>
              <w:top w:val="nil"/>
              <w:left w:val="nil"/>
              <w:bottom w:val="nil"/>
              <w:right w:val="nil"/>
            </w:tcBorders>
            <w:vAlign w:val="center"/>
          </w:tcPr>
          <w:p w14:paraId="1596EE86">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rPr>
            </w:pPr>
            <w:r>
              <w:rPr>
                <w:rFonts w:hint="eastAsia" w:ascii="黑体" w:hAnsi="黑体" w:eastAsia="黑体" w:cs="Times New Roman"/>
                <w:sz w:val="28"/>
                <w:szCs w:val="28"/>
                <w:lang w:bidi="en-US"/>
              </w:rPr>
              <w:t>贡献率</w:t>
            </w:r>
          </w:p>
        </w:tc>
        <w:tc>
          <w:tcPr>
            <w:tcW w:w="2268" w:type="dxa"/>
            <w:tcBorders>
              <w:left w:val="nil"/>
              <w:right w:val="nil"/>
            </w:tcBorders>
            <w:vAlign w:val="center"/>
          </w:tcPr>
          <w:p w14:paraId="5A493FA7">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lang w:eastAsia="zh"/>
                <w:woUserID w:val="2"/>
              </w:rPr>
            </w:pPr>
            <w:r>
              <w:rPr>
                <w:rFonts w:hint="eastAsia" w:ascii="Times New Roman" w:hAnsi="Times New Roman" w:eastAsia="宋体" w:cs="Times New Roman"/>
                <w:bCs/>
                <w:color w:val="000000"/>
                <w:sz w:val="30"/>
                <w:szCs w:val="24"/>
                <w:lang w:eastAsia="zh"/>
                <w:woUserID w:val="2"/>
              </w:rPr>
              <w:t>%</w:t>
            </w:r>
          </w:p>
        </w:tc>
      </w:tr>
      <w:tr w14:paraId="49221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gridSpan w:val="2"/>
            <w:tcBorders>
              <w:top w:val="nil"/>
              <w:left w:val="nil"/>
              <w:bottom w:val="nil"/>
              <w:right w:val="nil"/>
            </w:tcBorders>
            <w:vAlign w:val="center"/>
          </w:tcPr>
          <w:p w14:paraId="16A8B477">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rPr>
            </w:pPr>
            <w:r>
              <w:rPr>
                <w:rFonts w:hint="eastAsia" w:ascii="黑体" w:hAnsi="黑体" w:eastAsia="黑体" w:cs="Times New Roman"/>
                <w:sz w:val="28"/>
                <w:szCs w:val="28"/>
                <w:lang w:bidi="en-US"/>
              </w:rPr>
              <w:t xml:space="preserve"> 学生姓名</w:t>
            </w:r>
          </w:p>
        </w:tc>
        <w:tc>
          <w:tcPr>
            <w:tcW w:w="2551" w:type="dxa"/>
            <w:tcBorders>
              <w:left w:val="nil"/>
              <w:right w:val="nil"/>
            </w:tcBorders>
            <w:vAlign w:val="center"/>
          </w:tcPr>
          <w:p w14:paraId="611FEFC7">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rPr>
            </w:pPr>
          </w:p>
        </w:tc>
        <w:tc>
          <w:tcPr>
            <w:tcW w:w="1418" w:type="dxa"/>
            <w:tcBorders>
              <w:top w:val="nil"/>
              <w:left w:val="nil"/>
              <w:bottom w:val="nil"/>
              <w:right w:val="nil"/>
            </w:tcBorders>
            <w:vAlign w:val="center"/>
          </w:tcPr>
          <w:p w14:paraId="213E8820">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rPr>
            </w:pPr>
            <w:r>
              <w:rPr>
                <w:rFonts w:hint="eastAsia" w:ascii="黑体" w:hAnsi="黑体" w:eastAsia="黑体" w:cs="Times New Roman"/>
                <w:sz w:val="28"/>
                <w:szCs w:val="28"/>
                <w:lang w:bidi="en-US"/>
              </w:rPr>
              <w:t>贡献率</w:t>
            </w:r>
          </w:p>
        </w:tc>
        <w:tc>
          <w:tcPr>
            <w:tcW w:w="2268" w:type="dxa"/>
            <w:tcBorders>
              <w:left w:val="nil"/>
              <w:right w:val="nil"/>
            </w:tcBorders>
            <w:vAlign w:val="center"/>
          </w:tcPr>
          <w:p w14:paraId="76F8FD80">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rPr>
            </w:pPr>
            <w:r>
              <w:rPr>
                <w:rFonts w:hint="eastAsia" w:ascii="Times New Roman" w:hAnsi="Times New Roman" w:eastAsia="宋体" w:cs="Times New Roman"/>
                <w:bCs/>
                <w:color w:val="000000"/>
                <w:sz w:val="30"/>
                <w:szCs w:val="24"/>
                <w:lang w:eastAsia="zh"/>
                <w:woUserID w:val="2"/>
              </w:rPr>
              <w:t>%</w:t>
            </w:r>
          </w:p>
        </w:tc>
      </w:tr>
      <w:tr w14:paraId="1928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gridSpan w:val="2"/>
            <w:tcBorders>
              <w:top w:val="nil"/>
              <w:left w:val="nil"/>
              <w:bottom w:val="nil"/>
              <w:right w:val="nil"/>
            </w:tcBorders>
            <w:vAlign w:val="center"/>
          </w:tcPr>
          <w:p w14:paraId="5D6F088A">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黑体" w:hAnsi="黑体" w:eastAsia="黑体" w:cs="Times New Roman"/>
                <w:sz w:val="28"/>
                <w:szCs w:val="28"/>
                <w:lang w:bidi="en-US"/>
              </w:rPr>
            </w:pPr>
            <w:r>
              <w:rPr>
                <w:rFonts w:hint="eastAsia" w:ascii="黑体" w:hAnsi="黑体" w:eastAsia="黑体" w:cs="Times New Roman"/>
                <w:sz w:val="28"/>
                <w:szCs w:val="28"/>
                <w:lang w:bidi="en-US"/>
              </w:rPr>
              <w:t xml:space="preserve"> 学生姓名</w:t>
            </w:r>
          </w:p>
        </w:tc>
        <w:tc>
          <w:tcPr>
            <w:tcW w:w="2551" w:type="dxa"/>
            <w:tcBorders>
              <w:left w:val="nil"/>
              <w:right w:val="nil"/>
            </w:tcBorders>
            <w:vAlign w:val="center"/>
          </w:tcPr>
          <w:p w14:paraId="07A777C5">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rPr>
            </w:pPr>
          </w:p>
        </w:tc>
        <w:tc>
          <w:tcPr>
            <w:tcW w:w="1418" w:type="dxa"/>
            <w:tcBorders>
              <w:top w:val="nil"/>
              <w:left w:val="nil"/>
              <w:bottom w:val="nil"/>
              <w:right w:val="nil"/>
            </w:tcBorders>
            <w:vAlign w:val="center"/>
          </w:tcPr>
          <w:p w14:paraId="3EAA67AE">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黑体" w:hAnsi="黑体" w:eastAsia="黑体" w:cs="Times New Roman"/>
                <w:sz w:val="28"/>
                <w:szCs w:val="28"/>
                <w:lang w:bidi="en-US"/>
              </w:rPr>
            </w:pPr>
            <w:r>
              <w:rPr>
                <w:rFonts w:hint="eastAsia" w:ascii="黑体" w:hAnsi="黑体" w:eastAsia="黑体" w:cs="Times New Roman"/>
                <w:sz w:val="28"/>
                <w:szCs w:val="28"/>
                <w:lang w:bidi="en-US"/>
              </w:rPr>
              <w:t>贡献率</w:t>
            </w:r>
          </w:p>
        </w:tc>
        <w:tc>
          <w:tcPr>
            <w:tcW w:w="2268" w:type="dxa"/>
            <w:tcBorders>
              <w:left w:val="nil"/>
              <w:right w:val="nil"/>
            </w:tcBorders>
            <w:vAlign w:val="center"/>
          </w:tcPr>
          <w:p w14:paraId="2A585102">
            <w:pPr>
              <w:keepNext w:val="0"/>
              <w:keepLines w:val="0"/>
              <w:pageBreakBefore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Times New Roman" w:hAnsi="Times New Roman" w:eastAsia="宋体" w:cs="Times New Roman"/>
                <w:bCs/>
                <w:color w:val="000000"/>
                <w:sz w:val="30"/>
                <w:szCs w:val="24"/>
              </w:rPr>
            </w:pPr>
          </w:p>
        </w:tc>
      </w:tr>
    </w:tbl>
    <w:p w14:paraId="01A09342">
      <w:pPr>
        <w:pageBreakBefore w:val="0"/>
        <w:kinsoku/>
        <w:wordWrap/>
        <w:overflowPunct/>
        <w:topLinePunct w:val="0"/>
        <w:autoSpaceDE/>
        <w:autoSpaceDN/>
        <w:bidi w:val="0"/>
        <w:adjustRightInd/>
        <w:spacing w:line="360" w:lineRule="auto"/>
        <w:jc w:val="center"/>
        <w:textAlignment w:val="auto"/>
        <w:rPr>
          <w:rFonts w:hint="eastAsia" w:ascii="Times New Roman" w:hAnsi="Times New Roman" w:eastAsia="宋体" w:cs="Times New Roman"/>
          <w:bCs/>
          <w:color w:val="000000"/>
          <w:sz w:val="30"/>
          <w:szCs w:val="24"/>
        </w:rPr>
      </w:pPr>
    </w:p>
    <w:p w14:paraId="2DB2DB7F">
      <w:pPr>
        <w:pageBreakBefore w:val="0"/>
        <w:kinsoku/>
        <w:wordWrap/>
        <w:overflowPunct/>
        <w:topLinePunct w:val="0"/>
        <w:autoSpaceDE/>
        <w:autoSpaceDN/>
        <w:bidi w:val="0"/>
        <w:adjustRightInd/>
        <w:spacing w:line="360" w:lineRule="auto"/>
        <w:jc w:val="center"/>
        <w:textAlignment w:val="auto"/>
        <w:rPr>
          <w:rFonts w:ascii="黑体" w:hAnsi="黑体" w:eastAsia="黑体" w:cs="Times New Roman"/>
          <w:bCs/>
          <w:color w:val="000000"/>
          <w:sz w:val="28"/>
          <w:szCs w:val="28"/>
        </w:rPr>
      </w:pPr>
      <w:bookmarkStart w:id="0" w:name="_Hlk100947425"/>
      <w:r>
        <w:rPr>
          <w:rFonts w:hint="eastAsia" w:ascii="黑体" w:hAnsi="黑体" w:eastAsia="黑体" w:cs="Times New Roman"/>
          <w:bCs/>
          <w:color w:val="000000"/>
          <w:sz w:val="28"/>
          <w:szCs w:val="28"/>
        </w:rPr>
        <w:t>二〇</w:t>
      </w:r>
      <w:r>
        <w:rPr>
          <w:rFonts w:hint="eastAsia" w:ascii="黑体" w:hAnsi="黑体" w:eastAsia="黑体" w:cs="Times New Roman"/>
          <w:bCs/>
          <w:color w:val="000000"/>
          <w:sz w:val="28"/>
          <w:szCs w:val="28"/>
          <w:lang w:eastAsia="zh"/>
          <w:woUserID w:val="3"/>
        </w:rPr>
        <w:t>二</w:t>
      </w:r>
      <w:r>
        <w:rPr>
          <w:rFonts w:hint="eastAsia" w:ascii="黑体" w:hAnsi="黑体" w:eastAsia="黑体" w:cs="Times New Roman"/>
          <w:bCs/>
          <w:color w:val="000000"/>
          <w:sz w:val="28"/>
          <w:szCs w:val="28"/>
          <w:lang w:val="en-US" w:eastAsia="zh-CN"/>
          <w:woUserID w:val="3"/>
        </w:rPr>
        <w:t>六</w:t>
      </w:r>
      <w:r>
        <w:rPr>
          <w:rFonts w:hint="eastAsia" w:ascii="黑体" w:hAnsi="黑体" w:eastAsia="黑体" w:cs="Times New Roman"/>
          <w:bCs/>
          <w:color w:val="000000"/>
          <w:sz w:val="28"/>
          <w:szCs w:val="28"/>
        </w:rPr>
        <w:t>年</w:t>
      </w:r>
      <w:r>
        <w:rPr>
          <w:rFonts w:hint="eastAsia" w:ascii="黑体" w:hAnsi="黑体" w:eastAsia="黑体" w:cs="Times New Roman"/>
          <w:bCs/>
          <w:color w:val="000000"/>
          <w:sz w:val="28"/>
          <w:szCs w:val="28"/>
          <w:lang w:val="en-US" w:eastAsia="zh-CN"/>
          <w:woUserID w:val="3"/>
        </w:rPr>
        <w:t>六</w:t>
      </w:r>
      <w:r>
        <w:rPr>
          <w:rFonts w:hint="eastAsia" w:ascii="黑体" w:hAnsi="黑体" w:eastAsia="黑体" w:cs="Times New Roman"/>
          <w:bCs/>
          <w:color w:val="000000"/>
          <w:sz w:val="28"/>
          <w:szCs w:val="28"/>
        </w:rPr>
        <w:t>月</w:t>
      </w:r>
      <w:bookmarkEnd w:id="0"/>
    </w:p>
    <w:p w14:paraId="75680FCB">
      <w:pPr>
        <w:pageBreakBefore w:val="0"/>
        <w:kinsoku/>
        <w:wordWrap/>
        <w:overflowPunct/>
        <w:topLinePunct w:val="0"/>
        <w:autoSpaceDE/>
        <w:autoSpaceDN/>
        <w:bidi w:val="0"/>
        <w:adjustRightInd/>
        <w:spacing w:line="360" w:lineRule="auto"/>
        <w:jc w:val="center"/>
        <w:textAlignment w:val="auto"/>
        <w:rPr>
          <w:rFonts w:ascii="黑体" w:hAnsi="黑体" w:eastAsia="黑体" w:cs="Times New Roman"/>
          <w:bCs/>
          <w:color w:val="000000"/>
          <w:sz w:val="28"/>
          <w:szCs w:val="28"/>
        </w:rPr>
      </w:pPr>
    </w:p>
    <w:p w14:paraId="11620D02">
      <w:pPr>
        <w:pageBreakBefore w:val="0"/>
        <w:kinsoku/>
        <w:wordWrap/>
        <w:overflowPunct/>
        <w:topLinePunct w:val="0"/>
        <w:autoSpaceDE/>
        <w:autoSpaceDN/>
        <w:bidi w:val="0"/>
        <w:adjustRightInd/>
        <w:spacing w:line="360" w:lineRule="auto"/>
        <w:textAlignment w:val="auto"/>
        <w:rPr>
          <w:rFonts w:ascii="黑体" w:hAnsi="黑体" w:eastAsia="黑体" w:cs="Times New Roman"/>
          <w:bCs/>
          <w:color w:val="000000"/>
          <w:sz w:val="28"/>
          <w:szCs w:val="28"/>
        </w:rPr>
      </w:pPr>
    </w:p>
    <w:p w14:paraId="28CF9E3B">
      <w:pPr>
        <w:pageBreakBefore w:val="0"/>
        <w:widowControl/>
        <w:kinsoku/>
        <w:wordWrap/>
        <w:overflowPunct/>
        <w:topLinePunct w:val="0"/>
        <w:autoSpaceDE/>
        <w:autoSpaceDN/>
        <w:bidi w:val="0"/>
        <w:adjustRightInd/>
        <w:spacing w:line="360" w:lineRule="auto"/>
        <w:jc w:val="center"/>
        <w:textAlignment w:val="auto"/>
        <w:rPr>
          <w:rFonts w:ascii="Times New Roman" w:hAnsi="Times New Roman" w:eastAsia="黑体"/>
          <w:bCs/>
          <w:color w:val="000000"/>
          <w:sz w:val="30"/>
          <w:szCs w:val="30"/>
        </w:rPr>
      </w:pPr>
      <w:r>
        <w:rPr>
          <w:rFonts w:ascii="Times New Roman" w:hAnsi="Times New Roman" w:eastAsia="黑体"/>
          <w:bCs/>
          <w:color w:val="000000"/>
          <w:sz w:val="30"/>
          <w:szCs w:val="30"/>
        </w:rPr>
        <w:t>摘</w:t>
      </w:r>
      <w:r>
        <w:rPr>
          <w:rFonts w:ascii="Times New Roman" w:hAnsi="Times New Roman" w:eastAsia="黑体"/>
          <w:color w:val="000000"/>
          <w:sz w:val="30"/>
        </w:rPr>
        <w:t xml:space="preserve">    </w:t>
      </w:r>
      <w:r>
        <w:rPr>
          <w:rFonts w:ascii="Times New Roman" w:hAnsi="Times New Roman" w:eastAsia="黑体"/>
          <w:bCs/>
          <w:color w:val="000000"/>
          <w:sz w:val="30"/>
          <w:szCs w:val="30"/>
        </w:rPr>
        <w:t>要</w:t>
      </w:r>
    </w:p>
    <w:p w14:paraId="5733604B">
      <w:pPr>
        <w:pageBreakBefore w:val="0"/>
        <w:kinsoku/>
        <w:wordWrap/>
        <w:overflowPunct/>
        <w:topLinePunct w:val="0"/>
        <w:autoSpaceDE/>
        <w:autoSpaceDN/>
        <w:bidi w:val="0"/>
        <w:adjustRightInd/>
        <w:spacing w:line="360" w:lineRule="auto"/>
        <w:ind w:left="-240" w:leftChars="-100" w:firstLine="480" w:firstLineChars="200"/>
        <w:textAlignment w:val="auto"/>
        <w:rPr>
          <w:rFonts w:hint="eastAsia" w:ascii="楷体" w:hAnsi="楷体" w:eastAsia="楷体" w:cs="楷体"/>
          <w:bCs/>
          <w:color w:val="000000"/>
          <w:szCs w:val="24"/>
          <w:lang w:val="en-US" w:eastAsia="zh-CN"/>
          <w:woUserID w:val="3"/>
        </w:rPr>
      </w:pPr>
      <w:bookmarkStart w:id="1" w:name="OLE_LINK9"/>
      <w:r>
        <w:rPr>
          <w:rFonts w:hint="eastAsia" w:ascii="楷体" w:hAnsi="楷体" w:eastAsia="楷体" w:cs="楷体"/>
          <w:bCs/>
          <w:color w:val="000000"/>
          <w:szCs w:val="24"/>
          <w:lang w:val="en-US" w:eastAsia="zh-CN"/>
          <w:woUserID w:val="3"/>
        </w:rPr>
        <w:t>本项目……</w:t>
      </w:r>
    </w:p>
    <w:p w14:paraId="2C2113B9">
      <w:pPr>
        <w:pageBreakBefore w:val="0"/>
        <w:kinsoku/>
        <w:wordWrap/>
        <w:overflowPunct/>
        <w:topLinePunct w:val="0"/>
        <w:autoSpaceDE/>
        <w:autoSpaceDN/>
        <w:bidi w:val="0"/>
        <w:adjustRightInd/>
        <w:spacing w:line="360" w:lineRule="auto"/>
        <w:ind w:left="-240" w:leftChars="-100" w:firstLine="480" w:firstLineChars="200"/>
        <w:textAlignment w:val="auto"/>
        <w:rPr>
          <w:rFonts w:hint="eastAsia" w:ascii="楷体" w:hAnsi="楷体" w:eastAsia="楷体" w:cs="楷体"/>
          <w:bCs/>
          <w:color w:val="000000"/>
          <w:szCs w:val="24"/>
          <w:lang w:val="en-US" w:eastAsia="zh-CN"/>
          <w:woUserID w:val="3"/>
        </w:rPr>
      </w:pPr>
      <w:r>
        <w:rPr>
          <w:rFonts w:hint="eastAsia" w:ascii="楷体" w:hAnsi="楷体" w:eastAsia="楷体" w:cs="楷体"/>
          <w:bCs/>
          <w:color w:val="000000"/>
          <w:szCs w:val="24"/>
          <w:lang w:val="en-US" w:eastAsia="zh-CN"/>
          <w:woUserID w:val="3"/>
        </w:rPr>
        <w:t xml:space="preserve"> </w:t>
      </w:r>
    </w:p>
    <w:p w14:paraId="3FAEF97C">
      <w:pPr>
        <w:pageBreakBefore w:val="0"/>
        <w:kinsoku/>
        <w:wordWrap/>
        <w:overflowPunct/>
        <w:topLinePunct w:val="0"/>
        <w:autoSpaceDE/>
        <w:autoSpaceDN/>
        <w:bidi w:val="0"/>
        <w:adjustRightInd/>
        <w:spacing w:line="360" w:lineRule="auto"/>
        <w:ind w:left="-240" w:leftChars="-100"/>
        <w:textAlignment w:val="auto"/>
        <w:rPr>
          <w:rFonts w:hint="eastAsia" w:ascii="楷体" w:hAnsi="楷体" w:eastAsia="楷体" w:cs="楷体"/>
          <w:color w:val="000000"/>
          <w:szCs w:val="24"/>
          <w:lang w:eastAsia="zh-CN"/>
        </w:rPr>
      </w:pPr>
      <w:r>
        <w:rPr>
          <w:rFonts w:hint="eastAsia" w:ascii="楷体" w:hAnsi="楷体" w:eastAsia="楷体" w:cs="楷体"/>
          <w:bCs/>
          <w:color w:val="000000"/>
          <w:szCs w:val="24"/>
        </w:rPr>
        <w:t>【关键词】</w:t>
      </w:r>
      <w:bookmarkEnd w:id="1"/>
      <w:r>
        <w:rPr>
          <w:rFonts w:hint="eastAsia" w:ascii="楷体" w:hAnsi="楷体" w:eastAsia="楷体" w:cs="楷体"/>
          <w:i w:val="0"/>
          <w:iCs w:val="0"/>
          <w:caps w:val="0"/>
          <w:spacing w:val="0"/>
          <w:sz w:val="24"/>
          <w:szCs w:val="24"/>
          <w:shd w:val="clear" w:fill="FFFFFF"/>
          <w:woUserID w:val="3"/>
        </w:rPr>
        <w:t>机器学习；</w:t>
      </w:r>
      <w:r>
        <w:rPr>
          <w:rFonts w:hint="eastAsia" w:ascii="楷体" w:hAnsi="楷体" w:eastAsia="楷体" w:cs="楷体"/>
          <w:i w:val="0"/>
          <w:iCs w:val="0"/>
          <w:caps w:val="0"/>
          <w:spacing w:val="0"/>
          <w:sz w:val="24"/>
          <w:szCs w:val="24"/>
          <w:shd w:val="clear" w:fill="FFFFFF"/>
          <w:lang w:eastAsia="zh-CN"/>
          <w:woUserID w:val="3"/>
        </w:rPr>
        <w:t>……</w:t>
      </w:r>
    </w:p>
    <w:p w14:paraId="5575BE04">
      <w:pPr>
        <w:pageBreakBefore w:val="0"/>
        <w:kinsoku/>
        <w:wordWrap/>
        <w:overflowPunct/>
        <w:topLinePunct w:val="0"/>
        <w:autoSpaceDE/>
        <w:autoSpaceDN/>
        <w:bidi w:val="0"/>
        <w:adjustRightInd/>
        <w:spacing w:line="360" w:lineRule="auto"/>
        <w:textAlignment w:val="auto"/>
        <w:rPr>
          <w:rFonts w:ascii="Times New Roman" w:hAnsi="Times New Roman" w:eastAsia="楷体"/>
          <w:bCs/>
          <w:color w:val="000000"/>
          <w:szCs w:val="24"/>
        </w:rPr>
      </w:pPr>
    </w:p>
    <w:p w14:paraId="14B19344">
      <w:pPr>
        <w:pageBreakBefore w:val="0"/>
        <w:kinsoku/>
        <w:wordWrap/>
        <w:overflowPunct/>
        <w:topLinePunct w:val="0"/>
        <w:autoSpaceDE/>
        <w:autoSpaceDN/>
        <w:bidi w:val="0"/>
        <w:adjustRightInd/>
        <w:spacing w:line="360" w:lineRule="auto"/>
        <w:textAlignment w:val="auto"/>
        <w:rPr>
          <w:rFonts w:ascii="Times New Roman" w:hAnsi="Times New Roman" w:eastAsia="楷体"/>
          <w:bCs/>
          <w:color w:val="000000"/>
          <w:szCs w:val="24"/>
        </w:rPr>
      </w:pPr>
    </w:p>
    <w:p w14:paraId="6085DA7B">
      <w:pPr>
        <w:pageBreakBefore w:val="0"/>
        <w:kinsoku/>
        <w:wordWrap/>
        <w:overflowPunct/>
        <w:topLinePunct w:val="0"/>
        <w:autoSpaceDE/>
        <w:autoSpaceDN/>
        <w:bidi w:val="0"/>
        <w:adjustRightInd/>
        <w:spacing w:line="360" w:lineRule="auto"/>
        <w:textAlignment w:val="auto"/>
        <w:rPr>
          <w:rFonts w:ascii="Times New Roman" w:hAnsi="Times New Roman" w:eastAsia="楷体"/>
          <w:bCs/>
          <w:color w:val="000000"/>
          <w:szCs w:val="24"/>
        </w:rPr>
      </w:pPr>
    </w:p>
    <w:p w14:paraId="5EECCDAC">
      <w:pPr>
        <w:pageBreakBefore w:val="0"/>
        <w:kinsoku/>
        <w:wordWrap/>
        <w:overflowPunct/>
        <w:topLinePunct w:val="0"/>
        <w:autoSpaceDE/>
        <w:autoSpaceDN/>
        <w:bidi w:val="0"/>
        <w:adjustRightInd/>
        <w:spacing w:line="360" w:lineRule="auto"/>
        <w:textAlignment w:val="auto"/>
        <w:rPr>
          <w:rFonts w:ascii="Times New Roman" w:hAnsi="Times New Roman" w:eastAsia="楷体"/>
          <w:bCs/>
          <w:color w:val="000000"/>
          <w:szCs w:val="24"/>
        </w:rPr>
      </w:pPr>
    </w:p>
    <w:p w14:paraId="0540B322">
      <w:pPr>
        <w:pageBreakBefore w:val="0"/>
        <w:kinsoku/>
        <w:wordWrap/>
        <w:overflowPunct/>
        <w:topLinePunct w:val="0"/>
        <w:autoSpaceDE/>
        <w:autoSpaceDN/>
        <w:bidi w:val="0"/>
        <w:adjustRightInd/>
        <w:spacing w:line="360" w:lineRule="auto"/>
        <w:textAlignment w:val="auto"/>
        <w:rPr>
          <w:rFonts w:ascii="Times New Roman" w:hAnsi="Times New Roman" w:eastAsia="楷体"/>
          <w:bCs/>
          <w:color w:val="000000"/>
          <w:szCs w:val="24"/>
        </w:rPr>
      </w:pPr>
    </w:p>
    <w:p w14:paraId="07AD0A30">
      <w:pPr>
        <w:pageBreakBefore w:val="0"/>
        <w:kinsoku/>
        <w:wordWrap/>
        <w:overflowPunct/>
        <w:topLinePunct w:val="0"/>
        <w:autoSpaceDE/>
        <w:autoSpaceDN/>
        <w:bidi w:val="0"/>
        <w:adjustRightInd/>
        <w:spacing w:line="360" w:lineRule="auto"/>
        <w:textAlignment w:val="auto"/>
        <w:rPr>
          <w:rFonts w:ascii="Times New Roman" w:hAnsi="Times New Roman" w:eastAsia="楷体"/>
          <w:bCs/>
          <w:color w:val="000000"/>
          <w:szCs w:val="24"/>
        </w:rPr>
      </w:pPr>
    </w:p>
    <w:p w14:paraId="24357D06">
      <w:pPr>
        <w:pageBreakBefore w:val="0"/>
        <w:kinsoku/>
        <w:wordWrap/>
        <w:overflowPunct/>
        <w:topLinePunct w:val="0"/>
        <w:autoSpaceDE/>
        <w:autoSpaceDN/>
        <w:bidi w:val="0"/>
        <w:adjustRightInd/>
        <w:spacing w:line="360" w:lineRule="auto"/>
        <w:textAlignment w:val="auto"/>
        <w:rPr>
          <w:rFonts w:ascii="Times New Roman" w:hAnsi="Times New Roman" w:eastAsia="楷体"/>
          <w:bCs/>
          <w:color w:val="000000"/>
          <w:szCs w:val="24"/>
        </w:rPr>
      </w:pPr>
    </w:p>
    <w:p w14:paraId="25E04CFE">
      <w:pPr>
        <w:pageBreakBefore w:val="0"/>
        <w:kinsoku/>
        <w:wordWrap/>
        <w:overflowPunct/>
        <w:topLinePunct w:val="0"/>
        <w:autoSpaceDE/>
        <w:autoSpaceDN/>
        <w:bidi w:val="0"/>
        <w:adjustRightInd/>
        <w:spacing w:line="360" w:lineRule="auto"/>
        <w:textAlignment w:val="auto"/>
        <w:rPr>
          <w:rFonts w:ascii="Times New Roman" w:hAnsi="Times New Roman" w:eastAsia="楷体"/>
          <w:bCs/>
          <w:color w:val="000000"/>
          <w:szCs w:val="24"/>
        </w:rPr>
      </w:pPr>
    </w:p>
    <w:p w14:paraId="12AC6D6B">
      <w:pPr>
        <w:pageBreakBefore w:val="0"/>
        <w:kinsoku/>
        <w:wordWrap/>
        <w:overflowPunct/>
        <w:topLinePunct w:val="0"/>
        <w:autoSpaceDE/>
        <w:autoSpaceDN/>
        <w:bidi w:val="0"/>
        <w:adjustRightInd/>
        <w:spacing w:line="360" w:lineRule="auto"/>
        <w:textAlignment w:val="auto"/>
        <w:rPr>
          <w:rFonts w:ascii="Times New Roman" w:hAnsi="Times New Roman" w:eastAsia="楷体"/>
          <w:bCs/>
          <w:color w:val="000000"/>
          <w:szCs w:val="24"/>
        </w:rPr>
      </w:pPr>
    </w:p>
    <w:p w14:paraId="77468D31">
      <w:pPr>
        <w:pageBreakBefore w:val="0"/>
        <w:kinsoku/>
        <w:wordWrap/>
        <w:overflowPunct/>
        <w:topLinePunct w:val="0"/>
        <w:autoSpaceDE/>
        <w:autoSpaceDN/>
        <w:bidi w:val="0"/>
        <w:adjustRightInd/>
        <w:spacing w:line="360" w:lineRule="auto"/>
        <w:textAlignment w:val="auto"/>
        <w:rPr>
          <w:rFonts w:ascii="Times New Roman" w:hAnsi="Times New Roman" w:eastAsia="楷体"/>
          <w:bCs/>
          <w:color w:val="000000"/>
          <w:szCs w:val="24"/>
        </w:rPr>
      </w:pPr>
    </w:p>
    <w:p w14:paraId="430D6256">
      <w:pPr>
        <w:pageBreakBefore w:val="0"/>
        <w:widowControl/>
        <w:kinsoku/>
        <w:wordWrap/>
        <w:overflowPunct/>
        <w:topLinePunct w:val="0"/>
        <w:autoSpaceDE/>
        <w:autoSpaceDN/>
        <w:bidi w:val="0"/>
        <w:adjustRightInd/>
        <w:spacing w:line="360" w:lineRule="auto"/>
        <w:jc w:val="left"/>
        <w:textAlignment w:val="auto"/>
        <w:rPr>
          <w:rFonts w:hint="eastAsia" w:ascii="Times New Roman" w:hAnsi="Times New Roman" w:eastAsia="黑体"/>
          <w:bCs/>
          <w:color w:val="000000"/>
          <w:sz w:val="30"/>
          <w:szCs w:val="30"/>
        </w:rPr>
        <w:sectPr>
          <w:headerReference r:id="rId4" w:type="first"/>
          <w:footerReference r:id="rId6" w:type="first"/>
          <w:headerReference r:id="rId3" w:type="default"/>
          <w:footerReference r:id="rId5" w:type="default"/>
          <w:pgSz w:w="11906" w:h="16838"/>
          <w:pgMar w:top="1701" w:right="1701" w:bottom="1531" w:left="1701" w:header="1134" w:footer="1134" w:gutter="567"/>
          <w:pgNumType w:fmt="upperRoman" w:start="1"/>
          <w:cols w:space="425" w:num="1"/>
          <w:titlePg/>
          <w:docGrid w:type="linesAndChars" w:linePitch="326" w:charSpace="0"/>
        </w:sectPr>
      </w:pPr>
    </w:p>
    <w:p w14:paraId="34A69A41">
      <w:pPr>
        <w:pageBreakBefore w:val="0"/>
        <w:widowControl/>
        <w:kinsoku/>
        <w:wordWrap/>
        <w:overflowPunct/>
        <w:topLinePunct w:val="0"/>
        <w:autoSpaceDE/>
        <w:autoSpaceDN/>
        <w:bidi w:val="0"/>
        <w:adjustRightInd/>
        <w:spacing w:line="360" w:lineRule="auto"/>
        <w:jc w:val="left"/>
        <w:textAlignment w:val="auto"/>
        <w:rPr>
          <w:rFonts w:hint="eastAsia" w:ascii="Times New Roman" w:hAnsi="Times New Roman"/>
          <w:szCs w:val="24"/>
        </w:rPr>
      </w:pPr>
    </w:p>
    <w:sdt>
      <w:sdtPr>
        <w:rPr>
          <w:rFonts w:ascii="Times New Roman" w:hAnsi="Times New Roman" w:eastAsiaTheme="minorEastAsia" w:cstheme="minorBidi"/>
          <w:b/>
          <w:bCs/>
          <w:color w:val="auto"/>
          <w:kern w:val="2"/>
          <w:sz w:val="21"/>
          <w:szCs w:val="22"/>
          <w:lang w:val="zh-CN"/>
        </w:rPr>
        <w:id w:val="509187651"/>
        <w:docPartObj>
          <w:docPartGallery w:val="Table of Contents"/>
          <w:docPartUnique/>
        </w:docPartObj>
      </w:sdtPr>
      <w:sdtEndPr>
        <w:rPr>
          <w:rFonts w:cs="Times New Roman" w:asciiTheme="majorEastAsia" w:hAnsiTheme="majorEastAsia" w:eastAsiaTheme="majorEastAsia"/>
          <w:b/>
          <w:bCs/>
          <w:color w:val="auto"/>
          <w:kern w:val="44"/>
          <w:sz w:val="28"/>
          <w:szCs w:val="28"/>
          <w:lang w:val="zh-CN"/>
        </w:rPr>
      </w:sdtEndPr>
      <w:sdtContent>
        <w:p w14:paraId="42D3123E">
          <w:pPr>
            <w:pageBreakBefore w:val="0"/>
            <w:kinsoku/>
            <w:wordWrap/>
            <w:overflowPunct/>
            <w:topLinePunct w:val="0"/>
            <w:autoSpaceDE/>
            <w:autoSpaceDN/>
            <w:bidi w:val="0"/>
            <w:adjustRightInd/>
            <w:spacing w:before="0" w:beforeLines="0" w:after="0" w:afterLines="0" w:line="360" w:lineRule="auto"/>
            <w:ind w:left="0" w:leftChars="0" w:right="0" w:rightChars="0" w:firstLine="0" w:firstLineChars="0"/>
            <w:jc w:val="center"/>
            <w:textAlignment w:val="auto"/>
          </w:pPr>
          <w:r>
            <w:rPr>
              <w:rFonts w:ascii="宋体" w:hAnsi="宋体" w:eastAsia="宋体"/>
              <w:sz w:val="21"/>
            </w:rPr>
            <w:t>目录</w:t>
          </w:r>
        </w:p>
        <w:p w14:paraId="18460F08">
          <w:pPr>
            <w:pStyle w:val="16"/>
            <w:tabs>
              <w:tab w:val="right" w:leader="dot" w:pos="7937"/>
              <w:tab w:val="clear" w:pos="7927"/>
            </w:tabs>
          </w:pPr>
          <w:r>
            <w:fldChar w:fldCharType="begin"/>
          </w:r>
          <w:r>
            <w:instrText xml:space="preserve"> TOC \o "1-3" \h \z \u </w:instrText>
          </w:r>
          <w:r>
            <w:fldChar w:fldCharType="separate"/>
          </w:r>
          <w:r>
            <w:fldChar w:fldCharType="begin"/>
          </w:r>
          <w:r>
            <w:instrText xml:space="preserve"> HYPERLINK \l _Toc12079 </w:instrText>
          </w:r>
          <w:r>
            <w:fldChar w:fldCharType="separate"/>
          </w:r>
          <w:r>
            <w:rPr>
              <w:rFonts w:hint="default" w:ascii="Times New Roman" w:hAnsi="Times New Roman" w:eastAsia="宋体" w:cs="Times New Roman"/>
            </w:rPr>
            <w:t>1</w:t>
          </w:r>
          <w:r>
            <w:rPr>
              <w:rFonts w:hint="eastAsia" w:ascii="宋体" w:hAnsi="宋体" w:eastAsia="宋体" w:cs="宋体"/>
              <w:lang w:eastAsia="zh"/>
              <w:woUserID w:val="2"/>
            </w:rPr>
            <w:t>研究背景与意义</w:t>
          </w:r>
          <w:r>
            <w:tab/>
          </w:r>
          <w:r>
            <w:fldChar w:fldCharType="begin"/>
          </w:r>
          <w:r>
            <w:instrText xml:space="preserve"> PAGEREF _Toc12079 \h </w:instrText>
          </w:r>
          <w:r>
            <w:fldChar w:fldCharType="separate"/>
          </w:r>
          <w:r>
            <w:t>1</w:t>
          </w:r>
          <w:r>
            <w:fldChar w:fldCharType="end"/>
          </w:r>
          <w:r>
            <w:fldChar w:fldCharType="end"/>
          </w:r>
        </w:p>
        <w:p w14:paraId="197B13C6">
          <w:pPr>
            <w:pStyle w:val="18"/>
            <w:tabs>
              <w:tab w:val="right" w:leader="dot" w:pos="7937"/>
            </w:tabs>
          </w:pPr>
          <w:r>
            <w:rPr>
              <w:lang w:val="zh-CN"/>
            </w:rPr>
            <w:fldChar w:fldCharType="begin"/>
          </w:r>
          <w:r>
            <w:rPr>
              <w:lang w:val="zh-CN"/>
            </w:rPr>
            <w:instrText xml:space="preserve"> HYPERLINK \l _Toc20394 </w:instrText>
          </w:r>
          <w:r>
            <w:rPr>
              <w:lang w:val="zh-CN"/>
            </w:rPr>
            <w:fldChar w:fldCharType="separate"/>
          </w:r>
          <w:r>
            <w:rPr>
              <w:rFonts w:hint="default" w:ascii="Times New Roman" w:hAnsi="Times New Roman" w:eastAsia="宋体" w:cs="Times New Roman"/>
            </w:rPr>
            <w:t>1.1</w:t>
          </w:r>
          <w:r>
            <w:rPr>
              <w:rFonts w:hint="eastAsia" w:ascii="宋体" w:hAnsi="宋体" w:eastAsia="宋体" w:cs="宋体"/>
              <w:lang w:eastAsia="zh"/>
              <w:woUserID w:val="2"/>
            </w:rPr>
            <w:t>研究背景</w:t>
          </w:r>
          <w:r>
            <w:tab/>
          </w:r>
          <w:r>
            <w:fldChar w:fldCharType="begin"/>
          </w:r>
          <w:r>
            <w:instrText xml:space="preserve"> PAGEREF _Toc20394 \h </w:instrText>
          </w:r>
          <w:r>
            <w:fldChar w:fldCharType="separate"/>
          </w:r>
          <w:r>
            <w:t>1</w:t>
          </w:r>
          <w:r>
            <w:fldChar w:fldCharType="end"/>
          </w:r>
          <w:r>
            <w:rPr>
              <w:lang w:val="zh-CN"/>
            </w:rPr>
            <w:fldChar w:fldCharType="end"/>
          </w:r>
        </w:p>
        <w:p w14:paraId="64FBEE42">
          <w:pPr>
            <w:pStyle w:val="18"/>
            <w:tabs>
              <w:tab w:val="right" w:leader="dot" w:pos="7937"/>
            </w:tabs>
          </w:pPr>
          <w:r>
            <w:rPr>
              <w:lang w:val="zh-CN"/>
            </w:rPr>
            <w:fldChar w:fldCharType="begin"/>
          </w:r>
          <w:r>
            <w:rPr>
              <w:lang w:val="zh-CN"/>
            </w:rPr>
            <w:instrText xml:space="preserve"> HYPERLINK \l _Toc26036 </w:instrText>
          </w:r>
          <w:r>
            <w:rPr>
              <w:lang w:val="zh-CN"/>
            </w:rPr>
            <w:fldChar w:fldCharType="separate"/>
          </w:r>
          <w:r>
            <w:rPr>
              <w:rFonts w:hint="default" w:ascii="Times New Roman" w:hAnsi="Times New Roman" w:eastAsia="宋体" w:cs="Times New Roman"/>
            </w:rPr>
            <w:t>1.2</w:t>
          </w:r>
          <w:r>
            <w:rPr>
              <w:rFonts w:hint="eastAsia" w:ascii="宋体" w:hAnsi="宋体" w:eastAsia="宋体" w:cs="宋体"/>
              <w:lang w:eastAsia="zh"/>
            </w:rPr>
            <w:t>研究意义</w:t>
          </w:r>
          <w:r>
            <w:tab/>
          </w:r>
          <w:r>
            <w:fldChar w:fldCharType="begin"/>
          </w:r>
          <w:r>
            <w:instrText xml:space="preserve"> PAGEREF _Toc26036 \h </w:instrText>
          </w:r>
          <w:r>
            <w:fldChar w:fldCharType="separate"/>
          </w:r>
          <w:r>
            <w:t>1</w:t>
          </w:r>
          <w:r>
            <w:fldChar w:fldCharType="end"/>
          </w:r>
          <w:r>
            <w:rPr>
              <w:lang w:val="zh-CN"/>
            </w:rPr>
            <w:fldChar w:fldCharType="end"/>
          </w:r>
        </w:p>
        <w:p w14:paraId="66E78134">
          <w:pPr>
            <w:pStyle w:val="18"/>
            <w:tabs>
              <w:tab w:val="right" w:leader="dot" w:pos="7937"/>
            </w:tabs>
          </w:pPr>
          <w:r>
            <w:rPr>
              <w:lang w:val="zh-CN"/>
            </w:rPr>
            <w:fldChar w:fldCharType="begin"/>
          </w:r>
          <w:r>
            <w:rPr>
              <w:lang w:val="zh-CN"/>
            </w:rPr>
            <w:instrText xml:space="preserve"> HYPERLINK \l _Toc12828 </w:instrText>
          </w:r>
          <w:r>
            <w:rPr>
              <w:lang w:val="zh-CN"/>
            </w:rPr>
            <w:fldChar w:fldCharType="separate"/>
          </w:r>
          <w:r>
            <w:rPr>
              <w:rFonts w:hint="default" w:ascii="Times New Roman" w:hAnsi="Times New Roman" w:eastAsia="宋体" w:cs="Times New Roman"/>
            </w:rPr>
            <w:t>1.3</w:t>
          </w:r>
          <w:r>
            <w:rPr>
              <w:rFonts w:hint="eastAsia" w:ascii="宋体" w:hAnsi="宋体" w:eastAsia="宋体" w:cs="宋体"/>
            </w:rPr>
            <w:t>研究思路与方法</w:t>
          </w:r>
          <w:r>
            <w:tab/>
          </w:r>
          <w:r>
            <w:fldChar w:fldCharType="begin"/>
          </w:r>
          <w:r>
            <w:instrText xml:space="preserve"> PAGEREF _Toc12828 \h </w:instrText>
          </w:r>
          <w:r>
            <w:fldChar w:fldCharType="separate"/>
          </w:r>
          <w:r>
            <w:t>2</w:t>
          </w:r>
          <w:r>
            <w:fldChar w:fldCharType="end"/>
          </w:r>
          <w:r>
            <w:rPr>
              <w:lang w:val="zh-CN"/>
            </w:rPr>
            <w:fldChar w:fldCharType="end"/>
          </w:r>
        </w:p>
        <w:p w14:paraId="207F9D77">
          <w:pPr>
            <w:pStyle w:val="16"/>
            <w:tabs>
              <w:tab w:val="right" w:leader="dot" w:pos="7937"/>
              <w:tab w:val="clear" w:pos="7927"/>
            </w:tabs>
          </w:pPr>
          <w:r>
            <w:rPr>
              <w:lang w:val="zh-CN"/>
            </w:rPr>
            <w:fldChar w:fldCharType="begin"/>
          </w:r>
          <w:r>
            <w:rPr>
              <w:lang w:val="zh-CN"/>
            </w:rPr>
            <w:instrText xml:space="preserve"> HYPERLINK \l _Toc639 </w:instrText>
          </w:r>
          <w:r>
            <w:rPr>
              <w:lang w:val="zh-CN"/>
            </w:rPr>
            <w:fldChar w:fldCharType="separate"/>
          </w:r>
          <w:r>
            <w:rPr>
              <w:rFonts w:hint="default" w:ascii="Times New Roman" w:hAnsi="Times New Roman" w:eastAsia="宋体" w:cs="Times New Roman"/>
            </w:rPr>
            <w:t>2</w:t>
          </w:r>
          <w:r>
            <w:rPr>
              <w:rFonts w:hint="eastAsia" w:ascii="宋体" w:hAnsi="宋体" w:eastAsia="宋体" w:cs="宋体"/>
              <w:lang w:eastAsia="zh"/>
              <w:woUserID w:val="2"/>
            </w:rPr>
            <w:t>数据探索性分析</w:t>
          </w:r>
          <w:r>
            <w:tab/>
          </w:r>
          <w:r>
            <w:fldChar w:fldCharType="begin"/>
          </w:r>
          <w:r>
            <w:instrText xml:space="preserve"> PAGEREF _Toc639 \h </w:instrText>
          </w:r>
          <w:r>
            <w:fldChar w:fldCharType="separate"/>
          </w:r>
          <w:r>
            <w:t>2</w:t>
          </w:r>
          <w:r>
            <w:fldChar w:fldCharType="end"/>
          </w:r>
          <w:r>
            <w:rPr>
              <w:lang w:val="zh-CN"/>
            </w:rPr>
            <w:fldChar w:fldCharType="end"/>
          </w:r>
        </w:p>
        <w:p w14:paraId="1A475DF4">
          <w:pPr>
            <w:pStyle w:val="18"/>
            <w:tabs>
              <w:tab w:val="right" w:leader="dot" w:pos="7937"/>
            </w:tabs>
          </w:pPr>
          <w:r>
            <w:rPr>
              <w:lang w:val="zh-CN"/>
            </w:rPr>
            <w:fldChar w:fldCharType="begin"/>
          </w:r>
          <w:r>
            <w:rPr>
              <w:lang w:val="zh-CN"/>
            </w:rPr>
            <w:instrText xml:space="preserve"> HYPERLINK \l _Toc3314 </w:instrText>
          </w:r>
          <w:r>
            <w:rPr>
              <w:lang w:val="zh-CN"/>
            </w:rPr>
            <w:fldChar w:fldCharType="separate"/>
          </w:r>
          <w:r>
            <w:t>2.1</w:t>
          </w:r>
          <w:r>
            <w:rPr>
              <w:rFonts w:hint="eastAsia"/>
              <w:lang w:eastAsia="zh"/>
              <w:woUserID w:val="2"/>
            </w:rPr>
            <w:t>数据集概览</w:t>
          </w:r>
          <w:r>
            <w:tab/>
          </w:r>
          <w:r>
            <w:fldChar w:fldCharType="begin"/>
          </w:r>
          <w:r>
            <w:instrText xml:space="preserve"> PAGEREF _Toc3314 \h </w:instrText>
          </w:r>
          <w:r>
            <w:fldChar w:fldCharType="separate"/>
          </w:r>
          <w:r>
            <w:t>2</w:t>
          </w:r>
          <w:r>
            <w:fldChar w:fldCharType="end"/>
          </w:r>
          <w:r>
            <w:rPr>
              <w:lang w:val="zh-CN"/>
            </w:rPr>
            <w:fldChar w:fldCharType="end"/>
          </w:r>
        </w:p>
        <w:p w14:paraId="1EA91B1F">
          <w:pPr>
            <w:pStyle w:val="18"/>
            <w:tabs>
              <w:tab w:val="right" w:leader="dot" w:pos="7937"/>
            </w:tabs>
          </w:pPr>
          <w:r>
            <w:rPr>
              <w:lang w:val="zh-CN"/>
            </w:rPr>
            <w:fldChar w:fldCharType="begin"/>
          </w:r>
          <w:r>
            <w:rPr>
              <w:lang w:val="zh-CN"/>
            </w:rPr>
            <w:instrText xml:space="preserve"> HYPERLINK \l _Toc25975 </w:instrText>
          </w:r>
          <w:r>
            <w:rPr>
              <w:lang w:val="zh-CN"/>
            </w:rPr>
            <w:fldChar w:fldCharType="separate"/>
          </w:r>
          <w:r>
            <w:rPr>
              <w:rFonts w:hint="eastAsia"/>
            </w:rPr>
            <w:t>2</w:t>
          </w:r>
          <w:r>
            <w:t>.2</w:t>
          </w:r>
          <w:r>
            <w:rPr>
              <w:rFonts w:hint="eastAsia"/>
              <w:lang w:eastAsia="zh"/>
              <w:woUserID w:val="2"/>
            </w:rPr>
            <w:t>目标变量分析</w:t>
          </w:r>
          <w:r>
            <w:tab/>
          </w:r>
          <w:r>
            <w:fldChar w:fldCharType="begin"/>
          </w:r>
          <w:r>
            <w:instrText xml:space="preserve"> PAGEREF _Toc25975 \h </w:instrText>
          </w:r>
          <w:r>
            <w:fldChar w:fldCharType="separate"/>
          </w:r>
          <w:r>
            <w:t>3</w:t>
          </w:r>
          <w:r>
            <w:fldChar w:fldCharType="end"/>
          </w:r>
          <w:r>
            <w:rPr>
              <w:lang w:val="zh-CN"/>
            </w:rPr>
            <w:fldChar w:fldCharType="end"/>
          </w:r>
        </w:p>
        <w:p w14:paraId="372420C3">
          <w:pPr>
            <w:pStyle w:val="18"/>
            <w:tabs>
              <w:tab w:val="right" w:leader="dot" w:pos="7937"/>
            </w:tabs>
          </w:pPr>
          <w:r>
            <w:rPr>
              <w:lang w:val="zh-CN"/>
            </w:rPr>
            <w:fldChar w:fldCharType="begin"/>
          </w:r>
          <w:r>
            <w:rPr>
              <w:lang w:val="zh-CN"/>
            </w:rPr>
            <w:instrText xml:space="preserve"> HYPERLINK \l _Toc29756 </w:instrText>
          </w:r>
          <w:r>
            <w:rPr>
              <w:lang w:val="zh-CN"/>
            </w:rPr>
            <w:fldChar w:fldCharType="separate"/>
          </w:r>
          <w:r>
            <w:rPr>
              <w:rFonts w:hint="eastAsia"/>
              <w:woUserID w:val="2"/>
            </w:rPr>
            <w:t>2</w:t>
          </w:r>
          <w:r>
            <w:rPr>
              <w:woUserID w:val="2"/>
            </w:rPr>
            <w:t>.</w:t>
          </w:r>
          <w:r>
            <w:rPr>
              <w:rFonts w:hint="eastAsia"/>
              <w:lang w:val="en-US" w:eastAsia="zh-CN"/>
              <w:woUserID w:val="2"/>
            </w:rPr>
            <w:t>3</w:t>
          </w:r>
          <w:r>
            <w:rPr>
              <w:rFonts w:hint="eastAsia"/>
              <w:lang w:eastAsia="zh"/>
              <w:woUserID w:val="2"/>
            </w:rPr>
            <w:t>特征相关性分析</w:t>
          </w:r>
          <w:r>
            <w:tab/>
          </w:r>
          <w:r>
            <w:fldChar w:fldCharType="begin"/>
          </w:r>
          <w:r>
            <w:instrText xml:space="preserve"> PAGEREF _Toc29756 \h </w:instrText>
          </w:r>
          <w:r>
            <w:fldChar w:fldCharType="separate"/>
          </w:r>
          <w:r>
            <w:t>4</w:t>
          </w:r>
          <w:r>
            <w:fldChar w:fldCharType="end"/>
          </w:r>
          <w:r>
            <w:rPr>
              <w:lang w:val="zh-CN"/>
            </w:rPr>
            <w:fldChar w:fldCharType="end"/>
          </w:r>
        </w:p>
        <w:p w14:paraId="486B7A0B">
          <w:pPr>
            <w:pStyle w:val="18"/>
            <w:tabs>
              <w:tab w:val="right" w:leader="dot" w:pos="7937"/>
            </w:tabs>
          </w:pPr>
          <w:r>
            <w:rPr>
              <w:lang w:val="zh-CN"/>
            </w:rPr>
            <w:fldChar w:fldCharType="begin"/>
          </w:r>
          <w:r>
            <w:rPr>
              <w:lang w:val="zh-CN"/>
            </w:rPr>
            <w:instrText xml:space="preserve"> HYPERLINK \l _Toc16166 </w:instrText>
          </w:r>
          <w:r>
            <w:rPr>
              <w:lang w:val="zh-CN"/>
            </w:rPr>
            <w:fldChar w:fldCharType="separate"/>
          </w:r>
          <w:r>
            <w:rPr>
              <w:rFonts w:hint="default"/>
              <w:woUserID w:val="2"/>
            </w:rPr>
            <w:t>2.4数值特征变换策略对比分析</w:t>
          </w:r>
          <w:r>
            <w:tab/>
          </w:r>
          <w:r>
            <w:fldChar w:fldCharType="begin"/>
          </w:r>
          <w:r>
            <w:instrText xml:space="preserve"> PAGEREF _Toc16166 \h </w:instrText>
          </w:r>
          <w:r>
            <w:fldChar w:fldCharType="separate"/>
          </w:r>
          <w:r>
            <w:t>7</w:t>
          </w:r>
          <w:r>
            <w:fldChar w:fldCharType="end"/>
          </w:r>
          <w:r>
            <w:rPr>
              <w:lang w:val="zh-CN"/>
            </w:rPr>
            <w:fldChar w:fldCharType="end"/>
          </w:r>
        </w:p>
        <w:p w14:paraId="16E66BE8">
          <w:pPr>
            <w:pStyle w:val="18"/>
            <w:tabs>
              <w:tab w:val="right" w:leader="dot" w:pos="7937"/>
            </w:tabs>
          </w:pPr>
          <w:r>
            <w:rPr>
              <w:lang w:val="zh-CN"/>
            </w:rPr>
            <w:fldChar w:fldCharType="begin"/>
          </w:r>
          <w:r>
            <w:rPr>
              <w:lang w:val="zh-CN"/>
            </w:rPr>
            <w:instrText xml:space="preserve"> HYPERLINK \l _Toc30763 </w:instrText>
          </w:r>
          <w:r>
            <w:rPr>
              <w:lang w:val="zh-CN"/>
            </w:rPr>
            <w:fldChar w:fldCharType="separate"/>
          </w:r>
          <w:r>
            <w:rPr>
              <w:rFonts w:hint="default"/>
              <w:woUserID w:val="2"/>
            </w:rPr>
            <w:t>2.5 衍生特征有效性综合验证</w:t>
          </w:r>
          <w:r>
            <w:tab/>
          </w:r>
          <w:r>
            <w:fldChar w:fldCharType="begin"/>
          </w:r>
          <w:r>
            <w:instrText xml:space="preserve"> PAGEREF _Toc30763 \h </w:instrText>
          </w:r>
          <w:r>
            <w:fldChar w:fldCharType="separate"/>
          </w:r>
          <w:r>
            <w:t>9</w:t>
          </w:r>
          <w:r>
            <w:fldChar w:fldCharType="end"/>
          </w:r>
          <w:r>
            <w:rPr>
              <w:lang w:val="zh-CN"/>
            </w:rPr>
            <w:fldChar w:fldCharType="end"/>
          </w:r>
        </w:p>
        <w:p w14:paraId="4C7FFB59">
          <w:pPr>
            <w:pStyle w:val="18"/>
            <w:tabs>
              <w:tab w:val="right" w:leader="dot" w:pos="7937"/>
            </w:tabs>
          </w:pPr>
          <w:r>
            <w:rPr>
              <w:lang w:val="zh-CN"/>
            </w:rPr>
            <w:fldChar w:fldCharType="begin"/>
          </w:r>
          <w:r>
            <w:rPr>
              <w:lang w:val="zh-CN"/>
            </w:rPr>
            <w:instrText xml:space="preserve"> HYPERLINK \l _Toc16765 </w:instrText>
          </w:r>
          <w:r>
            <w:rPr>
              <w:lang w:val="zh-CN"/>
            </w:rPr>
            <w:fldChar w:fldCharType="separate"/>
          </w:r>
          <w:r>
            <w:rPr>
              <w:rFonts w:hint="default" w:ascii="Times New Roman" w:hAnsi="Times New Roman" w:eastAsia="宋体" w:cs="Times New Roman"/>
              <w:szCs w:val="30"/>
            </w:rPr>
            <w:t>3</w:t>
          </w:r>
          <w:r>
            <w:rPr>
              <w:rFonts w:hint="eastAsia" w:ascii="宋体" w:hAnsi="宋体" w:eastAsia="宋体" w:cs="宋体"/>
              <w:szCs w:val="30"/>
              <w:lang w:eastAsia="zh"/>
            </w:rPr>
            <w:t>数据预处理与特征工程</w:t>
          </w:r>
          <w:r>
            <w:tab/>
          </w:r>
          <w:r>
            <w:fldChar w:fldCharType="begin"/>
          </w:r>
          <w:r>
            <w:instrText xml:space="preserve"> PAGEREF _Toc16765 \h </w:instrText>
          </w:r>
          <w:r>
            <w:fldChar w:fldCharType="separate"/>
          </w:r>
          <w:r>
            <w:t>14</w:t>
          </w:r>
          <w:r>
            <w:fldChar w:fldCharType="end"/>
          </w:r>
          <w:r>
            <w:rPr>
              <w:lang w:val="zh-CN"/>
            </w:rPr>
            <w:fldChar w:fldCharType="end"/>
          </w:r>
        </w:p>
        <w:p w14:paraId="3F29B5C6">
          <w:pPr>
            <w:pStyle w:val="18"/>
            <w:tabs>
              <w:tab w:val="right" w:leader="dot" w:pos="7937"/>
            </w:tabs>
          </w:pPr>
          <w:r>
            <w:rPr>
              <w:lang w:val="zh-CN"/>
            </w:rPr>
            <w:fldChar w:fldCharType="begin"/>
          </w:r>
          <w:r>
            <w:rPr>
              <w:lang w:val="zh-CN"/>
            </w:rPr>
            <w:instrText xml:space="preserve"> HYPERLINK \l _Toc849 </w:instrText>
          </w:r>
          <w:r>
            <w:rPr>
              <w:lang w:val="zh-CN"/>
            </w:rPr>
            <w:fldChar w:fldCharType="separate"/>
          </w:r>
          <w:r>
            <w:rPr>
              <w:rFonts w:hint="default" w:ascii="Times New Roman" w:hAnsi="Times New Roman" w:eastAsia="宋体" w:cs="Times New Roman"/>
            </w:rPr>
            <w:t>3.1</w:t>
          </w:r>
          <w:r>
            <w:rPr>
              <w:rFonts w:hint="eastAsia" w:ascii="宋体" w:hAnsi="宋体" w:eastAsia="宋体" w:cs="宋体"/>
              <w:lang w:eastAsia="zh"/>
              <w:woUserID w:val="2"/>
            </w:rPr>
            <w:t>数据清洗与异常值处理</w:t>
          </w:r>
          <w:r>
            <w:tab/>
          </w:r>
          <w:r>
            <w:fldChar w:fldCharType="begin"/>
          </w:r>
          <w:r>
            <w:instrText xml:space="preserve"> PAGEREF _Toc849 \h </w:instrText>
          </w:r>
          <w:r>
            <w:fldChar w:fldCharType="separate"/>
          </w:r>
          <w:r>
            <w:t>14</w:t>
          </w:r>
          <w:r>
            <w:fldChar w:fldCharType="end"/>
          </w:r>
          <w:r>
            <w:rPr>
              <w:lang w:val="zh-CN"/>
            </w:rPr>
            <w:fldChar w:fldCharType="end"/>
          </w:r>
        </w:p>
        <w:p w14:paraId="4DFC60A4">
          <w:pPr>
            <w:pStyle w:val="18"/>
            <w:tabs>
              <w:tab w:val="right" w:leader="dot" w:pos="7937"/>
            </w:tabs>
          </w:pPr>
          <w:r>
            <w:rPr>
              <w:lang w:val="zh-CN"/>
            </w:rPr>
            <w:fldChar w:fldCharType="begin"/>
          </w:r>
          <w:r>
            <w:rPr>
              <w:lang w:val="zh-CN"/>
            </w:rPr>
            <w:instrText xml:space="preserve"> HYPERLINK \l _Toc13223 </w:instrText>
          </w:r>
          <w:r>
            <w:rPr>
              <w:lang w:val="zh-CN"/>
            </w:rPr>
            <w:fldChar w:fldCharType="separate"/>
          </w:r>
          <w:r>
            <w:rPr>
              <w:rFonts w:hint="eastAsia"/>
            </w:rPr>
            <w:t>3</w:t>
          </w:r>
          <w:r>
            <w:t>.2</w:t>
          </w:r>
          <w:r>
            <w:rPr>
              <w:rFonts w:hint="eastAsia"/>
              <w:lang w:eastAsia="zh"/>
              <w:woUserID w:val="2"/>
            </w:rPr>
            <w:t>分类特征编码</w:t>
          </w:r>
          <w:r>
            <w:tab/>
          </w:r>
          <w:r>
            <w:fldChar w:fldCharType="begin"/>
          </w:r>
          <w:r>
            <w:instrText xml:space="preserve"> PAGEREF _Toc13223 \h </w:instrText>
          </w:r>
          <w:r>
            <w:fldChar w:fldCharType="separate"/>
          </w:r>
          <w:r>
            <w:t>17</w:t>
          </w:r>
          <w:r>
            <w:fldChar w:fldCharType="end"/>
          </w:r>
          <w:r>
            <w:rPr>
              <w:lang w:val="zh-CN"/>
            </w:rPr>
            <w:fldChar w:fldCharType="end"/>
          </w:r>
        </w:p>
        <w:p w14:paraId="5AA35A98">
          <w:pPr>
            <w:pStyle w:val="18"/>
            <w:tabs>
              <w:tab w:val="right" w:leader="dot" w:pos="7937"/>
            </w:tabs>
          </w:pPr>
          <w:r>
            <w:rPr>
              <w:lang w:val="zh-CN"/>
            </w:rPr>
            <w:fldChar w:fldCharType="begin"/>
          </w:r>
          <w:r>
            <w:rPr>
              <w:lang w:val="zh-CN"/>
            </w:rPr>
            <w:instrText xml:space="preserve"> HYPERLINK \l _Toc5025 </w:instrText>
          </w:r>
          <w:r>
            <w:rPr>
              <w:lang w:val="zh-CN"/>
            </w:rPr>
            <w:fldChar w:fldCharType="separate"/>
          </w:r>
          <w:r>
            <w:rPr>
              <w:rFonts w:hint="eastAsia"/>
            </w:rPr>
            <w:t>3</w:t>
          </w:r>
          <w:r>
            <w:t>.3</w:t>
          </w:r>
          <w:r>
            <w:rPr>
              <w:rFonts w:hint="eastAsia"/>
              <w:lang w:eastAsia="zh"/>
              <w:woUserID w:val="2"/>
            </w:rPr>
            <w:t>特征工程</w:t>
          </w:r>
          <w:r>
            <w:tab/>
          </w:r>
          <w:r>
            <w:fldChar w:fldCharType="begin"/>
          </w:r>
          <w:r>
            <w:instrText xml:space="preserve"> PAGEREF _Toc5025 \h </w:instrText>
          </w:r>
          <w:r>
            <w:fldChar w:fldCharType="separate"/>
          </w:r>
          <w:r>
            <w:t>19</w:t>
          </w:r>
          <w:r>
            <w:fldChar w:fldCharType="end"/>
          </w:r>
          <w:r>
            <w:rPr>
              <w:lang w:val="zh-CN"/>
            </w:rPr>
            <w:fldChar w:fldCharType="end"/>
          </w:r>
        </w:p>
        <w:p w14:paraId="5229E781">
          <w:pPr>
            <w:pStyle w:val="12"/>
            <w:tabs>
              <w:tab w:val="right" w:leader="dot" w:pos="7937"/>
            </w:tabs>
          </w:pPr>
          <w:r>
            <w:rPr>
              <w:lang w:val="zh-CN"/>
            </w:rPr>
            <w:fldChar w:fldCharType="begin"/>
          </w:r>
          <w:r>
            <w:rPr>
              <w:lang w:val="zh-CN"/>
            </w:rPr>
            <w:instrText xml:space="preserve"> HYPERLINK \l _Toc26994 </w:instrText>
          </w:r>
          <w:r>
            <w:rPr>
              <w:lang w:val="zh-CN"/>
            </w:rPr>
            <w:fldChar w:fldCharType="separate"/>
          </w:r>
          <w:r>
            <w:rPr>
              <w:rFonts w:hint="eastAsia"/>
              <w:lang w:val="en-US" w:eastAsia="zh-CN"/>
            </w:rPr>
            <w:t>3.3.1 核心衍生与非线性特征构建</w:t>
          </w:r>
          <w:r>
            <w:tab/>
          </w:r>
          <w:r>
            <w:fldChar w:fldCharType="begin"/>
          </w:r>
          <w:r>
            <w:instrText xml:space="preserve"> PAGEREF _Toc26994 \h </w:instrText>
          </w:r>
          <w:r>
            <w:fldChar w:fldCharType="separate"/>
          </w:r>
          <w:r>
            <w:t>20</w:t>
          </w:r>
          <w:r>
            <w:fldChar w:fldCharType="end"/>
          </w:r>
          <w:r>
            <w:rPr>
              <w:lang w:val="zh-CN"/>
            </w:rPr>
            <w:fldChar w:fldCharType="end"/>
          </w:r>
        </w:p>
        <w:p w14:paraId="0DE327AF">
          <w:pPr>
            <w:pStyle w:val="12"/>
            <w:tabs>
              <w:tab w:val="right" w:leader="dot" w:pos="7937"/>
            </w:tabs>
          </w:pPr>
          <w:r>
            <w:rPr>
              <w:lang w:val="zh-CN"/>
            </w:rPr>
            <w:fldChar w:fldCharType="begin"/>
          </w:r>
          <w:r>
            <w:rPr>
              <w:lang w:val="zh-CN"/>
            </w:rPr>
            <w:instrText xml:space="preserve"> HYPERLINK \l _Toc27821 </w:instrText>
          </w:r>
          <w:r>
            <w:rPr>
              <w:lang w:val="zh-CN"/>
            </w:rPr>
            <w:fldChar w:fldCharType="separate"/>
          </w:r>
          <w:r>
            <w:rPr>
              <w:rFonts w:hint="default"/>
              <w:lang w:val="en-US" w:eastAsia="zh-CN"/>
            </w:rPr>
            <w:t>3.3.2 高基数与低基数特征的分流编码策略</w:t>
          </w:r>
          <w:r>
            <w:tab/>
          </w:r>
          <w:r>
            <w:fldChar w:fldCharType="begin"/>
          </w:r>
          <w:r>
            <w:instrText xml:space="preserve"> PAGEREF _Toc27821 \h </w:instrText>
          </w:r>
          <w:r>
            <w:fldChar w:fldCharType="separate"/>
          </w:r>
          <w:r>
            <w:t>21</w:t>
          </w:r>
          <w:r>
            <w:fldChar w:fldCharType="end"/>
          </w:r>
          <w:r>
            <w:rPr>
              <w:lang w:val="zh-CN"/>
            </w:rPr>
            <w:fldChar w:fldCharType="end"/>
          </w:r>
        </w:p>
        <w:p w14:paraId="57BA906C">
          <w:pPr>
            <w:pStyle w:val="18"/>
            <w:tabs>
              <w:tab w:val="right" w:leader="dot" w:pos="7937"/>
            </w:tabs>
          </w:pPr>
          <w:r>
            <w:rPr>
              <w:lang w:val="zh-CN"/>
            </w:rPr>
            <w:fldChar w:fldCharType="begin"/>
          </w:r>
          <w:r>
            <w:rPr>
              <w:lang w:val="zh-CN"/>
            </w:rPr>
            <w:instrText xml:space="preserve"> HYPERLINK \l _Toc25378 </w:instrText>
          </w:r>
          <w:r>
            <w:rPr>
              <w:lang w:val="zh-CN"/>
            </w:rPr>
            <w:fldChar w:fldCharType="separate"/>
          </w:r>
          <w:r>
            <w:rPr>
              <w:rFonts w:hint="eastAsia"/>
              <w:woUserID w:val="2"/>
            </w:rPr>
            <w:t>3</w:t>
          </w:r>
          <w:r>
            <w:rPr>
              <w:woUserID w:val="2"/>
            </w:rPr>
            <w:t>.</w:t>
          </w:r>
          <w:r>
            <w:rPr>
              <w:rFonts w:hint="eastAsia"/>
              <w:lang w:eastAsia="zh"/>
              <w:woUserID w:val="2"/>
            </w:rPr>
            <w:t>4数据标准化</w:t>
          </w:r>
          <w:r>
            <w:tab/>
          </w:r>
          <w:r>
            <w:fldChar w:fldCharType="begin"/>
          </w:r>
          <w:r>
            <w:instrText xml:space="preserve"> PAGEREF _Toc25378 \h </w:instrText>
          </w:r>
          <w:r>
            <w:fldChar w:fldCharType="separate"/>
          </w:r>
          <w:r>
            <w:t>23</w:t>
          </w:r>
          <w:r>
            <w:fldChar w:fldCharType="end"/>
          </w:r>
          <w:r>
            <w:rPr>
              <w:lang w:val="zh-CN"/>
            </w:rPr>
            <w:fldChar w:fldCharType="end"/>
          </w:r>
        </w:p>
        <w:p w14:paraId="6BD18601">
          <w:pPr>
            <w:pStyle w:val="18"/>
            <w:tabs>
              <w:tab w:val="right" w:leader="dot" w:pos="7937"/>
            </w:tabs>
          </w:pPr>
          <w:r>
            <w:rPr>
              <w:lang w:val="zh-CN"/>
            </w:rPr>
            <w:fldChar w:fldCharType="begin"/>
          </w:r>
          <w:r>
            <w:rPr>
              <w:lang w:val="zh-CN"/>
            </w:rPr>
            <w:instrText xml:space="preserve"> HYPERLINK \l _Toc5312 </w:instrText>
          </w:r>
          <w:r>
            <w:rPr>
              <w:lang w:val="zh-CN"/>
            </w:rPr>
            <w:fldChar w:fldCharType="separate"/>
          </w:r>
          <w:r>
            <w:rPr>
              <w:rFonts w:hint="eastAsia"/>
              <w:lang w:val="en-US" w:eastAsia="zh-CN"/>
              <w:woUserID w:val="2"/>
            </w:rPr>
            <w:t>3.5特征选择与降维</w:t>
          </w:r>
          <w:r>
            <w:tab/>
          </w:r>
          <w:r>
            <w:fldChar w:fldCharType="begin"/>
          </w:r>
          <w:r>
            <w:instrText xml:space="preserve"> PAGEREF _Toc5312 \h </w:instrText>
          </w:r>
          <w:r>
            <w:fldChar w:fldCharType="separate"/>
          </w:r>
          <w:r>
            <w:t>24</w:t>
          </w:r>
          <w:r>
            <w:fldChar w:fldCharType="end"/>
          </w:r>
          <w:r>
            <w:rPr>
              <w:lang w:val="zh-CN"/>
            </w:rPr>
            <w:fldChar w:fldCharType="end"/>
          </w:r>
        </w:p>
        <w:p w14:paraId="57D77323">
          <w:pPr>
            <w:pStyle w:val="16"/>
            <w:tabs>
              <w:tab w:val="right" w:leader="dot" w:pos="7937"/>
              <w:tab w:val="clear" w:pos="7927"/>
            </w:tabs>
          </w:pPr>
          <w:r>
            <w:rPr>
              <w:lang w:val="zh-CN"/>
            </w:rPr>
            <w:fldChar w:fldCharType="begin"/>
          </w:r>
          <w:r>
            <w:rPr>
              <w:lang w:val="zh-CN"/>
            </w:rPr>
            <w:instrText xml:space="preserve"> HYPERLINK \l _Toc16547 </w:instrText>
          </w:r>
          <w:r>
            <w:rPr>
              <w:lang w:val="zh-CN"/>
            </w:rPr>
            <w:fldChar w:fldCharType="separate"/>
          </w:r>
          <w:r>
            <w:rPr>
              <w:rFonts w:hint="eastAsia"/>
            </w:rPr>
            <w:t>4</w:t>
          </w:r>
          <w:r>
            <w:rPr>
              <w:rFonts w:hint="eastAsia"/>
              <w:lang w:eastAsia="zh"/>
              <w:woUserID w:val="2"/>
            </w:rPr>
            <w:t>模型构建与评估</w:t>
          </w:r>
          <w:r>
            <w:tab/>
          </w:r>
          <w:r>
            <w:fldChar w:fldCharType="begin"/>
          </w:r>
          <w:r>
            <w:instrText xml:space="preserve"> PAGEREF _Toc16547 \h </w:instrText>
          </w:r>
          <w:r>
            <w:fldChar w:fldCharType="separate"/>
          </w:r>
          <w:r>
            <w:t>26</w:t>
          </w:r>
          <w:r>
            <w:fldChar w:fldCharType="end"/>
          </w:r>
          <w:r>
            <w:rPr>
              <w:lang w:val="zh-CN"/>
            </w:rPr>
            <w:fldChar w:fldCharType="end"/>
          </w:r>
        </w:p>
        <w:p w14:paraId="3E5F2FC8">
          <w:pPr>
            <w:pStyle w:val="18"/>
            <w:tabs>
              <w:tab w:val="right" w:leader="dot" w:pos="7937"/>
            </w:tabs>
          </w:pPr>
          <w:r>
            <w:rPr>
              <w:lang w:val="zh-CN"/>
            </w:rPr>
            <w:fldChar w:fldCharType="begin"/>
          </w:r>
          <w:r>
            <w:rPr>
              <w:lang w:val="zh-CN"/>
            </w:rPr>
            <w:instrText xml:space="preserve"> HYPERLINK \l _Toc15288 </w:instrText>
          </w:r>
          <w:r>
            <w:rPr>
              <w:lang w:val="zh-CN"/>
            </w:rPr>
            <w:fldChar w:fldCharType="separate"/>
          </w:r>
          <w:r>
            <w:t>4.1</w:t>
          </w:r>
          <w:r>
            <w:rPr>
              <w:rFonts w:hint="eastAsia"/>
              <w:lang w:eastAsia="zh"/>
              <w:woUserID w:val="2"/>
            </w:rPr>
            <w:t>模型选择与参数设置</w:t>
          </w:r>
          <w:r>
            <w:tab/>
          </w:r>
          <w:r>
            <w:fldChar w:fldCharType="begin"/>
          </w:r>
          <w:r>
            <w:instrText xml:space="preserve"> PAGEREF _Toc15288 \h </w:instrText>
          </w:r>
          <w:r>
            <w:fldChar w:fldCharType="separate"/>
          </w:r>
          <w:r>
            <w:t>26</w:t>
          </w:r>
          <w:r>
            <w:fldChar w:fldCharType="end"/>
          </w:r>
          <w:r>
            <w:rPr>
              <w:lang w:val="zh-CN"/>
            </w:rPr>
            <w:fldChar w:fldCharType="end"/>
          </w:r>
        </w:p>
        <w:p w14:paraId="13DA3177">
          <w:pPr>
            <w:pStyle w:val="18"/>
            <w:tabs>
              <w:tab w:val="right" w:leader="dot" w:pos="7937"/>
            </w:tabs>
          </w:pPr>
          <w:r>
            <w:rPr>
              <w:lang w:val="zh-CN"/>
            </w:rPr>
            <w:fldChar w:fldCharType="begin"/>
          </w:r>
          <w:r>
            <w:rPr>
              <w:lang w:val="zh-CN"/>
            </w:rPr>
            <w:instrText xml:space="preserve"> HYPERLINK \l _Toc19310 </w:instrText>
          </w:r>
          <w:r>
            <w:rPr>
              <w:lang w:val="zh-CN"/>
            </w:rPr>
            <w:fldChar w:fldCharType="separate"/>
          </w:r>
          <w:r>
            <w:rPr>
              <w:rFonts w:hint="eastAsia"/>
            </w:rPr>
            <w:t>4</w:t>
          </w:r>
          <w:r>
            <w:t>.2</w:t>
          </w:r>
          <w:r>
            <w:rPr>
              <w:rFonts w:hint="eastAsia"/>
              <w:lang w:eastAsia="zh"/>
              <w:woUserID w:val="2"/>
            </w:rPr>
            <w:t>模型训练与调优</w:t>
          </w:r>
          <w:r>
            <w:tab/>
          </w:r>
          <w:r>
            <w:fldChar w:fldCharType="begin"/>
          </w:r>
          <w:r>
            <w:instrText xml:space="preserve"> PAGEREF _Toc19310 \h </w:instrText>
          </w:r>
          <w:r>
            <w:fldChar w:fldCharType="separate"/>
          </w:r>
          <w:r>
            <w:t>29</w:t>
          </w:r>
          <w:r>
            <w:fldChar w:fldCharType="end"/>
          </w:r>
          <w:r>
            <w:rPr>
              <w:lang w:val="zh-CN"/>
            </w:rPr>
            <w:fldChar w:fldCharType="end"/>
          </w:r>
        </w:p>
        <w:p w14:paraId="4FFE2F89">
          <w:pPr>
            <w:pStyle w:val="18"/>
            <w:tabs>
              <w:tab w:val="right" w:leader="dot" w:pos="7937"/>
            </w:tabs>
          </w:pPr>
          <w:r>
            <w:rPr>
              <w:lang w:val="zh-CN"/>
            </w:rPr>
            <w:fldChar w:fldCharType="begin"/>
          </w:r>
          <w:r>
            <w:rPr>
              <w:lang w:val="zh-CN"/>
            </w:rPr>
            <w:instrText xml:space="preserve"> HYPERLINK \l _Toc25046 </w:instrText>
          </w:r>
          <w:r>
            <w:rPr>
              <w:lang w:val="zh-CN"/>
            </w:rPr>
            <w:fldChar w:fldCharType="separate"/>
          </w:r>
          <w:r>
            <w:rPr>
              <w:rFonts w:hint="eastAsia"/>
            </w:rPr>
            <w:t>4</w:t>
          </w:r>
          <w:r>
            <w:t>.3</w:t>
          </w:r>
          <w:r>
            <w:rPr>
              <w:rFonts w:hint="eastAsia"/>
              <w:lang w:eastAsia="zh"/>
              <w:woUserID w:val="2"/>
            </w:rPr>
            <w:t>模型性能对比分析</w:t>
          </w:r>
          <w:r>
            <w:tab/>
          </w:r>
          <w:r>
            <w:fldChar w:fldCharType="begin"/>
          </w:r>
          <w:r>
            <w:instrText xml:space="preserve"> PAGEREF _Toc25046 \h </w:instrText>
          </w:r>
          <w:r>
            <w:fldChar w:fldCharType="separate"/>
          </w:r>
          <w:r>
            <w:t>31</w:t>
          </w:r>
          <w:r>
            <w:fldChar w:fldCharType="end"/>
          </w:r>
          <w:r>
            <w:rPr>
              <w:lang w:val="zh-CN"/>
            </w:rPr>
            <w:fldChar w:fldCharType="end"/>
          </w:r>
        </w:p>
        <w:p w14:paraId="38797C91">
          <w:pPr>
            <w:pStyle w:val="18"/>
            <w:tabs>
              <w:tab w:val="right" w:leader="dot" w:pos="7937"/>
            </w:tabs>
          </w:pPr>
          <w:r>
            <w:rPr>
              <w:lang w:val="zh-CN"/>
            </w:rPr>
            <w:fldChar w:fldCharType="begin"/>
          </w:r>
          <w:r>
            <w:rPr>
              <w:lang w:val="zh-CN"/>
            </w:rPr>
            <w:instrText xml:space="preserve"> HYPERLINK \l _Toc13490 </w:instrText>
          </w:r>
          <w:r>
            <w:rPr>
              <w:lang w:val="zh-CN"/>
            </w:rPr>
            <w:fldChar w:fldCharType="separate"/>
          </w:r>
          <w:r>
            <w:rPr>
              <w:woUserID w:val="2"/>
            </w:rPr>
            <w:t>4.</w:t>
          </w:r>
          <w:r>
            <w:rPr>
              <w:rFonts w:hint="eastAsia"/>
              <w:lang w:eastAsia="zh"/>
              <w:woUserID w:val="2"/>
            </w:rPr>
            <w:t>4最佳模型深度分析</w:t>
          </w:r>
          <w:r>
            <w:tab/>
          </w:r>
          <w:r>
            <w:fldChar w:fldCharType="begin"/>
          </w:r>
          <w:r>
            <w:instrText xml:space="preserve"> PAGEREF _Toc13490 \h </w:instrText>
          </w:r>
          <w:r>
            <w:fldChar w:fldCharType="separate"/>
          </w:r>
          <w:r>
            <w:t>34</w:t>
          </w:r>
          <w:r>
            <w:fldChar w:fldCharType="end"/>
          </w:r>
          <w:r>
            <w:rPr>
              <w:lang w:val="zh-CN"/>
            </w:rPr>
            <w:fldChar w:fldCharType="end"/>
          </w:r>
        </w:p>
        <w:p w14:paraId="6E83F871">
          <w:pPr>
            <w:pStyle w:val="16"/>
            <w:tabs>
              <w:tab w:val="right" w:leader="dot" w:pos="7937"/>
              <w:tab w:val="clear" w:pos="7927"/>
            </w:tabs>
          </w:pPr>
          <w:r>
            <w:rPr>
              <w:lang w:val="zh-CN"/>
            </w:rPr>
            <w:fldChar w:fldCharType="begin"/>
          </w:r>
          <w:r>
            <w:rPr>
              <w:lang w:val="zh-CN"/>
            </w:rPr>
            <w:instrText xml:space="preserve"> HYPERLINK \l _Toc1496 </w:instrText>
          </w:r>
          <w:r>
            <w:rPr>
              <w:lang w:val="zh-CN"/>
            </w:rPr>
            <w:fldChar w:fldCharType="separate"/>
          </w:r>
          <w:r>
            <w:rPr>
              <w:rFonts w:hint="eastAsia"/>
              <w:lang w:eastAsia="zh"/>
              <w:woUserID w:val="2"/>
            </w:rPr>
            <w:t>5结果分析与决策优化</w:t>
          </w:r>
          <w:r>
            <w:tab/>
          </w:r>
          <w:r>
            <w:fldChar w:fldCharType="begin"/>
          </w:r>
          <w:r>
            <w:instrText xml:space="preserve"> PAGEREF _Toc1496 \h </w:instrText>
          </w:r>
          <w:r>
            <w:fldChar w:fldCharType="separate"/>
          </w:r>
          <w:r>
            <w:t>34</w:t>
          </w:r>
          <w:r>
            <w:fldChar w:fldCharType="end"/>
          </w:r>
          <w:r>
            <w:rPr>
              <w:lang w:val="zh-CN"/>
            </w:rPr>
            <w:fldChar w:fldCharType="end"/>
          </w:r>
        </w:p>
        <w:p w14:paraId="010D8180">
          <w:pPr>
            <w:pStyle w:val="18"/>
            <w:tabs>
              <w:tab w:val="right" w:leader="dot" w:pos="7937"/>
            </w:tabs>
          </w:pPr>
          <w:r>
            <w:rPr>
              <w:lang w:val="zh-CN"/>
            </w:rPr>
            <w:fldChar w:fldCharType="begin"/>
          </w:r>
          <w:r>
            <w:rPr>
              <w:lang w:val="zh-CN"/>
            </w:rPr>
            <w:instrText xml:space="preserve"> HYPERLINK \l _Toc20841 </w:instrText>
          </w:r>
          <w:r>
            <w:rPr>
              <w:lang w:val="zh-CN"/>
            </w:rPr>
            <w:fldChar w:fldCharType="separate"/>
          </w:r>
          <w:r>
            <w:rPr>
              <w:rFonts w:hint="eastAsia"/>
              <w:lang w:eastAsia="zh"/>
              <w:woUserID w:val="2"/>
            </w:rPr>
            <w:t>5</w:t>
          </w:r>
          <w:r>
            <w:rPr>
              <w:woUserID w:val="2"/>
            </w:rPr>
            <w:t>.1</w:t>
          </w:r>
          <w:r>
            <w:rPr>
              <w:rFonts w:hint="eastAsia"/>
              <w:lang w:eastAsia="zh"/>
              <w:woUserID w:val="2"/>
            </w:rPr>
            <w:t>预测结果分析</w:t>
          </w:r>
          <w:r>
            <w:tab/>
          </w:r>
          <w:r>
            <w:fldChar w:fldCharType="begin"/>
          </w:r>
          <w:r>
            <w:instrText xml:space="preserve"> PAGEREF _Toc20841 \h </w:instrText>
          </w:r>
          <w:r>
            <w:fldChar w:fldCharType="separate"/>
          </w:r>
          <w:r>
            <w:t>34</w:t>
          </w:r>
          <w:r>
            <w:fldChar w:fldCharType="end"/>
          </w:r>
          <w:r>
            <w:rPr>
              <w:lang w:val="zh-CN"/>
            </w:rPr>
            <w:fldChar w:fldCharType="end"/>
          </w:r>
        </w:p>
        <w:p w14:paraId="3E2D53DC">
          <w:pPr>
            <w:pStyle w:val="18"/>
            <w:tabs>
              <w:tab w:val="right" w:leader="dot" w:pos="7937"/>
            </w:tabs>
          </w:pPr>
          <w:r>
            <w:rPr>
              <w:lang w:val="zh-CN"/>
            </w:rPr>
            <w:fldChar w:fldCharType="begin"/>
          </w:r>
          <w:r>
            <w:rPr>
              <w:lang w:val="zh-CN"/>
            </w:rPr>
            <w:instrText xml:space="preserve"> HYPERLINK \l _Toc7450 </w:instrText>
          </w:r>
          <w:r>
            <w:rPr>
              <w:lang w:val="zh-CN"/>
            </w:rPr>
            <w:fldChar w:fldCharType="separate"/>
          </w:r>
          <w:r>
            <w:rPr>
              <w:rFonts w:hint="eastAsia"/>
              <w:lang w:eastAsia="zh"/>
              <w:woUserID w:val="2"/>
            </w:rPr>
            <w:t>5</w:t>
          </w:r>
          <w:r>
            <w:rPr>
              <w:woUserID w:val="2"/>
            </w:rPr>
            <w:t>.</w:t>
          </w:r>
          <w:r>
            <w:rPr>
              <w:rFonts w:hint="eastAsia"/>
              <w:lang w:eastAsia="zh"/>
              <w:woUserID w:val="2"/>
            </w:rPr>
            <w:t>2</w:t>
          </w:r>
          <w:r>
            <w:rPr>
              <w:rFonts w:hint="eastAsia"/>
              <w:lang w:val="en-US" w:eastAsia="zh-CN"/>
              <w:woUserID w:val="2"/>
            </w:rPr>
            <w:t>业务</w:t>
          </w:r>
          <w:r>
            <w:rPr>
              <w:rFonts w:hint="eastAsia"/>
              <w:lang w:eastAsia="zh"/>
              <w:woUserID w:val="2"/>
            </w:rPr>
            <w:t>建议</w:t>
          </w:r>
          <w:r>
            <w:tab/>
          </w:r>
          <w:r>
            <w:fldChar w:fldCharType="begin"/>
          </w:r>
          <w:r>
            <w:instrText xml:space="preserve"> PAGEREF _Toc7450 \h </w:instrText>
          </w:r>
          <w:r>
            <w:fldChar w:fldCharType="separate"/>
          </w:r>
          <w:r>
            <w:t>34</w:t>
          </w:r>
          <w:r>
            <w:fldChar w:fldCharType="end"/>
          </w:r>
          <w:r>
            <w:rPr>
              <w:lang w:val="zh-CN"/>
            </w:rPr>
            <w:fldChar w:fldCharType="end"/>
          </w:r>
        </w:p>
        <w:p w14:paraId="43EC7F52">
          <w:pPr>
            <w:pStyle w:val="16"/>
            <w:tabs>
              <w:tab w:val="right" w:leader="dot" w:pos="7937"/>
              <w:tab w:val="clear" w:pos="7927"/>
            </w:tabs>
          </w:pPr>
          <w:r>
            <w:rPr>
              <w:lang w:val="zh-CN"/>
            </w:rPr>
            <w:fldChar w:fldCharType="begin"/>
          </w:r>
          <w:r>
            <w:rPr>
              <w:lang w:val="zh-CN"/>
            </w:rPr>
            <w:instrText xml:space="preserve"> HYPERLINK \l _Toc11405 </w:instrText>
          </w:r>
          <w:r>
            <w:rPr>
              <w:lang w:val="zh-CN"/>
            </w:rPr>
            <w:fldChar w:fldCharType="separate"/>
          </w:r>
          <w:r>
            <w:rPr>
              <w:rFonts w:hint="eastAsia" w:eastAsia="宋体"/>
              <w:lang w:val="en-US" w:eastAsia="zh-CN"/>
              <w:woUserID w:val="2"/>
            </w:rPr>
            <w:t>6 系统设计与实现</w:t>
          </w:r>
          <w:r>
            <w:tab/>
          </w:r>
          <w:r>
            <w:fldChar w:fldCharType="begin"/>
          </w:r>
          <w:r>
            <w:instrText xml:space="preserve"> PAGEREF _Toc11405 \h </w:instrText>
          </w:r>
          <w:r>
            <w:fldChar w:fldCharType="separate"/>
          </w:r>
          <w:r>
            <w:t>35</w:t>
          </w:r>
          <w:r>
            <w:fldChar w:fldCharType="end"/>
          </w:r>
          <w:r>
            <w:rPr>
              <w:lang w:val="zh-CN"/>
            </w:rPr>
            <w:fldChar w:fldCharType="end"/>
          </w:r>
        </w:p>
        <w:p w14:paraId="3E626A91">
          <w:pPr>
            <w:pStyle w:val="16"/>
            <w:tabs>
              <w:tab w:val="right" w:leader="dot" w:pos="7937"/>
              <w:tab w:val="clear" w:pos="7927"/>
            </w:tabs>
          </w:pPr>
          <w:r>
            <w:rPr>
              <w:lang w:val="zh-CN"/>
            </w:rPr>
            <w:fldChar w:fldCharType="begin"/>
          </w:r>
          <w:r>
            <w:rPr>
              <w:lang w:val="zh-CN"/>
            </w:rPr>
            <w:instrText xml:space="preserve"> HYPERLINK \l _Toc28052 </w:instrText>
          </w:r>
          <w:r>
            <w:rPr>
              <w:lang w:val="zh-CN"/>
            </w:rPr>
            <w:fldChar w:fldCharType="separate"/>
          </w:r>
          <w:r>
            <w:rPr>
              <w:rFonts w:ascii="Times New Roman" w:hAnsi="Times New Roman" w:eastAsia="宋体" w:cs="Times New Roman"/>
              <w:bCs/>
              <w:kern w:val="44"/>
              <w:szCs w:val="44"/>
            </w:rPr>
            <w:t>参考文献</w:t>
          </w:r>
          <w:r>
            <w:tab/>
          </w:r>
          <w:r>
            <w:fldChar w:fldCharType="begin"/>
          </w:r>
          <w:r>
            <w:instrText xml:space="preserve"> PAGEREF _Toc28052 \h </w:instrText>
          </w:r>
          <w:r>
            <w:fldChar w:fldCharType="separate"/>
          </w:r>
          <w:r>
            <w:t>35</w:t>
          </w:r>
          <w:r>
            <w:fldChar w:fldCharType="end"/>
          </w:r>
          <w:r>
            <w:rPr>
              <w:lang w:val="zh-CN"/>
            </w:rPr>
            <w:fldChar w:fldCharType="end"/>
          </w:r>
        </w:p>
        <w:p w14:paraId="7D87040C">
          <w:pPr>
            <w:pStyle w:val="16"/>
            <w:tabs>
              <w:tab w:val="right" w:leader="dot" w:pos="7937"/>
              <w:tab w:val="clear" w:pos="7927"/>
            </w:tabs>
          </w:pPr>
          <w:r>
            <w:rPr>
              <w:lang w:val="zh-CN"/>
            </w:rPr>
            <w:fldChar w:fldCharType="begin"/>
          </w:r>
          <w:r>
            <w:rPr>
              <w:lang w:val="zh-CN"/>
            </w:rPr>
            <w:instrText xml:space="preserve"> HYPERLINK \l _Toc18316 </w:instrText>
          </w:r>
          <w:r>
            <w:rPr>
              <w:lang w:val="zh-CN"/>
            </w:rPr>
            <w:fldChar w:fldCharType="separate"/>
          </w:r>
          <w:r>
            <w:rPr>
              <w:rFonts w:hint="eastAsia" w:ascii="Times New Roman" w:hAnsi="Times New Roman"/>
              <w:bCs/>
            </w:rPr>
            <w:t>附录</w:t>
          </w:r>
          <w:r>
            <w:tab/>
          </w:r>
          <w:r>
            <w:fldChar w:fldCharType="begin"/>
          </w:r>
          <w:r>
            <w:instrText xml:space="preserve"> PAGEREF _Toc18316 \h </w:instrText>
          </w:r>
          <w:r>
            <w:fldChar w:fldCharType="separate"/>
          </w:r>
          <w:r>
            <w:t>36</w:t>
          </w:r>
          <w:r>
            <w:fldChar w:fldCharType="end"/>
          </w:r>
          <w:r>
            <w:rPr>
              <w:lang w:val="zh-CN"/>
            </w:rPr>
            <w:fldChar w:fldCharType="end"/>
          </w:r>
        </w:p>
        <w:p w14:paraId="314683C5">
          <w:pPr>
            <w:pStyle w:val="16"/>
            <w:pageBreakBefore w:val="0"/>
            <w:kinsoku/>
            <w:wordWrap/>
            <w:overflowPunct/>
            <w:topLinePunct w:val="0"/>
            <w:autoSpaceDE/>
            <w:autoSpaceDN/>
            <w:bidi w:val="0"/>
            <w:adjustRightInd/>
            <w:spacing w:line="360" w:lineRule="auto"/>
            <w:textAlignment w:val="auto"/>
            <w:sectPr>
              <w:pgSz w:w="11906" w:h="16838"/>
              <w:pgMar w:top="1701" w:right="1701" w:bottom="1531" w:left="1701" w:header="1134" w:footer="1134" w:gutter="567"/>
              <w:pgNumType w:fmt="upperRoman" w:start="1"/>
              <w:cols w:space="425" w:num="1"/>
              <w:titlePg/>
              <w:docGrid w:type="linesAndChars" w:linePitch="326" w:charSpace="0"/>
            </w:sectPr>
          </w:pPr>
          <w:r>
            <w:rPr>
              <w:lang w:val="zh-CN"/>
            </w:rPr>
            <w:fldChar w:fldCharType="end"/>
          </w:r>
        </w:p>
      </w:sdtContent>
    </w:sdt>
    <w:p w14:paraId="3CBAC777">
      <w:pPr>
        <w:pageBreakBefore w:val="0"/>
        <w:widowControl/>
        <w:kinsoku/>
        <w:wordWrap/>
        <w:overflowPunct/>
        <w:topLinePunct w:val="0"/>
        <w:autoSpaceDE/>
        <w:autoSpaceDN/>
        <w:bidi w:val="0"/>
        <w:adjustRightInd/>
        <w:spacing w:line="360" w:lineRule="auto"/>
        <w:jc w:val="center"/>
        <w:textAlignment w:val="auto"/>
        <w:rPr>
          <w:rFonts w:ascii="Times New Roman" w:hAnsi="Times New Roman" w:eastAsia="宋体" w:cs="Times New Roman"/>
          <w:b/>
          <w:bCs/>
          <w:kern w:val="44"/>
          <w:sz w:val="30"/>
          <w:szCs w:val="44"/>
        </w:rPr>
      </w:pPr>
      <w:r>
        <w:rPr>
          <w:rFonts w:hint="eastAsia" w:ascii="Times New Roman" w:hAnsi="Times New Roman" w:eastAsia="宋体" w:cs="Times New Roman"/>
          <w:b/>
          <w:bCs/>
          <w:sz w:val="32"/>
          <w:szCs w:val="32"/>
          <w:lang w:val="en-US" w:eastAsia="zh-CN"/>
        </w:rPr>
        <w:t>题目</w:t>
      </w:r>
    </w:p>
    <w:p w14:paraId="6483035C">
      <w:pPr>
        <w:pStyle w:val="2"/>
        <w:pageBreakBefore w:val="0"/>
        <w:kinsoku/>
        <w:wordWrap/>
        <w:overflowPunct/>
        <w:topLinePunct w:val="0"/>
        <w:autoSpaceDE/>
        <w:autoSpaceDN/>
        <w:bidi w:val="0"/>
        <w:adjustRightInd/>
        <w:spacing w:before="163" w:after="163" w:line="360" w:lineRule="auto"/>
        <w:jc w:val="left"/>
        <w:textAlignment w:val="auto"/>
        <w:rPr>
          <w:rFonts w:hint="eastAsia" w:ascii="宋体" w:hAnsi="宋体" w:eastAsia="宋体" w:cs="宋体"/>
          <w:lang w:eastAsia="zh"/>
          <w:woUserID w:val="2"/>
        </w:rPr>
      </w:pPr>
      <w:bookmarkStart w:id="2" w:name="_Toc515571901"/>
      <w:bookmarkStart w:id="3" w:name="_Toc515570717"/>
      <w:bookmarkStart w:id="4" w:name="_Toc12079"/>
      <w:r>
        <w:rPr>
          <w:rFonts w:hint="default" w:ascii="Times New Roman" w:hAnsi="Times New Roman" w:eastAsia="宋体" w:cs="Times New Roman"/>
        </w:rPr>
        <w:t>1</w:t>
      </w:r>
      <w:bookmarkEnd w:id="2"/>
      <w:bookmarkEnd w:id="3"/>
      <w:r>
        <w:rPr>
          <w:rFonts w:hint="eastAsia" w:ascii="宋体" w:hAnsi="宋体" w:eastAsia="宋体" w:cs="宋体"/>
          <w:lang w:eastAsia="zh"/>
          <w:woUserID w:val="2"/>
        </w:rPr>
        <w:t>研究背景与意义</w:t>
      </w:r>
      <w:bookmarkEnd w:id="4"/>
    </w:p>
    <w:p w14:paraId="3A869557">
      <w:pPr>
        <w:pStyle w:val="34"/>
        <w:pageBreakBefore w:val="0"/>
        <w:kinsoku/>
        <w:wordWrap/>
        <w:overflowPunct/>
        <w:topLinePunct w:val="0"/>
        <w:autoSpaceDE/>
        <w:autoSpaceDN/>
        <w:bidi w:val="0"/>
        <w:adjustRightInd/>
        <w:spacing w:line="360" w:lineRule="auto"/>
        <w:ind w:firstLine="480"/>
        <w:textAlignment w:val="auto"/>
        <w:rPr>
          <w:rFonts w:hint="eastAsia" w:ascii="宋体" w:hAnsi="宋体" w:eastAsia="宋体" w:cs="宋体"/>
        </w:rPr>
      </w:pPr>
      <w:bookmarkStart w:id="5" w:name="_Toc515571902"/>
      <w:bookmarkStart w:id="6" w:name="_Toc515570718"/>
    </w:p>
    <w:p w14:paraId="4AD37973">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ascii="宋体" w:hAnsi="宋体" w:eastAsia="宋体" w:cs="宋体"/>
          <w:lang w:eastAsia="zh"/>
          <w:woUserID w:val="2"/>
        </w:rPr>
      </w:pPr>
      <w:bookmarkStart w:id="7" w:name="_Toc20394"/>
      <w:r>
        <w:rPr>
          <w:rFonts w:hint="default" w:ascii="Times New Roman" w:hAnsi="Times New Roman" w:eastAsia="宋体" w:cs="Times New Roman"/>
        </w:rPr>
        <w:t>1.1</w:t>
      </w:r>
      <w:bookmarkEnd w:id="5"/>
      <w:bookmarkEnd w:id="6"/>
      <w:r>
        <w:rPr>
          <w:rFonts w:hint="eastAsia" w:ascii="宋体" w:hAnsi="宋体" w:eastAsia="宋体" w:cs="宋体"/>
          <w:lang w:eastAsia="zh"/>
          <w:woUserID w:val="2"/>
        </w:rPr>
        <w:t>研究背景</w:t>
      </w:r>
      <w:bookmarkEnd w:id="7"/>
    </w:p>
    <w:p w14:paraId="15293C5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rPr>
      </w:pPr>
      <w:r>
        <w:rPr>
          <w:rFonts w:hint="eastAsia" w:ascii="宋体" w:hAnsi="宋体" w:eastAsia="宋体" w:cs="宋体"/>
        </w:rPr>
        <w:t>二手车作为一种典型的非标准商品，具有强烈的“一车一况、一车一价”属性。其交易价格不仅受到车辆资产自身物理属性（如行驶里程、发动机马力、排量、车龄）的制约，还受到非线性市场溢价、品牌异质性折旧、事故历史以及隐性欺诈等多元噪音的深度交织扰动。</w:t>
      </w:r>
    </w:p>
    <w:p w14:paraId="3EFB757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rPr>
      </w:pPr>
      <w:r>
        <w:rPr>
          <w:rFonts w:hint="eastAsia" w:ascii="宋体" w:hAnsi="宋体" w:eastAsia="宋体" w:cs="宋体"/>
        </w:rPr>
        <w:t>传统二手车电商平台或线下车商的定价长期依赖人工评估师的经验。这种模式存在明显的局限性：评估过程主观性强、跨区域定价标准不一、规模化扩展成本高，且无法有效捕捉长尾车型、特殊折旧拐点及市场多维交互关系。因此，利用机器学习技术构建高效、鲁棒且具备透明解释性的自动定价模型，已成为推动二手车市场数字化流转的核心诉求。</w:t>
      </w:r>
    </w:p>
    <w:p w14:paraId="1D3B7B27">
      <w:pPr>
        <w:keepNext w:val="0"/>
        <w:keepLines w:val="0"/>
        <w:pageBreakBefore w:val="0"/>
        <w:widowControl w:val="0"/>
        <w:suppressLineNumbers w:val="0"/>
        <w:kinsoku/>
        <w:wordWrap/>
        <w:overflowPunct/>
        <w:topLinePunct w:val="0"/>
        <w:autoSpaceDE/>
        <w:autoSpaceDN/>
        <w:bidi w:val="0"/>
        <w:adjustRightInd/>
        <w:spacing w:before="0" w:beforeAutospacing="0" w:after="160" w:afterAutospacing="0" w:line="360" w:lineRule="auto"/>
        <w:ind w:right="0"/>
        <w:jc w:val="left"/>
        <w:textAlignment w:val="auto"/>
        <w:rPr>
          <w:rFonts w:hint="eastAsia"/>
          <w:lang w:eastAsia="zh"/>
        </w:rPr>
      </w:pPr>
    </w:p>
    <w:p w14:paraId="39F80C99">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ascii="宋体" w:hAnsi="宋体" w:eastAsia="宋体" w:cs="宋体"/>
          <w:lang w:eastAsia="zh"/>
        </w:rPr>
      </w:pPr>
      <w:bookmarkStart w:id="8" w:name="_Toc515570719"/>
      <w:bookmarkStart w:id="9" w:name="_Toc515571903"/>
      <w:bookmarkStart w:id="10" w:name="_Toc26036"/>
      <w:r>
        <w:rPr>
          <w:rFonts w:hint="default" w:ascii="Times New Roman" w:hAnsi="Times New Roman" w:eastAsia="宋体" w:cs="Times New Roman"/>
        </w:rPr>
        <w:t>1.2</w:t>
      </w:r>
      <w:bookmarkEnd w:id="8"/>
      <w:bookmarkEnd w:id="9"/>
      <w:r>
        <w:rPr>
          <w:rFonts w:hint="eastAsia" w:ascii="宋体" w:hAnsi="宋体" w:eastAsia="宋体" w:cs="宋体"/>
          <w:lang w:eastAsia="zh"/>
        </w:rPr>
        <w:t>研究意义</w:t>
      </w:r>
      <w:bookmarkEnd w:id="10"/>
      <w:bookmarkStart w:id="11" w:name="_Toc515570720"/>
      <w:bookmarkStart w:id="12" w:name="_Toc515571904"/>
    </w:p>
    <w:p w14:paraId="75D197D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rPr>
      </w:pPr>
      <w:r>
        <w:rPr>
          <w:rFonts w:hint="eastAsia" w:ascii="宋体" w:hAnsi="宋体" w:eastAsia="宋体" w:cs="宋体"/>
          <w:b/>
          <w:bCs/>
        </w:rPr>
        <w:t>学术价值</w:t>
      </w:r>
      <w:r>
        <w:rPr>
          <w:rFonts w:hint="eastAsia" w:ascii="宋体" w:hAnsi="宋体" w:eastAsia="宋体" w:cs="宋体"/>
        </w:rPr>
        <w:t>：提出了一套“先进行多重共线性与互信息双重特征精炼，再实施嵌套隔离目标编码”的健全数据防线，并引入基于 Out-of-Fold（OOF）堆叠泛化机制的 Stacking 深度集成架构，打破了单一黑盒算法的拟合泛化瓶颈，丰富了异质集成学习在价格流转领域的实证研究。</w:t>
      </w:r>
    </w:p>
    <w:p w14:paraId="2020A75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rPr>
      </w:pPr>
      <w:r>
        <w:rPr>
          <w:rFonts w:hint="eastAsia" w:ascii="宋体" w:hAnsi="宋体" w:eastAsia="宋体" w:cs="宋体"/>
          <w:b/>
          <w:bCs/>
        </w:rPr>
        <w:t>应用价值</w:t>
      </w:r>
      <w:r>
        <w:rPr>
          <w:rFonts w:hint="eastAsia" w:ascii="宋体" w:hAnsi="宋体" w:eastAsia="宋体" w:cs="宋体"/>
        </w:rPr>
        <w:t>：系统通过严格的分层交叉验证与真实金额 MAE/RMSE 公平性审计，能提供具备高度抗噪能力的二手车评估底价。结合 SHAP 归因理论将“黑盒模型”透明化，平抑交易欺诈，赋能线上交易平台与车商金融风控。</w:t>
      </w:r>
    </w:p>
    <w:p w14:paraId="75A4B1D7">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ascii="宋体" w:hAnsi="宋体" w:eastAsia="宋体" w:cs="宋体"/>
        </w:rPr>
      </w:pPr>
      <w:bookmarkStart w:id="13" w:name="_Toc12828"/>
      <w:r>
        <w:rPr>
          <w:rFonts w:hint="default" w:ascii="Times New Roman" w:hAnsi="Times New Roman" w:eastAsia="宋体" w:cs="Times New Roman"/>
        </w:rPr>
        <w:t>1.3</w:t>
      </w:r>
      <w:r>
        <w:rPr>
          <w:rFonts w:hint="eastAsia" w:ascii="宋体" w:hAnsi="宋体" w:eastAsia="宋体" w:cs="宋体"/>
        </w:rPr>
        <w:t>研究思路与</w:t>
      </w:r>
      <w:bookmarkEnd w:id="11"/>
      <w:bookmarkEnd w:id="12"/>
      <w:r>
        <w:rPr>
          <w:rFonts w:hint="eastAsia" w:ascii="宋体" w:hAnsi="宋体" w:eastAsia="宋体" w:cs="宋体"/>
        </w:rPr>
        <w:t>方法</w:t>
      </w:r>
      <w:bookmarkEnd w:id="13"/>
      <w:bookmarkStart w:id="14" w:name="_Toc515570721"/>
      <w:bookmarkStart w:id="15" w:name="_Toc515571905"/>
    </w:p>
    <w:p w14:paraId="482A130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rPr>
      </w:pPr>
      <w:r>
        <w:rPr>
          <w:rFonts w:hint="eastAsia" w:ascii="宋体" w:hAnsi="宋体" w:eastAsia="宋体" w:cs="宋体"/>
          <w:b w:val="0"/>
          <w:bCs w:val="0"/>
          <w:lang w:val="en-US" w:eastAsia="zh-CN"/>
        </w:rPr>
        <w:t xml:space="preserve">本研究遵循“数据探索（EDA） </w:t>
      </w:r>
      <m:oMath>
        <m:r>
          <m:rPr/>
          <w:rPr>
            <w:rFonts w:hint="default" w:ascii="Cambria Math" w:hAnsi="Cambria Math" w:eastAsia="宋体"/>
            <w:sz w:val="24"/>
          </w:rPr>
          <m:t>→</m:t>
        </m:r>
      </m:oMath>
      <w:r>
        <w:rPr>
          <w:rFonts w:hint="eastAsia" w:ascii="宋体" w:hAnsi="宋体" w:eastAsia="宋体" w:cs="宋体"/>
          <w:b w:val="0"/>
          <w:bCs w:val="0"/>
          <w:lang w:val="en-US" w:eastAsia="zh-CN"/>
        </w:rPr>
        <w:t xml:space="preserve">异常高容错清洗 </w:t>
      </w:r>
      <m:oMath>
        <m:r>
          <m:rPr/>
          <w:rPr>
            <w:rFonts w:hint="default" w:ascii="Cambria Math" w:hAnsi="Cambria Math" w:eastAsia="宋体"/>
            <w:sz w:val="24"/>
          </w:rPr>
          <m:t>→</m:t>
        </m:r>
      </m:oMath>
      <w:r>
        <w:rPr>
          <w:rFonts w:hint="eastAsia" w:ascii="宋体" w:hAnsi="宋体" w:eastAsia="宋体" w:cs="宋体"/>
          <w:b w:val="0"/>
          <w:bCs w:val="0"/>
          <w:lang w:val="en-US" w:eastAsia="zh-CN"/>
        </w:rPr>
        <w:t xml:space="preserve"> 嵌套隔离编码 </w:t>
      </w:r>
      <m:oMath>
        <m:r>
          <m:rPr/>
          <w:rPr>
            <w:rFonts w:hint="default" w:ascii="Cambria Math" w:hAnsi="Cambria Math" w:eastAsia="宋体"/>
            <w:sz w:val="24"/>
          </w:rPr>
          <m:t>→</m:t>
        </m:r>
      </m:oMath>
      <w:r>
        <w:rPr>
          <w:rFonts w:hint="eastAsia" w:ascii="宋体" w:hAnsi="宋体" w:eastAsia="宋体" w:cs="宋体"/>
          <w:b w:val="0"/>
          <w:bCs w:val="0"/>
          <w:lang w:val="en-US" w:eastAsia="zh-CN"/>
        </w:rPr>
        <w:t xml:space="preserve"> 二阶段特征精炼 </w:t>
      </w:r>
      <m:oMath>
        <m:r>
          <m:rPr/>
          <w:rPr>
            <w:rFonts w:hint="default" w:ascii="Cambria Math" w:hAnsi="Cambria Math" w:eastAsia="宋体"/>
            <w:sz w:val="24"/>
          </w:rPr>
          <m:t>→</m:t>
        </m:r>
      </m:oMath>
      <w:r>
        <w:rPr>
          <w:rFonts w:hint="eastAsia" w:ascii="宋体" w:hAnsi="宋体" w:eastAsia="宋体" w:cs="宋体"/>
          <w:b w:val="0"/>
          <w:bCs w:val="0"/>
          <w:lang w:val="en-US" w:eastAsia="zh-CN"/>
        </w:rPr>
        <w:t xml:space="preserve"> 贝叶斯超参优化 </w:t>
      </w:r>
      <m:oMath>
        <m:r>
          <m:rPr/>
          <w:rPr>
            <w:rFonts w:hint="default" w:ascii="Cambria Math" w:hAnsi="Cambria Math" w:eastAsia="宋体"/>
            <w:sz w:val="24"/>
          </w:rPr>
          <m:t>→</m:t>
        </m:r>
      </m:oMath>
      <w:r>
        <w:rPr>
          <w:rFonts w:hint="eastAsia" w:ascii="宋体" w:hAnsi="宋体" w:eastAsia="宋体" w:cs="宋体"/>
          <w:b w:val="0"/>
          <w:bCs w:val="0"/>
          <w:lang w:val="en-US" w:eastAsia="zh-CN"/>
        </w:rPr>
        <w:t xml:space="preserve"> 异质 Stacking 融合 </w:t>
      </w:r>
      <m:oMath>
        <m:r>
          <m:rPr/>
          <w:rPr>
            <w:rFonts w:hint="default" w:ascii="Cambria Math" w:hAnsi="Cambria Math" w:eastAsia="宋体"/>
            <w:sz w:val="24"/>
          </w:rPr>
          <m:t>→</m:t>
        </m:r>
      </m:oMath>
      <w:r>
        <w:rPr>
          <w:rFonts w:hint="eastAsia" w:ascii="宋体" w:hAnsi="宋体" w:eastAsia="宋体" w:cs="宋体"/>
          <w:b w:val="0"/>
          <w:bCs w:val="0"/>
          <w:lang w:val="en-US" w:eastAsia="zh-CN"/>
        </w:rPr>
        <w:t xml:space="preserve"> SHAP 归因解释 </w:t>
      </w:r>
      <m:oMath>
        <m:r>
          <m:rPr/>
          <w:rPr>
            <w:rFonts w:hint="default" w:ascii="Cambria Math" w:hAnsi="Cambria Math" w:eastAsia="宋体"/>
            <w:sz w:val="24"/>
          </w:rPr>
          <m:t>→</m:t>
        </m:r>
      </m:oMath>
      <w:r>
        <w:rPr>
          <w:rFonts w:hint="eastAsia" w:ascii="宋体" w:hAnsi="宋体" w:eastAsia="宋体" w:cs="宋体"/>
          <w:b w:val="0"/>
          <w:bCs w:val="0"/>
          <w:lang w:val="en-US" w:eastAsia="zh-CN"/>
        </w:rPr>
        <w:t xml:space="preserve"> 工业系统落地”的闭环技术流转。</w:t>
      </w:r>
    </w:p>
    <w:p w14:paraId="1DA7852F">
      <w:pPr>
        <w:pageBreakBefore w:val="0"/>
        <w:kinsoku/>
        <w:wordWrap/>
        <w:overflowPunct/>
        <w:topLinePunct w:val="0"/>
        <w:autoSpaceDE/>
        <w:autoSpaceDN/>
        <w:bidi w:val="0"/>
        <w:adjustRightInd/>
        <w:spacing w:line="360" w:lineRule="auto"/>
        <w:textAlignment w:val="auto"/>
        <w:rPr>
          <w:rFonts w:hint="default"/>
        </w:rPr>
      </w:pPr>
    </w:p>
    <w:p w14:paraId="74B74B5F">
      <w:pPr>
        <w:pStyle w:val="2"/>
        <w:pageBreakBefore w:val="0"/>
        <w:kinsoku/>
        <w:wordWrap/>
        <w:overflowPunct/>
        <w:topLinePunct w:val="0"/>
        <w:autoSpaceDE/>
        <w:autoSpaceDN/>
        <w:bidi w:val="0"/>
        <w:adjustRightInd/>
        <w:spacing w:before="163" w:after="163" w:line="360" w:lineRule="auto"/>
        <w:jc w:val="left"/>
        <w:textAlignment w:val="auto"/>
        <w:rPr>
          <w:rFonts w:hint="eastAsia" w:ascii="宋体" w:hAnsi="宋体" w:eastAsia="宋体" w:cs="宋体"/>
          <w:lang w:eastAsia="zh"/>
          <w:woUserID w:val="2"/>
        </w:rPr>
      </w:pPr>
      <w:bookmarkStart w:id="16" w:name="_Toc639"/>
      <w:r>
        <w:rPr>
          <w:rFonts w:hint="default" w:ascii="Times New Roman" w:hAnsi="Times New Roman" w:eastAsia="宋体" w:cs="Times New Roman"/>
        </w:rPr>
        <w:t>2</w:t>
      </w:r>
      <w:bookmarkEnd w:id="14"/>
      <w:bookmarkEnd w:id="15"/>
      <w:r>
        <w:rPr>
          <w:rFonts w:hint="eastAsia" w:ascii="宋体" w:hAnsi="宋体" w:eastAsia="宋体" w:cs="宋体"/>
          <w:lang w:eastAsia="zh"/>
          <w:woUserID w:val="2"/>
        </w:rPr>
        <w:t>数据探索性分析</w:t>
      </w:r>
      <w:bookmarkEnd w:id="16"/>
    </w:p>
    <w:p w14:paraId="684F8EDC">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lang w:eastAsia="zh"/>
          <w:woUserID w:val="2"/>
        </w:rPr>
      </w:pPr>
      <w:bookmarkStart w:id="17" w:name="_Toc513028225"/>
      <w:bookmarkEnd w:id="17"/>
      <w:bookmarkStart w:id="18" w:name="_Toc513028226"/>
      <w:bookmarkEnd w:id="18"/>
      <w:bookmarkStart w:id="19" w:name="_Toc513028227"/>
      <w:bookmarkEnd w:id="19"/>
      <w:bookmarkStart w:id="20" w:name="_Toc515570722"/>
      <w:bookmarkStart w:id="21" w:name="_Toc515571906"/>
      <w:bookmarkStart w:id="22" w:name="_Toc3314"/>
      <w:r>
        <w:t>2.1</w:t>
      </w:r>
      <w:bookmarkEnd w:id="20"/>
      <w:bookmarkEnd w:id="21"/>
      <w:r>
        <w:rPr>
          <w:rFonts w:hint="eastAsia"/>
          <w:lang w:eastAsia="zh"/>
          <w:woUserID w:val="2"/>
        </w:rPr>
        <w:t>数据集概览</w:t>
      </w:r>
      <w:bookmarkEnd w:id="22"/>
    </w:p>
    <w:p w14:paraId="0F1C6F0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bookmarkStart w:id="23" w:name="_Toc515571907"/>
      <w:bookmarkStart w:id="24" w:name="_Toc515570723"/>
      <w:r>
        <w:rPr>
          <w:rFonts w:hint="eastAsia" w:ascii="宋体" w:hAnsi="宋体" w:eastAsia="宋体" w:cs="宋体"/>
          <w:b w:val="0"/>
          <w:bCs w:val="0"/>
          <w:lang w:val="en-US" w:eastAsia="zh-CN"/>
        </w:rPr>
        <w:t>本节对原始二手车交易数据大盘进行学术规范的数理审计。系统扫描结果表明，训练集共包含 188,533 条完备记录和 13 个初始观察字段，测试集包含 125,690 条未知样本和 12 个自变量观测字段，整体样本规模突破 30 万条且保持了严格的 3:2 划分比例。</w:t>
      </w:r>
    </w:p>
    <w:p w14:paraId="0236C68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从数据缺失态势来看，全量单元格总缺失率控制在 1.18% 的极低水平。其中字段 fuel_type 存在 2.70% 的轻度缺失；历史事故出险记录 accident 存在 1.30% 的局部缺失；而产权清洁证明 clean_title 缺失率最高，达 11.36% 且仅含单一活性值 'Yes'，表明其有效信息与缺失位置高度共生。核心物理自变量 milage 经边缘校验表现为负数与零值记录均为 0，物理边界高度可信。</w:t>
      </w:r>
    </w:p>
    <w:p w14:paraId="70C9F34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从分布形态来看，车辆出厂年份 model_year 呈现轻度左偏（偏度 -1.04），行驶里程 milage 呈温和右偏（偏度 +0.90）。而作为目标标签的资产交易金额 price 则呈现出极度严重的右偏幂律长尾分布（偏度高达 +20.27），其标准差（$78,819.5）远超均值（$43,878.0），最大值更是反常飙升至 2,954,083 美元，这意味着下游建模必须对标签实施非线性对数平滑平抑，以防残差方差爆炸。</w:t>
      </w:r>
    </w:p>
    <w:p w14:paraId="59DCB1D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此外，分类变量存在显著的高基数与异构特征。车辆型号 model 唯一值多达 1,897 个，直接应用 One-Hot 编码将引发严重的“维度灾难”；发动机 engine 唯一值达 1,117 个，其文本强行串联了马力、排量等多维半结构化指标；而变速箱 transmission（52类）、外观色彩 ext_col（319类）与内饰色彩 int_col（156类）则夹杂着大量非标准缩写与拼写混淆，需在后续通过正则表达式蒸馏与高频长尾收拢进行清洗。</w:t>
      </w:r>
    </w:p>
    <w:p w14:paraId="790367C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综上所述，本数据集整体资产数据质量良好，核心攻坚痛点在于如何通过特征工程化解高基数空间爆炸风险以及非结构化半自由文本中的隐蔽指标提取。</w:t>
      </w:r>
    </w:p>
    <w:p w14:paraId="70103479">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lang w:eastAsia="zh"/>
          <w:woUserID w:val="2"/>
        </w:rPr>
      </w:pPr>
      <w:bookmarkStart w:id="25" w:name="_Toc25975"/>
      <w:r>
        <w:rPr>
          <w:rFonts w:hint="eastAsia"/>
        </w:rPr>
        <w:t>2</w:t>
      </w:r>
      <w:r>
        <w:t>.2</w:t>
      </w:r>
      <w:bookmarkEnd w:id="23"/>
      <w:bookmarkEnd w:id="24"/>
      <w:r>
        <w:rPr>
          <w:rFonts w:hint="eastAsia"/>
          <w:lang w:eastAsia="zh"/>
          <w:woUserID w:val="2"/>
        </w:rPr>
        <w:t>目标变量分析</w:t>
      </w:r>
      <w:bookmarkEnd w:id="25"/>
    </w:p>
    <w:p w14:paraId="2679D93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r>
        <w:rPr>
          <w:rFonts w:hint="default" w:ascii="宋体" w:hAnsi="宋体" w:eastAsia="宋体" w:cs="宋体"/>
          <w:b w:val="0"/>
          <w:bCs w:val="0"/>
          <w:lang w:val="en-US" w:eastAsia="zh-CN"/>
        </w:rPr>
        <w:t>本节针对二手车资产交易金额 price（目标标签）进行数理分布审计。在机器学习回归任务中，目标变量的统计学形态直接决定了损失函数残差分布是否满足高斯白噪声假设，进而影响模型的泛化上限。</w:t>
      </w:r>
    </w:p>
    <w:p w14:paraId="7A27104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从大盘量化统计来看，该数据集的交易价格表现出极端的右偏幂律长尾特征。价格中位数稳定在$30,825，贴近主流二手车的真实市场流转水位；然而，大盘均值由于受到极少数高性能超级跑车及稀缺级豪车的剧烈拉抬，被强行推高至$43,878。其样本标准差飙升至 $78,820，几乎是均值的两倍，表明样本空间内存在巨大的方差波动。进一步对其进行高阶矩审计发现，原始价格的样本偏度高达 20.27，表现为极其陡峭的右侧长尾；而样本峰度更是反常反弹至 623.97，呈现出显著的尖峰厚尾特征。</w:t>
      </w:r>
    </w:p>
    <w:p w14:paraId="003385F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eastAsia" w:ascii="宋体" w:hAnsi="宋体" w:eastAsia="宋体" w:cs="宋体"/>
          <w:b/>
          <w:bCs/>
          <w:lang w:val="en-US" w:eastAsia="zh-CN"/>
        </w:rPr>
        <w:t>1.</w:t>
      </w:r>
      <w:r>
        <w:rPr>
          <w:rFonts w:hint="default" w:ascii="宋体" w:hAnsi="宋体" w:eastAsia="宋体" w:cs="宋体"/>
          <w:b/>
          <w:bCs/>
          <w:lang w:val="en-US" w:eastAsia="zh-CN"/>
        </w:rPr>
        <w:t>数学诊断与方差稳定化策略：</w:t>
      </w:r>
    </w:p>
    <w:p w14:paraId="7A23763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在回归算法中，若直接以原始价格 y作为因变量进行训练，高价长尾区域（极大值达 $2,954,083）在均方误差（MSE）或平均绝对误差（MAE）损失函数的梯度反向传播中，会产生具有压倒性权重的特大残差，从而迫使模型过度迎合极端高价噪声，导致占据 90% 以上的主流中低端二手车预测出现大范围系统性失效。</w:t>
      </w:r>
    </w:p>
    <w:p w14:paraId="224E118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为攻克这一瓶颈，本研究在预处理流水线中对目标变量引入了非线性平滑平抑，采用对数变换公式进行特征空间映射：</w:t>
      </w:r>
    </w:p>
    <w:p w14:paraId="0A68429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func>
                <m:funcPr>
                  <m:ctrlPr>
                    <w:rPr>
                      <w:rFonts w:hint="default" w:ascii="Cambria Math" w:hAnsi="Cambria Math" w:eastAsia="宋体"/>
                      <w:sz w:val="24"/>
                    </w:rPr>
                  </m:ctrlPr>
                </m:funcPr>
                <m:fName>
                  <m:r>
                    <m:rPr>
                      <m:sty m:val="p"/>
                    </m:rPr>
                    <w:rPr>
                      <w:rFonts w:hint="default" w:ascii="Cambria Math" w:hAnsi="Cambria Math" w:eastAsia="宋体"/>
                      <w:sz w:val="24"/>
                    </w:rPr>
                    <m:t>log</m:t>
                  </m:r>
                  <m:ctrlPr>
                    <w:rPr>
                      <w:rFonts w:ascii="Cambria Math" w:hAnsi="Cambria Math" w:eastAsia="宋体"/>
                      <w:sz w:val="24"/>
                    </w:rPr>
                  </m:ctrlPr>
                </m:fName>
                <m:e>
                  <m:ctrlPr>
                    <w:rPr>
                      <w:rFonts w:ascii="Cambria Math" w:hAnsi="Cambria Math" w:eastAsia="宋体"/>
                      <w:sz w:val="24"/>
                    </w:rPr>
                  </m:ctrlPr>
                </m:e>
              </m:func>
              <m:ctrlPr>
                <w:rPr>
                  <w:rFonts w:hint="default"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r>
            <m:rPr/>
            <w:rPr>
              <w:rFonts w:hint="default" w:ascii="Cambria Math" w:hAnsi="Cambria Math" w:eastAsia="宋体"/>
              <w:sz w:val="24"/>
            </w:rPr>
            <m:t>1+y)</m:t>
          </m:r>
        </m:oMath>
      </m:oMathPara>
    </w:p>
    <w:p w14:paraId="56D60AC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经对数变换处理后，目标标签的数理分布形态得到了根本性扭转。偏度从原始的 20.27 骤降至 +0.66（如图 2-2 所示），原本极度右偏的幂律长尾分布被成功修复为接近对称的高斯正态分布。这一数据空间变换消除了数量级跨度对梯度更新的冲击，不仅有效平抑了高价区间的方差爆炸风险，更从数学先验上确保了下游线性正则预测器与集成树模型残差的对称收敛，为整个系统预测精度的稳健提升奠定了坚实的数理基座。</w:t>
      </w:r>
    </w:p>
    <w:p w14:paraId="398C638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r>
        <w:drawing>
          <wp:inline distT="0" distB="0" distL="114300" distR="114300">
            <wp:extent cx="5031105" cy="2087880"/>
            <wp:effectExtent l="0" t="0" r="10795" b="762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2"/>
                    <a:stretch>
                      <a:fillRect/>
                    </a:stretch>
                  </pic:blipFill>
                  <pic:spPr>
                    <a:xfrm>
                      <a:off x="0" y="0"/>
                      <a:ext cx="5031105" cy="2087880"/>
                    </a:xfrm>
                    <a:prstGeom prst="rect">
                      <a:avLst/>
                    </a:prstGeom>
                    <a:noFill/>
                    <a:ln>
                      <a:noFill/>
                    </a:ln>
                  </pic:spPr>
                </pic:pic>
              </a:graphicData>
            </a:graphic>
          </wp:inline>
        </w:drawing>
      </w:r>
    </w:p>
    <w:p w14:paraId="2EE88DF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-图 2-2-</w:t>
      </w:r>
    </w:p>
    <w:p w14:paraId="3954F23D">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lang w:eastAsia="zh"/>
          <w:woUserID w:val="2"/>
        </w:rPr>
      </w:pPr>
      <w:bookmarkStart w:id="26" w:name="_Toc29756"/>
      <w:r>
        <w:rPr>
          <w:rFonts w:hint="eastAsia"/>
          <w:woUserID w:val="2"/>
        </w:rPr>
        <w:t>2</w:t>
      </w:r>
      <w:r>
        <w:rPr>
          <w:woUserID w:val="2"/>
        </w:rPr>
        <w:t>.</w:t>
      </w:r>
      <w:r>
        <w:rPr>
          <w:rFonts w:hint="eastAsia"/>
          <w:lang w:val="en-US" w:eastAsia="zh-CN"/>
          <w:woUserID w:val="2"/>
        </w:rPr>
        <w:t>3</w:t>
      </w:r>
      <w:r>
        <w:rPr>
          <w:rFonts w:hint="eastAsia"/>
          <w:lang w:eastAsia="zh"/>
          <w:woUserID w:val="2"/>
        </w:rPr>
        <w:t>特征相关性分析</w:t>
      </w:r>
      <w:bookmarkEnd w:id="26"/>
      <w:bookmarkStart w:id="27" w:name="_Toc515570725"/>
      <w:bookmarkStart w:id="28" w:name="_Toc515571909"/>
    </w:p>
    <w:p w14:paraId="1610C99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本节计算并审阅了清洗后的二手车核心数值特征与目标变量对数价格（log_price）之间的皮尔逊相关系数（</w:t>
      </w:r>
      <m:oMath>
        <m:r>
          <m:rPr>
            <m:sty m:val="p"/>
          </m:rPr>
          <w:rPr>
            <w:rFonts w:hint="default" w:ascii="Cambria Math" w:hAnsi="Cambria Math" w:eastAsia="宋体" w:cs="宋体"/>
            <w:kern w:val="0"/>
            <w:sz w:val="24"/>
            <w:szCs w:val="22"/>
            <w:lang w:val="en-US" w:eastAsia="zh-CN" w:bidi="ar"/>
          </w:rPr>
          <m:t>r</m:t>
        </m:r>
      </m:oMath>
      <w:r>
        <w:rPr>
          <w:rFonts w:hint="default" w:ascii="宋体" w:hAnsi="宋体" w:eastAsia="宋体" w:cs="宋体"/>
          <w:b w:val="0"/>
          <w:bCs w:val="0"/>
          <w:lang w:val="en-US" w:eastAsia="zh-CN"/>
        </w:rPr>
        <w:t>），用以评估连续特征对资产估值的线性单调映射强度，并排查潜在的特征间多重共线性风险。</w:t>
      </w:r>
    </w:p>
    <w:p w14:paraId="4FEEF20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根据量化审计结果，行驶里程和车龄构成了二手车大盘定价的两个绝对主导型负相关锚点。其中，行驶里程与对数价格的相关系数达到 </w:t>
      </w:r>
      <m:oMath>
        <m:r>
          <m:rPr/>
          <w:rPr>
            <w:rFonts w:hint="default" w:ascii="Cambria Math" w:hAnsi="Cambria Math" w:eastAsia="宋体"/>
            <w:sz w:val="24"/>
          </w:rPr>
          <m:t>r=−0.6970</m:t>
        </m:r>
      </m:oMath>
      <w:r>
        <w:rPr>
          <w:rFonts w:hint="default" w:ascii="宋体" w:hAnsi="宋体" w:eastAsia="宋体" w:cs="宋体"/>
          <w:b w:val="0"/>
          <w:bCs w:val="0"/>
          <w:lang w:val="en-US" w:eastAsia="zh-CN"/>
        </w:rPr>
        <w:t xml:space="preserve">，呈现出强烈的负相关性，符合车辆物理资产随使用磨损而线性贬值的市场基本规律；车龄与对数价格的相关系数同样高达 </w:t>
      </w:r>
      <m:oMath>
        <m:r>
          <m:rPr/>
          <w:rPr>
            <w:rFonts w:hint="default" w:ascii="Cambria Math" w:hAnsi="Cambria Math" w:eastAsia="宋体"/>
            <w:sz w:val="24"/>
          </w:rPr>
          <m:t>r=−0.6642</m:t>
        </m:r>
      </m:oMath>
      <w:r>
        <w:rPr>
          <w:rFonts w:hint="default" w:ascii="宋体" w:hAnsi="宋体" w:eastAsia="宋体" w:cs="宋体"/>
          <w:b w:val="0"/>
          <w:bCs w:val="0"/>
          <w:lang w:val="en-US" w:eastAsia="zh-CN"/>
        </w:rPr>
        <w:t xml:space="preserve">，表明时间累积带来的机件老化与车型迭代对车价具有几乎同等烈度的压制效果。在正相关维度上，发动机马力以 </w:t>
      </w:r>
      <m:oMath>
        <m:r>
          <m:rPr/>
          <w:rPr>
            <w:rFonts w:hint="default" w:ascii="Cambria Math" w:hAnsi="Cambria Math" w:eastAsia="宋体"/>
            <w:sz w:val="24"/>
          </w:rPr>
          <m:t>r=0.4788</m:t>
        </m:r>
      </m:oMath>
      <w:r>
        <w:rPr>
          <w:rFonts w:hint="default" w:ascii="宋体" w:hAnsi="宋体" w:eastAsia="宋体" w:cs="宋体"/>
          <w:b w:val="0"/>
          <w:bCs w:val="0"/>
          <w:lang w:val="en-US" w:eastAsia="zh-CN"/>
        </w:rPr>
        <w:t xml:space="preserve"> 的中等偏强系数成为首要价格拉抬特征，验证了高动力输出、高性能配置二手车在市场中的高溢价属性；相比之下，发动机排量的相关系数仅为 </w:t>
      </w:r>
      <m:oMath>
        <m:r>
          <m:rPr>
            <m:sty m:val="p"/>
          </m:rPr>
          <w:rPr>
            <w:rFonts w:hint="default" w:ascii="Cambria Math" w:hAnsi="Cambria Math" w:eastAsia="宋体" w:cs="宋体"/>
            <w:kern w:val="0"/>
            <w:sz w:val="24"/>
            <w:szCs w:val="22"/>
            <w:lang w:val="en-US" w:eastAsia="zh-CN" w:bidi="ar"/>
          </w:rPr>
          <m:t>r = 0.1503</m:t>
        </m:r>
      </m:oMath>
      <w:r>
        <w:rPr>
          <w:rFonts w:hint="default" w:ascii="宋体" w:hAnsi="宋体" w:eastAsia="宋体" w:cs="宋体"/>
          <w:b w:val="0"/>
          <w:bCs w:val="0"/>
          <w:lang w:val="en-US" w:eastAsia="zh-CN"/>
        </w:rPr>
        <w:t>，表现为极弱正相关，表明在现代汽车工业涡轮增压与纯电/混动技术普及的背景下，传统大排量对车价的直接贡献已被严重稀释。</w:t>
      </w:r>
    </w:p>
    <w:p w14:paraId="0AFD78A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eastAsia" w:ascii="宋体" w:hAnsi="宋体" w:eastAsia="宋体" w:cs="宋体"/>
          <w:b/>
          <w:bCs/>
          <w:lang w:val="en-US" w:eastAsia="zh-CN"/>
        </w:rPr>
        <w:t>1.</w:t>
      </w:r>
      <w:r>
        <w:rPr>
          <w:rFonts w:hint="default" w:ascii="宋体" w:hAnsi="宋体" w:eastAsia="宋体" w:cs="宋体"/>
          <w:b/>
          <w:bCs/>
          <w:lang w:val="en-US" w:eastAsia="zh-CN"/>
        </w:rPr>
        <w:t>共线性预警与多维空间洞察：</w:t>
      </w:r>
    </w:p>
    <w:p w14:paraId="010B0EE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审视各因变量内部的相互关联（如图 2-3 的上三角掩膜热力图所示），行驶里程与车龄之间存在明显的正相关性（</w:t>
      </w:r>
      <m:oMath>
        <m:r>
          <m:rPr/>
          <w:rPr>
            <w:rFonts w:hint="default" w:ascii="Cambria Math" w:hAnsi="Cambria Math" w:eastAsia="宋体"/>
            <w:sz w:val="24"/>
          </w:rPr>
          <m:t>r=0.47</m:t>
        </m:r>
      </m:oMath>
      <w:r>
        <w:rPr>
          <w:rFonts w:hint="default" w:ascii="宋体" w:hAnsi="宋体" w:eastAsia="宋体" w:cs="宋体"/>
          <w:b w:val="0"/>
          <w:bCs w:val="0"/>
          <w:lang w:val="en-US" w:eastAsia="zh-CN"/>
        </w:rPr>
        <w:t>），这属于典型的业务共生现象（即车越老，通常开得越多）。同时，发动机马力与排量之间表现出极高的共线性相关（</w:t>
      </w:r>
      <m:oMath>
        <m:r>
          <m:rPr/>
          <w:rPr>
            <w:rFonts w:hint="default" w:ascii="Cambria Math" w:hAnsi="Cambria Math" w:eastAsia="宋体"/>
            <w:sz w:val="24"/>
          </w:rPr>
          <m:t>r=0.65</m:t>
        </m:r>
      </m:oMath>
      <w:r>
        <w:rPr>
          <w:rFonts w:hint="default" w:ascii="宋体" w:hAnsi="宋体" w:eastAsia="宋体" w:cs="宋体"/>
          <w:b w:val="0"/>
          <w:bCs w:val="0"/>
          <w:lang w:val="en-US" w:eastAsia="zh-CN"/>
        </w:rPr>
        <w:t>）。</w:t>
      </w:r>
    </w:p>
    <w:p w14:paraId="622C1D7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这一数理形态向当下架构给出了关键警示：若直接将这些高关联度的原始特征矩阵投入对多重共线性极其敏感的普通最小二乘线性回归（OLS）中，将导致参数估计的方差急剧膨胀，使其丧失基本的统计解释力。</w:t>
      </w:r>
    </w:p>
    <w:p w14:paraId="7EE6C28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drawing>
          <wp:inline distT="0" distB="0" distL="114300" distR="114300">
            <wp:extent cx="5024755" cy="4411345"/>
            <wp:effectExtent l="0" t="0" r="4445" b="825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3"/>
                    <a:stretch>
                      <a:fillRect/>
                    </a:stretch>
                  </pic:blipFill>
                  <pic:spPr>
                    <a:xfrm>
                      <a:off x="0" y="0"/>
                      <a:ext cx="5024755" cy="4411345"/>
                    </a:xfrm>
                    <a:prstGeom prst="rect">
                      <a:avLst/>
                    </a:prstGeom>
                    <a:noFill/>
                    <a:ln>
                      <a:noFill/>
                    </a:ln>
                  </pic:spPr>
                </pic:pic>
              </a:graphicData>
            </a:graphic>
          </wp:inline>
        </w:drawing>
      </w:r>
    </w:p>
    <w:p w14:paraId="04E13F8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图 2-3</w:t>
      </w:r>
      <w:r>
        <w:rPr>
          <w:rFonts w:hint="eastAsia" w:ascii="宋体" w:hAnsi="宋体" w:eastAsia="宋体" w:cs="宋体"/>
          <w:b w:val="0"/>
          <w:bCs w:val="0"/>
          <w:lang w:val="en-US" w:eastAsia="zh-CN"/>
        </w:rPr>
        <w:t>-</w:t>
      </w:r>
    </w:p>
    <w:p w14:paraId="4904649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054BB99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综上所述，虽然行驶里程、车龄和马力对车价具备极其显著的单调诱导能力，但特征空间内潜藏的交叉多重共线性无法忽视。这一审计结果为下游特征工程指明了优化路径：必须在下一阶段引入方差膨胀因子（VIF）进行共线性精炼剔除，或者通过构建非线性高阶交互衍生特征（如马力密度、年均里程等）来解构特征间的重叠信息量，同时应优先选用对多重共线性具备天然免疫力的树集成算法。</w:t>
      </w:r>
    </w:p>
    <w:p w14:paraId="3CE19FC8">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woUserID w:val="2"/>
        </w:rPr>
      </w:pPr>
      <w:bookmarkStart w:id="29" w:name="_Toc16166"/>
      <w:r>
        <w:rPr>
          <w:rFonts w:hint="default"/>
          <w:woUserID w:val="2"/>
        </w:rPr>
        <w:t>2.4数值特征变换策略对比分析</w:t>
      </w:r>
      <w:bookmarkEnd w:id="29"/>
    </w:p>
    <w:p w14:paraId="59363E1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本节探讨并量化了数值型自变量在不同数学变换策略下的分布改善形态，及其对下游线性正则回归模型预测性能的实际贡献，从而为特征工程流水线的规范设计提供可重复的实验证据。具体分析内容如下：</w:t>
      </w:r>
    </w:p>
    <w:p w14:paraId="50CD51B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39D5BFD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eastAsia" w:ascii="宋体" w:hAnsi="宋体" w:eastAsia="宋体" w:cs="宋体"/>
          <w:b/>
          <w:bCs/>
          <w:lang w:val="en-US" w:eastAsia="zh-CN"/>
        </w:rPr>
        <w:t>1.</w:t>
      </w:r>
      <w:r>
        <w:rPr>
          <w:rFonts w:hint="default" w:ascii="宋体" w:hAnsi="宋体" w:eastAsia="宋体" w:cs="宋体"/>
          <w:b/>
          <w:bCs/>
          <w:lang w:val="en-US" w:eastAsia="zh-CN"/>
        </w:rPr>
        <w:t>自变量分布形态改善分析</w:t>
      </w:r>
    </w:p>
    <w:p w14:paraId="1C4E195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本研究选取了大盘连续特征中右偏倾斜最显著的两个核心指标——行驶里程（milage）与发动机马力（engine_hp）进行四种空间映射对比（如图 2-4所示）：</w:t>
      </w:r>
    </w:p>
    <w:p w14:paraId="5516681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原始分布与偏度：行驶里程与发动机马力的原始偏度（Skewness）分别高达 +0.8650 与 +0.9284，呈现出明显的幂律右偏和长尾重叠特征。</w:t>
      </w:r>
    </w:p>
    <w:p w14:paraId="4194E4A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朴素 Z-score 标准化：尽管特征被强行压缩至零均值、单位方差空间，但其样本偏度依然保持原样（+0.8650 / +0.9284），表明线性变换无法根治非对称长尾导致的样本空间分布畸变。</w:t>
      </w:r>
    </w:p>
    <w:p w14:paraId="4B33D38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非线性 log1p 对数变换：应用公式 </w:t>
      </w:r>
      <m:oMath>
        <m:r>
          <m:rPr/>
          <w:rPr>
            <w:rFonts w:hint="default" w:ascii="Cambria Math" w:hAnsi="Cambria Math" w:eastAsia="宋体"/>
            <w:sz w:val="24"/>
          </w:rPr>
          <m:t>x'=</m:t>
        </m:r>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1+x)</m:t>
        </m:r>
      </m:oMath>
      <w:r>
        <w:rPr>
          <w:rFonts w:hint="default" w:ascii="宋体" w:hAnsi="宋体" w:eastAsia="宋体" w:cs="宋体"/>
          <w:b w:val="0"/>
          <w:bCs w:val="0"/>
          <w:lang w:val="en-US" w:eastAsia="zh-CN"/>
        </w:rPr>
        <w:t xml:space="preserve"> 处理后，样本分布重心被显著向中心拉拢，马力的右偏偏度直接由 +0.9284 逆转平抑至极佳的 -0.2841。</w:t>
      </w:r>
    </w:p>
    <w:p w14:paraId="16C020E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log1p + Z-score 联合变换（本项目采用）：先进行非线性对数拉伸，再进行线性中心量纲归一化。该策略不仅成功平抑了由于豪华性能车或极高里程长尾点引发的方差波动，更使得自变量分布形态逼近标准高斯正态先验，极大优化了下游算法的特征解空间。</w:t>
      </w:r>
    </w:p>
    <w:p w14:paraId="5F010F2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lang w:val="en-US" w:eastAsia="zh-CN"/>
        </w:rPr>
      </w:pPr>
      <w:r>
        <w:drawing>
          <wp:inline distT="0" distB="0" distL="114300" distR="114300">
            <wp:extent cx="4989195" cy="2288540"/>
            <wp:effectExtent l="0" t="0" r="1905" b="1016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4"/>
                    <a:stretch>
                      <a:fillRect/>
                    </a:stretch>
                  </pic:blipFill>
                  <pic:spPr>
                    <a:xfrm>
                      <a:off x="0" y="0"/>
                      <a:ext cx="4989195" cy="2288540"/>
                    </a:xfrm>
                    <a:prstGeom prst="rect">
                      <a:avLst/>
                    </a:prstGeom>
                    <a:noFill/>
                    <a:ln>
                      <a:noFill/>
                    </a:ln>
                  </pic:spPr>
                </pic:pic>
              </a:graphicData>
            </a:graphic>
          </wp:inline>
        </w:drawing>
      </w:r>
      <w:r>
        <w:rPr>
          <w:rFonts w:hint="eastAsia" w:ascii="宋体" w:hAnsi="宋体" w:eastAsia="宋体" w:cs="宋体"/>
          <w:b w:val="0"/>
          <w:bCs w:val="0"/>
          <w:lang w:val="en-US" w:eastAsia="zh-CN"/>
        </w:rPr>
        <w:t>-图 2-4-</w:t>
      </w:r>
    </w:p>
    <w:p w14:paraId="0F533C9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633356E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eastAsia" w:ascii="宋体" w:hAnsi="宋体" w:eastAsia="宋体" w:cs="宋体"/>
          <w:b/>
          <w:bCs/>
          <w:lang w:val="en-US" w:eastAsia="zh-CN"/>
        </w:rPr>
        <w:t>2.</w:t>
      </w:r>
      <w:r>
        <w:rPr>
          <w:rFonts w:hint="default" w:ascii="宋体" w:hAnsi="宋体" w:eastAsia="宋体" w:cs="宋体"/>
          <w:b/>
          <w:bCs/>
          <w:lang w:val="en-US" w:eastAsia="zh-CN"/>
        </w:rPr>
        <w:t>变换策略对模型性能的量化影响</w:t>
      </w:r>
    </w:p>
    <w:p w14:paraId="1C4202D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为了验证不同变换方案对预测效果的实际贡献，本研究基于 Ridge 正则化回归模型，采用严格的五折交叉验证（5-fold CV）对各策略进行了端到端消融对比（如图 2-4B 所示）：</w:t>
      </w:r>
    </w:p>
    <w:p w14:paraId="6F963E4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策略一：原始特征（无标准化） —— 5-fold CV </w:t>
      </w:r>
      <m:oMath>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=0.6086±0.0035，$RMSE=0.5281±0.0023；</m:t>
        </m:r>
      </m:oMath>
    </w:p>
    <w:p w14:paraId="319881C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策略二：Z-score 标准化（本项目方案） —— 5-fold CV </w:t>
      </w:r>
      <m:oMath>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=0.6077±0.0037，RMSE=0.5287±0.0024；</m:t>
        </m:r>
      </m:oMath>
    </w:p>
    <w:p w14:paraId="2B86600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策略三：RobustScaler（中位数-四分位对比组） —— 5-fold CV </w:t>
      </w:r>
      <m:oMath>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=0.6077±0.0037，RMSE=0.5287±0.0024</m:t>
        </m:r>
      </m:oMath>
      <w:r>
        <w:rPr>
          <w:rFonts w:hint="default" w:ascii="宋体" w:hAnsi="宋体" w:eastAsia="宋体" w:cs="宋体"/>
          <w:b w:val="0"/>
          <w:bCs w:val="0"/>
          <w:lang w:val="en-US" w:eastAsia="zh-CN"/>
        </w:rPr>
        <w:t>。</w:t>
      </w:r>
    </w:p>
    <w:p w14:paraId="7B3A2B4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pPr>
      <w:r>
        <w:drawing>
          <wp:inline distT="0" distB="0" distL="114300" distR="114300">
            <wp:extent cx="5023485" cy="2044065"/>
            <wp:effectExtent l="0" t="0" r="5715" b="63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5"/>
                    <a:stretch>
                      <a:fillRect/>
                    </a:stretch>
                  </pic:blipFill>
                  <pic:spPr>
                    <a:xfrm>
                      <a:off x="0" y="0"/>
                      <a:ext cx="5023485" cy="2044065"/>
                    </a:xfrm>
                    <a:prstGeom prst="rect">
                      <a:avLst/>
                    </a:prstGeom>
                    <a:noFill/>
                    <a:ln>
                      <a:noFill/>
                    </a:ln>
                  </pic:spPr>
                </pic:pic>
              </a:graphicData>
            </a:graphic>
          </wp:inline>
        </w:drawing>
      </w:r>
    </w:p>
    <w:p w14:paraId="40E7ACF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lang w:val="en-US" w:eastAsia="zh-CN"/>
        </w:rPr>
      </w:pP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图 2-4B</w:t>
      </w:r>
      <w:r>
        <w:rPr>
          <w:rFonts w:hint="eastAsia" w:ascii="宋体" w:hAnsi="宋体" w:eastAsia="宋体" w:cs="宋体"/>
          <w:b w:val="0"/>
          <w:bCs w:val="0"/>
          <w:lang w:val="en-US" w:eastAsia="zh-CN"/>
        </w:rPr>
        <w:t>-</w:t>
      </w:r>
    </w:p>
    <w:p w14:paraId="0A519DC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eastAsia" w:ascii="宋体" w:hAnsi="宋体" w:eastAsia="宋体" w:cs="宋体"/>
          <w:b/>
          <w:bCs/>
          <w:lang w:val="en-US" w:eastAsia="zh-CN"/>
        </w:rPr>
        <w:t>3.</w:t>
      </w:r>
      <w:r>
        <w:rPr>
          <w:rFonts w:hint="default" w:ascii="宋体" w:hAnsi="宋体" w:eastAsia="宋体" w:cs="宋体"/>
          <w:b/>
          <w:bCs/>
          <w:lang w:val="en-US" w:eastAsia="zh-CN"/>
        </w:rPr>
        <w:t>决策依据与最终方案判定</w:t>
      </w:r>
    </w:p>
    <w:p w14:paraId="4CAB719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从消融实验结果来看，采用 Z-score 标准化后的线性回归预测得分（</w:t>
      </w:r>
      <m:oMath>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=0.6077</m:t>
        </m:r>
      </m:oMath>
      <w:r>
        <w:rPr>
          <w:rFonts w:hint="default" w:ascii="宋体" w:hAnsi="宋体" w:eastAsia="宋体" w:cs="宋体"/>
          <w:b w:val="0"/>
          <w:bCs w:val="0"/>
          <w:lang w:val="en-US" w:eastAsia="zh-CN"/>
        </w:rPr>
        <w:t>）与原始特征（</w:t>
      </w:r>
      <m:oMath>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=0.6086</m:t>
        </m:r>
      </m:oMath>
      <w:r>
        <w:rPr>
          <w:rFonts w:hint="default" w:ascii="宋体" w:hAnsi="宋体" w:eastAsia="宋体" w:cs="宋体"/>
          <w:b w:val="0"/>
          <w:bCs w:val="0"/>
          <w:lang w:val="en-US" w:eastAsia="zh-CN"/>
        </w:rPr>
        <w:t>）在对数价格空间上相差极微。但在程落地上，无量纲化变换具备不可替代的底层资产红利：</w:t>
      </w:r>
    </w:p>
    <w:p w14:paraId="376BFAB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消除绝对量纲壁垒：标准化彻底抹去了行驶里程（数十万级数值空间）与发动机排量（个位数空间）之间的数量级差异，能够有效防止后续特征融合时大数值项对小数值项产生的梯度压制。</w:t>
      </w:r>
    </w:p>
    <w:p w14:paraId="19D6E2C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优化求解器收敛效率：它将所有因变量的初始状态收拢至对称区间，从数学逻辑上阻断了优化求解器（如多元正则矩阵求逆或随机梯度下降 SGD）陷入椭圆窄谷的隐患，能让系统收敛速度大幅攀升。</w:t>
      </w:r>
    </w:p>
    <w:p w14:paraId="4D06ED93">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default"/>
          <w:woUserID w:val="2"/>
        </w:rPr>
      </w:pPr>
      <w:bookmarkStart w:id="30" w:name="_Toc30763"/>
      <w:r>
        <w:rPr>
          <w:rFonts w:hint="default"/>
          <w:woUserID w:val="2"/>
        </w:rPr>
        <w:t>2.5 衍生特征有效性综合验证</w:t>
      </w:r>
      <w:bookmarkEnd w:id="30"/>
    </w:p>
    <w:p w14:paraId="1704270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r>
        <w:rPr>
          <w:rFonts w:hint="default" w:ascii="宋体" w:hAnsi="宋体" w:eastAsia="宋体" w:cs="宋体"/>
          <w:b w:val="0"/>
          <w:bCs w:val="0"/>
          <w:lang w:val="en-US" w:eastAsia="zh-CN"/>
        </w:rPr>
        <w:t>为了防范机器学习中常见的“伪特征干扰”与“过拟合噪点”，本研究在将衍生特征投入最终模型迭代前，构建了基于 排列重要性 (Permutation Importance)、Bootstrap 相关性置信区间、偏依赖图 (PDP) 以及 消融实验 (Ablation Study) 的四维一体化综合验证架构，对新生成的衍生变量进行严密的数理显著性审计。</w:t>
      </w:r>
    </w:p>
    <w:p w14:paraId="213CF9B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1 特征排列重要性审计</w:t>
      </w:r>
    </w:p>
    <w:p w14:paraId="349DC47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传统基于树模型的内置特征重要性（如 Gain）易受高基数特征和多重共线性的干扰产生偏误。本研究采用多轮交叉验证下的排列重要性机制，其核心数理逻辑为：在保持其他自变量不变的前提下，通过随机打乱（Permute）目标验证特征的样本观测值序列，破坏该特征与目标残差之间的物理映射，并以验证集 </w:t>
      </w:r>
      <m:oMath>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default" w:ascii="宋体" w:hAnsi="宋体" w:eastAsia="宋体" w:cs="宋体"/>
          <w:b w:val="0"/>
          <w:bCs w:val="0"/>
          <w:lang w:val="en-US" w:eastAsia="zh-CN"/>
        </w:rPr>
        <w:t>得分的衰减幅度 (</w:t>
      </w:r>
      <m:oMath>
        <m:r>
          <m:rPr/>
          <w:rPr>
            <w:rFonts w:hint="default" w:ascii="Cambria Math" w:hAnsi="Cambria Math" w:eastAsia="宋体"/>
            <w:sz w:val="24"/>
          </w:rPr>
          <m:t>Δ</m:t>
        </m:r>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default" w:ascii="宋体" w:hAnsi="宋体" w:eastAsia="宋体" w:cs="宋体"/>
          <w:b w:val="0"/>
          <w:bCs w:val="0"/>
          <w:lang w:val="en-US" w:eastAsia="zh-CN"/>
        </w:rPr>
        <w:t>) 作为衡量该特征对系统贡献度的刚性指标。</w:t>
      </w:r>
    </w:p>
    <w:p w14:paraId="353323B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由 5 折交叉验证（5-fold CV × 5次重复）的审计结果（见图 2-5 / Section A）表明：</w:t>
      </w:r>
    </w:p>
    <w:p w14:paraId="04130BD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原始总里程 milage 依旧占据绝对核心地位（</w:t>
      </w:r>
      <m:oMath>
        <m:r>
          <m:rPr/>
          <w:rPr>
            <w:rFonts w:hint="default" w:ascii="Cambria Math" w:hAnsi="Cambria Math" w:eastAsia="宋体"/>
            <w:sz w:val="24"/>
          </w:rPr>
          <m:t>Δ</m:t>
        </m:r>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=0.454329</m:t>
        </m:r>
      </m:oMath>
      <w:r>
        <w:rPr>
          <w:rFonts w:hint="default" w:ascii="宋体" w:hAnsi="宋体" w:eastAsia="宋体" w:cs="宋体"/>
          <w:b w:val="0"/>
          <w:bCs w:val="0"/>
          <w:lang w:val="en-US" w:eastAsia="zh-CN"/>
        </w:rPr>
        <w:t>）。</w:t>
      </w:r>
    </w:p>
    <w:p w14:paraId="6D21E0B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lang w:val="en-US" w:eastAsia="zh-CN"/>
        </w:rPr>
      </w:pPr>
      <w:r>
        <w:drawing>
          <wp:inline distT="0" distB="0" distL="114300" distR="114300">
            <wp:extent cx="5027930" cy="2475865"/>
            <wp:effectExtent l="0" t="0" r="1270" b="63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16"/>
                    <a:stretch>
                      <a:fillRect/>
                    </a:stretch>
                  </pic:blipFill>
                  <pic:spPr>
                    <a:xfrm>
                      <a:off x="0" y="0"/>
                      <a:ext cx="5027930" cy="2475865"/>
                    </a:xfrm>
                    <a:prstGeom prst="rect">
                      <a:avLst/>
                    </a:prstGeom>
                    <a:noFill/>
                    <a:ln>
                      <a:noFill/>
                    </a:ln>
                  </pic:spPr>
                </pic:pic>
              </a:graphicData>
            </a:graphic>
          </wp:inline>
        </w:drawing>
      </w:r>
    </w:p>
    <w:p w14:paraId="255CF79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图 2-5 / Section A</w:t>
      </w:r>
      <w:r>
        <w:rPr>
          <w:rFonts w:hint="eastAsia" w:ascii="宋体" w:hAnsi="宋体" w:eastAsia="宋体" w:cs="宋体"/>
          <w:b w:val="0"/>
          <w:bCs w:val="0"/>
          <w:lang w:val="en-US" w:eastAsia="zh-CN"/>
        </w:rPr>
        <w:t>-</w:t>
      </w:r>
    </w:p>
    <w:p w14:paraId="4CD794F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本研究构建的年均行驶里程 (annual_milage) 表现极为抢眼，其排列重要性得分高居全量衍生特征之首（</w:t>
      </w:r>
      <m:oMath>
        <m:r>
          <m:rPr/>
          <w:rPr>
            <w:rFonts w:hint="default" w:ascii="Cambria Math" w:hAnsi="Cambria Math" w:eastAsia="宋体"/>
            <w:sz w:val="24"/>
          </w:rPr>
          <m:t>Δ</m:t>
        </m:r>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=0.082506</m:t>
        </m:r>
      </m:oMath>
      <w:r>
        <w:rPr>
          <w:rFonts w:hint="default" w:ascii="宋体" w:hAnsi="宋体" w:eastAsia="宋体" w:cs="宋体"/>
          <w:b w:val="0"/>
          <w:bCs w:val="0"/>
          <w:lang w:val="en-US" w:eastAsia="zh-CN"/>
        </w:rPr>
        <w:t>），大幅度超越了原始马力 engine_hp (</w:t>
      </w:r>
      <m:oMath>
        <m:r>
          <m:rPr/>
          <w:rPr>
            <w:rFonts w:hint="default" w:ascii="Cambria Math" w:hAnsi="Cambria Math" w:eastAsia="宋体"/>
            <w:sz w:val="24"/>
          </w:rPr>
          <m:t>0.014687</m:t>
        </m:r>
      </m:oMath>
      <w:r>
        <w:rPr>
          <w:rFonts w:hint="default" w:ascii="宋体" w:hAnsi="宋体" w:eastAsia="宋体" w:cs="宋体"/>
          <w:b w:val="0"/>
          <w:bCs w:val="0"/>
          <w:lang w:val="en-US" w:eastAsia="zh-CN"/>
        </w:rPr>
        <w:t>) 等一众基础自变量。这强有力地证明了磨损强度信号在资产定价中具备极强的独立解释威力。</w:t>
      </w:r>
    </w:p>
    <w:p w14:paraId="4659F1B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此外，基于高阶交互项的 品牌×里程跨界算子 (brand_x_milage) 同样录得高达</w:t>
      </w:r>
      <m:oMath>
        <m:r>
          <m:rPr/>
          <w:rPr>
            <w:rFonts w:hint="default" w:ascii="Cambria Math" w:hAnsi="Cambria Math" w:eastAsia="宋体"/>
            <w:sz w:val="24"/>
          </w:rPr>
          <m:t>0.049926</m:t>
        </m:r>
      </m:oMath>
      <w:r>
        <w:rPr>
          <w:rFonts w:hint="default" w:ascii="宋体" w:hAnsi="宋体" w:eastAsia="宋体" w:cs="宋体"/>
          <w:b w:val="0"/>
          <w:bCs w:val="0"/>
          <w:lang w:val="en-US" w:eastAsia="zh-CN"/>
        </w:rPr>
        <w:t xml:space="preserve"> 的确定性跌幅，精确捕捉到了不同资产在里程流转中的贬值异质性。</w:t>
      </w:r>
    </w:p>
    <w:p w14:paraId="6DA043A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110BF21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2</w:t>
      </w:r>
      <w:r>
        <w:rPr>
          <w:rFonts w:hint="eastAsia" w:ascii="宋体" w:hAnsi="宋体" w:eastAsia="宋体" w:cs="宋体"/>
          <w:b/>
          <w:bCs/>
          <w:lang w:val="en-US" w:eastAsia="zh-CN"/>
        </w:rPr>
        <w:t>.</w:t>
      </w:r>
      <w:r>
        <w:rPr>
          <w:rFonts w:hint="default" w:ascii="宋体" w:hAnsi="宋体" w:eastAsia="宋体" w:cs="宋体"/>
          <w:b/>
          <w:bCs/>
          <w:lang w:val="en-US" w:eastAsia="zh-CN"/>
        </w:rPr>
        <w:t>Bootstrap 鲁棒相关性置信区间检验</w:t>
      </w:r>
    </w:p>
    <w:p w14:paraId="2A816DA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为规避单一相关系数极值受局部异质样本污染的风险，系统采用 Bootstrap 重采样策略（重采样次数 </w:t>
      </w:r>
      <m:oMath>
        <m:r>
          <m:rPr/>
          <w:rPr>
            <w:rFonts w:hint="default" w:ascii="Cambria Math" w:hAnsi="Cambria Math" w:eastAsia="宋体"/>
            <w:sz w:val="24"/>
          </w:rPr>
          <m:t>B=200</m:t>
        </m:r>
      </m:oMath>
      <w:r>
        <w:rPr>
          <w:rFonts w:hint="default" w:ascii="宋体" w:hAnsi="宋体" w:eastAsia="宋体" w:cs="宋体"/>
          <w:b w:val="0"/>
          <w:bCs w:val="0"/>
          <w:lang w:val="en-US" w:eastAsia="zh-CN"/>
        </w:rPr>
        <w:t xml:space="preserve">，抽样空间 </w:t>
      </w:r>
      <m:oMath>
        <m:r>
          <m:rPr/>
          <w:rPr>
            <w:rFonts w:hint="default" w:ascii="Cambria Math" w:hAnsi="Cambria Math" w:eastAsia="宋体"/>
            <w:sz w:val="24"/>
          </w:rPr>
          <m:t>n=10,000</m:t>
        </m:r>
      </m:oMath>
      <w:r>
        <w:rPr>
          <w:rFonts w:hint="default" w:ascii="宋体" w:hAnsi="宋体" w:eastAsia="宋体" w:cs="宋体"/>
          <w:b w:val="0"/>
          <w:bCs w:val="0"/>
          <w:lang w:val="en-US" w:eastAsia="zh-CN"/>
        </w:rPr>
        <w:t>），联合求解皮尔逊线性相关系数与斯皮尔曼非线性秩相关系数的 95% 渐进置信区间。</w:t>
      </w:r>
    </w:p>
    <w:p w14:paraId="66B4454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根据实验统计大盘（见图 2-5 / Section B）展示的区间收拢状态：</w:t>
      </w:r>
    </w:p>
    <w:p w14:paraId="742A867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annual_milage：其皮尔逊线性相关系数与斯皮尔曼非线性秩相关系数均呈现出极强的确定性负相关属性（Spearman 95% CI 稳健锁定在 </w:t>
      </w:r>
      <m:oMath>
        <m:r>
          <m:rPr/>
          <w:rPr>
            <w:rFonts w:hint="default" w:ascii="Cambria Math" w:hAnsi="Cambria Math" w:eastAsia="宋体"/>
            <w:sz w:val="24"/>
          </w:rPr>
          <m:t>[−0.4866,−0.4587]</m:t>
        </m:r>
      </m:oMath>
      <w:r>
        <w:rPr>
          <w:rFonts w:hint="default" w:ascii="宋体" w:hAnsi="宋体" w:eastAsia="宋体" w:cs="宋体"/>
          <w:b w:val="0"/>
          <w:bCs w:val="0"/>
          <w:lang w:val="en-US" w:eastAsia="zh-CN"/>
        </w:rPr>
        <w:t>）。其置信区间极窄且完全远离零点，从统计学上拒绝了“无相关性”的原假设，验证了磨损强度越高、残值越低的确定性常识。</w:t>
      </w:r>
    </w:p>
    <w:p w14:paraId="36B0959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power_density：与二手车价格呈现出显著的正相关分布（Pearson 95% CI 为 </w:t>
      </w:r>
      <m:oMath>
        <m:r>
          <m:rPr/>
          <w:rPr>
            <w:rFonts w:hint="default" w:ascii="Cambria Math" w:hAnsi="Cambria Math" w:eastAsia="宋体"/>
            <w:sz w:val="24"/>
          </w:rPr>
          <m:t>[0.2851,0.3167]</m:t>
        </m:r>
      </m:oMath>
      <w:r>
        <w:rPr>
          <w:rFonts w:hint="default" w:ascii="宋体" w:hAnsi="宋体" w:eastAsia="宋体" w:cs="宋体"/>
          <w:b w:val="0"/>
          <w:bCs w:val="0"/>
          <w:lang w:val="en-US" w:eastAsia="zh-CN"/>
        </w:rPr>
        <w:t>），其置信空间与 brand_encoded 的分布高度对齐。这说明升功率作为核心技术先验，为系统注入了极为稳定的性能溢价参考锚点。</w:t>
      </w:r>
    </w:p>
    <w:p w14:paraId="0360D20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pPr>
      <w:r>
        <w:drawing>
          <wp:inline distT="0" distB="0" distL="114300" distR="114300">
            <wp:extent cx="5022215" cy="1607820"/>
            <wp:effectExtent l="0" t="0" r="6985" b="508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7"/>
                    <a:stretch>
                      <a:fillRect/>
                    </a:stretch>
                  </pic:blipFill>
                  <pic:spPr>
                    <a:xfrm>
                      <a:off x="0" y="0"/>
                      <a:ext cx="5022215" cy="1607820"/>
                    </a:xfrm>
                    <a:prstGeom prst="rect">
                      <a:avLst/>
                    </a:prstGeom>
                    <a:noFill/>
                    <a:ln>
                      <a:noFill/>
                    </a:ln>
                  </pic:spPr>
                </pic:pic>
              </a:graphicData>
            </a:graphic>
          </wp:inline>
        </w:drawing>
      </w:r>
    </w:p>
    <w:p w14:paraId="0DEB500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图 2-5 / Section B</w:t>
      </w:r>
      <w:r>
        <w:rPr>
          <w:rFonts w:hint="eastAsia" w:ascii="宋体" w:hAnsi="宋体" w:eastAsia="宋体" w:cs="宋体"/>
          <w:b w:val="0"/>
          <w:bCs w:val="0"/>
          <w:lang w:val="en-US" w:eastAsia="zh-CN"/>
        </w:rPr>
        <w:t>-</w:t>
      </w:r>
    </w:p>
    <w:p w14:paraId="43C2A6E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lang w:val="en-US" w:eastAsia="zh-CN"/>
        </w:rPr>
      </w:pPr>
    </w:p>
    <w:p w14:paraId="37C6378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3</w:t>
      </w:r>
      <w:r>
        <w:rPr>
          <w:rFonts w:hint="eastAsia" w:ascii="宋体" w:hAnsi="宋体" w:eastAsia="宋体" w:cs="宋体"/>
          <w:b/>
          <w:bCs/>
          <w:lang w:val="en-US" w:eastAsia="zh-CN"/>
        </w:rPr>
        <w:t>.</w:t>
      </w:r>
      <w:r>
        <w:rPr>
          <w:rFonts w:hint="default" w:ascii="宋体" w:hAnsi="宋体" w:eastAsia="宋体" w:cs="宋体"/>
          <w:b/>
          <w:bCs/>
          <w:lang w:val="en-US" w:eastAsia="zh-CN"/>
        </w:rPr>
        <w:t>基于偏依赖图的非线性边际效应分析</w:t>
      </w:r>
    </w:p>
    <w:p w14:paraId="0EE6D59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为了进一步解析模型内部的决策逻辑，本研究引入偏依赖图（Partial Dependence Plots）来定量刻画核心衍生自变量对价格预测值的边际非线性效应（见图 2-5 / Section C）。</w:t>
      </w:r>
    </w:p>
    <w:p w14:paraId="0A32F81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在剔除了其他所有特征的混淆影响后，annual_milage 的偏依赖曲线在 </w:t>
      </w:r>
      <m:oMath>
        <m:r>
          <m:rPr/>
          <w:rPr>
            <w:rFonts w:hint="default" w:ascii="Cambria Math" w:hAnsi="Cambria Math" w:eastAsia="宋体"/>
            <w:sz w:val="24"/>
          </w:rPr>
          <m:t>[−1.5,+1.5]</m:t>
        </m:r>
      </m:oMath>
      <w:r>
        <w:rPr>
          <w:rFonts w:hint="default" w:ascii="宋体" w:hAnsi="宋体" w:eastAsia="宋体" w:cs="宋体"/>
          <w:b w:val="0"/>
          <w:bCs w:val="0"/>
          <w:lang w:val="en-US" w:eastAsia="zh-CN"/>
        </w:rPr>
        <w:t xml:space="preserve"> 的标准化区间内呈现出一条极为平滑的线性单调递减轨迹（注：由于预测目标进行了对数变换 log_price，该线性轨迹在指数还原后天然呈现资产贬值加速的反比例特征）。</w:t>
      </w:r>
    </w:p>
    <w:p w14:paraId="5F59589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升功率 power_density 的 PDP 曲线则生动描绘了高技术密度发动机对溢价的线性拉动作用，确认了模型内部逻辑流的经济学合理性。</w:t>
      </w:r>
    </w:p>
    <w:p w14:paraId="2D3D6EE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pPr>
      <w:r>
        <w:drawing>
          <wp:inline distT="0" distB="0" distL="114300" distR="114300">
            <wp:extent cx="5001895" cy="2758440"/>
            <wp:effectExtent l="0" t="0" r="1905" b="1016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8"/>
                    <a:stretch>
                      <a:fillRect/>
                    </a:stretch>
                  </pic:blipFill>
                  <pic:spPr>
                    <a:xfrm>
                      <a:off x="0" y="0"/>
                      <a:ext cx="5001895" cy="2758440"/>
                    </a:xfrm>
                    <a:prstGeom prst="rect">
                      <a:avLst/>
                    </a:prstGeom>
                    <a:noFill/>
                    <a:ln>
                      <a:noFill/>
                    </a:ln>
                  </pic:spPr>
                </pic:pic>
              </a:graphicData>
            </a:graphic>
          </wp:inline>
        </w:drawing>
      </w:r>
    </w:p>
    <w:p w14:paraId="63001B6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lang w:val="en-US" w:eastAsia="zh-CN"/>
        </w:rPr>
      </w:pP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图 2-5 / Section C</w:t>
      </w:r>
      <w:r>
        <w:rPr>
          <w:rFonts w:hint="eastAsia" w:ascii="宋体" w:hAnsi="宋体" w:eastAsia="宋体" w:cs="宋体"/>
          <w:b w:val="0"/>
          <w:bCs w:val="0"/>
          <w:lang w:val="en-US" w:eastAsia="zh-CN"/>
        </w:rPr>
        <w:t>-</w:t>
      </w:r>
    </w:p>
    <w:p w14:paraId="452F0DC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i w:val="0"/>
          <w:iCs w:val="0"/>
          <w:lang w:val="en-US" w:eastAsia="zh-CN"/>
        </w:rPr>
      </w:pPr>
      <w:r>
        <w:rPr>
          <w:rFonts w:hint="default" w:ascii="宋体" w:hAnsi="宋体" w:eastAsia="宋体" w:cs="宋体"/>
          <w:b/>
          <w:bCs/>
          <w:i w:val="0"/>
          <w:iCs w:val="0"/>
          <w:lang w:val="en-US" w:eastAsia="zh-CN"/>
        </w:rPr>
        <w:t>4</w:t>
      </w:r>
      <w:r>
        <w:rPr>
          <w:rFonts w:hint="eastAsia" w:ascii="宋体" w:hAnsi="宋体" w:eastAsia="宋体" w:cs="宋体"/>
          <w:b/>
          <w:bCs/>
          <w:i w:val="0"/>
          <w:iCs w:val="0"/>
          <w:lang w:val="en-US" w:eastAsia="zh-CN"/>
        </w:rPr>
        <w:t>.</w:t>
      </w:r>
      <w:r>
        <w:rPr>
          <w:rFonts w:hint="default" w:ascii="宋体" w:hAnsi="宋体" w:eastAsia="宋体" w:cs="宋体"/>
          <w:b/>
          <w:bCs/>
          <w:i w:val="0"/>
          <w:iCs w:val="0"/>
          <w:lang w:val="en-US" w:eastAsia="zh-CN"/>
        </w:rPr>
        <w:t>衍生特征消融实验</w:t>
      </w:r>
    </w:p>
    <w:p w14:paraId="00F7B67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消融实验是评估特征组合对系统带来“净增益贡献”的最直接手段。本研究以包含了全特征矩阵的 Ridge 模型作为基准（全特征 Baseline </w:t>
      </w:r>
      <m:oMath>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=0.6188±0.0032</m:t>
        </m:r>
      </m:oMath>
      <w:r>
        <w:rPr>
          <w:rFonts w:hint="default" w:ascii="宋体" w:hAnsi="宋体" w:eastAsia="宋体" w:cs="宋体"/>
          <w:b w:val="0"/>
          <w:bCs w:val="0"/>
          <w:lang w:val="en-US" w:eastAsia="zh-CN"/>
        </w:rPr>
        <w:t>），采用“逐一剔除再重训”的逆向剪枝策略，定量测算单个衍生特征对大盘的边际增量价值。</w:t>
      </w:r>
    </w:p>
    <w:p w14:paraId="326D302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消融增益分布（见图 2-5 / Section D）显示：</w:t>
      </w:r>
    </w:p>
    <w:p w14:paraId="7BDC9C9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剔除 annual_milage 后，系统全盘 </w:t>
      </w:r>
      <m:oMath>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default" w:ascii="宋体" w:hAnsi="宋体" w:eastAsia="宋体" w:cs="宋体"/>
          <w:b w:val="0"/>
          <w:bCs w:val="0"/>
          <w:lang w:val="en-US" w:eastAsia="zh-CN"/>
        </w:rPr>
        <w:t xml:space="preserve"> 瞬间从 0.6188 跌落至 0.6125，产生高达 </w:t>
      </w:r>
      <m:oMath>
        <m:r>
          <m:rPr/>
          <w:rPr>
            <w:rFonts w:hint="default" w:ascii="Cambria Math" w:hAnsi="Cambria Math" w:eastAsia="宋体"/>
            <w:sz w:val="24"/>
          </w:rPr>
          <m:t>+0.006319</m:t>
        </m:r>
      </m:oMath>
      <w:r>
        <w:rPr>
          <w:rFonts w:hint="default" w:ascii="宋体" w:hAnsi="宋体" w:eastAsia="宋体" w:cs="宋体"/>
          <w:b w:val="0"/>
          <w:bCs w:val="0"/>
          <w:lang w:val="en-US" w:eastAsia="zh-CN"/>
        </w:rPr>
        <w:t xml:space="preserve"> 的刚性性能跌幅（</w:t>
      </w:r>
      <m:oMath>
        <m:r>
          <m:rPr/>
          <w:rPr>
            <w:rFonts w:hint="default" w:ascii="Cambria Math" w:hAnsi="Cambria Math" w:eastAsia="宋体"/>
            <w:sz w:val="24"/>
          </w:rPr>
          <m:t>Δ</m:t>
        </m:r>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default" w:ascii="宋体" w:hAnsi="宋体" w:eastAsia="宋体" w:cs="宋体"/>
          <w:b w:val="0"/>
          <w:bCs w:val="0"/>
          <w:lang w:val="en-US" w:eastAsia="zh-CN"/>
        </w:rPr>
        <w:t>）。</w:t>
      </w:r>
    </w:p>
    <w:p w14:paraId="6202B67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逐一剥离 brand_encoded 与 power_density 亦分别带来 </w:t>
      </w:r>
      <m:oMath>
        <m:r>
          <m:rPr/>
          <w:rPr>
            <w:rFonts w:hint="default" w:ascii="Cambria Math" w:hAnsi="Cambria Math" w:eastAsia="宋体"/>
            <w:sz w:val="24"/>
          </w:rPr>
          <m:t>+0.004627</m:t>
        </m:r>
      </m:oMath>
      <w:r>
        <w:rPr>
          <w:rFonts w:hint="default" w:ascii="宋体" w:hAnsi="宋体" w:eastAsia="宋体" w:cs="宋体"/>
          <w:b w:val="0"/>
          <w:bCs w:val="0"/>
          <w:lang w:val="en-US" w:eastAsia="zh-CN"/>
        </w:rPr>
        <w:t xml:space="preserve"> 与 </w:t>
      </w:r>
      <m:oMath>
        <m:r>
          <m:rPr/>
          <w:rPr>
            <w:rFonts w:hint="default" w:ascii="Cambria Math" w:hAnsi="Cambria Math" w:eastAsia="宋体"/>
            <w:sz w:val="24"/>
          </w:rPr>
          <m:t>+0.002949</m:t>
        </m:r>
      </m:oMath>
      <w:r>
        <w:rPr>
          <w:rFonts w:hint="default" w:ascii="宋体" w:hAnsi="宋体" w:eastAsia="宋体" w:cs="宋体"/>
          <w:b w:val="0"/>
          <w:bCs w:val="0"/>
          <w:lang w:val="en-US" w:eastAsia="zh-CN"/>
        </w:rPr>
        <w:t xml:space="preserve"> 的确定性精度坍塌。</w:t>
      </w:r>
    </w:p>
    <w:p w14:paraId="235B7B6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drawing>
          <wp:inline distT="0" distB="0" distL="114300" distR="114300">
            <wp:extent cx="5030470" cy="2183765"/>
            <wp:effectExtent l="0" t="0" r="11430" b="635"/>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pic:cNvPicPr>
                      <a:picLocks noChangeAspect="1"/>
                    </pic:cNvPicPr>
                  </pic:nvPicPr>
                  <pic:blipFill>
                    <a:blip r:embed="rId19"/>
                    <a:stretch>
                      <a:fillRect/>
                    </a:stretch>
                  </pic:blipFill>
                  <pic:spPr>
                    <a:xfrm>
                      <a:off x="0" y="0"/>
                      <a:ext cx="5030470" cy="2183765"/>
                    </a:xfrm>
                    <a:prstGeom prst="rect">
                      <a:avLst/>
                    </a:prstGeom>
                    <a:noFill/>
                    <a:ln>
                      <a:noFill/>
                    </a:ln>
                  </pic:spPr>
                </pic:pic>
              </a:graphicData>
            </a:graphic>
          </wp:inline>
        </w:drawing>
      </w:r>
    </w:p>
    <w:p w14:paraId="13139A0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图 2-5 / Section D</w:t>
      </w:r>
      <w:r>
        <w:rPr>
          <w:rFonts w:hint="eastAsia" w:ascii="宋体" w:hAnsi="宋体" w:eastAsia="宋体" w:cs="宋体"/>
          <w:b w:val="0"/>
          <w:bCs w:val="0"/>
          <w:lang w:val="en-US" w:eastAsia="zh-CN"/>
        </w:rPr>
        <w:t>-</w:t>
      </w:r>
    </w:p>
    <w:p w14:paraId="2A23CE71">
      <w:pPr>
        <w:pageBreakBefore w:val="0"/>
        <w:kinsoku/>
        <w:wordWrap/>
        <w:overflowPunct/>
        <w:topLinePunct w:val="0"/>
        <w:autoSpaceDE/>
        <w:autoSpaceDN/>
        <w:bidi w:val="0"/>
        <w:adjustRightInd/>
        <w:spacing w:line="360" w:lineRule="auto"/>
        <w:textAlignment w:val="auto"/>
        <w:rPr>
          <w:rFonts w:hint="default"/>
        </w:rPr>
      </w:pPr>
    </w:p>
    <w:p w14:paraId="245515F4">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ascii="宋体" w:hAnsi="宋体" w:eastAsia="宋体" w:cs="宋体"/>
          <w:sz w:val="30"/>
          <w:szCs w:val="30"/>
          <w:lang w:eastAsia="zh"/>
        </w:rPr>
      </w:pPr>
      <w:bookmarkStart w:id="31" w:name="_Toc16765"/>
      <w:r>
        <w:rPr>
          <w:rFonts w:hint="default" w:ascii="Times New Roman" w:hAnsi="Times New Roman" w:eastAsia="宋体" w:cs="Times New Roman"/>
          <w:sz w:val="30"/>
          <w:szCs w:val="30"/>
        </w:rPr>
        <w:t>3</w:t>
      </w:r>
      <w:bookmarkEnd w:id="27"/>
      <w:bookmarkEnd w:id="28"/>
      <w:r>
        <w:rPr>
          <w:rFonts w:hint="eastAsia" w:ascii="宋体" w:hAnsi="宋体" w:eastAsia="宋体" w:cs="宋体"/>
          <w:sz w:val="30"/>
          <w:szCs w:val="30"/>
          <w:lang w:eastAsia="zh"/>
        </w:rPr>
        <w:t>数据预处理与特征工程</w:t>
      </w:r>
      <w:bookmarkEnd w:id="31"/>
    </w:p>
    <w:p w14:paraId="748681B0">
      <w:pPr>
        <w:pageBreakBefore w:val="0"/>
        <w:kinsoku/>
        <w:wordWrap/>
        <w:overflowPunct/>
        <w:topLinePunct w:val="0"/>
        <w:autoSpaceDE/>
        <w:autoSpaceDN/>
        <w:bidi w:val="0"/>
        <w:adjustRightInd/>
        <w:spacing w:line="360" w:lineRule="auto"/>
        <w:textAlignment w:val="auto"/>
        <w:rPr>
          <w:rFonts w:hint="eastAsia"/>
          <w:lang w:eastAsia="zh-CN"/>
        </w:rPr>
      </w:pPr>
    </w:p>
    <w:p w14:paraId="7F9C007E">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ascii="宋体" w:hAnsi="宋体" w:eastAsia="宋体" w:cs="宋体"/>
          <w:lang w:eastAsia="zh"/>
          <w:woUserID w:val="2"/>
        </w:rPr>
      </w:pPr>
      <w:bookmarkStart w:id="32" w:name="_Toc513028233"/>
      <w:bookmarkEnd w:id="32"/>
      <w:bookmarkStart w:id="33" w:name="_Toc515571910"/>
      <w:bookmarkStart w:id="34" w:name="_Toc515570726"/>
      <w:bookmarkStart w:id="35" w:name="_Toc849"/>
      <w:r>
        <w:rPr>
          <w:rFonts w:hint="default" w:ascii="Times New Roman" w:hAnsi="Times New Roman" w:eastAsia="宋体" w:cs="Times New Roman"/>
        </w:rPr>
        <w:t>3.1</w:t>
      </w:r>
      <w:bookmarkEnd w:id="33"/>
      <w:bookmarkEnd w:id="34"/>
      <w:r>
        <w:rPr>
          <w:rFonts w:hint="eastAsia" w:ascii="宋体" w:hAnsi="宋体" w:eastAsia="宋体" w:cs="宋体"/>
          <w:lang w:eastAsia="zh"/>
          <w:woUserID w:val="2"/>
        </w:rPr>
        <w:t>数据清洗与异常值处理</w:t>
      </w:r>
      <w:bookmarkEnd w:id="35"/>
    </w:p>
    <w:p w14:paraId="7CCA722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bookmarkStart w:id="36" w:name="_Toc515570727"/>
      <w:bookmarkStart w:id="37" w:name="_Toc515571911"/>
      <w:r>
        <w:rPr>
          <w:rFonts w:hint="default" w:ascii="宋体" w:hAnsi="宋体" w:eastAsia="宋体" w:cs="宋体"/>
          <w:b w:val="0"/>
          <w:bCs w:val="0"/>
          <w:lang w:val="en-US" w:eastAsia="zh-CN"/>
        </w:rPr>
        <w:t>本节针对原始二手车交易数据进行清洗与异常值修正。系统遵循严谨的统计学与业务知识双重验证原则，通过定制的 AdvancedUsedCarPreprocessor 流水线，全面化解异构文本提取、高维空间缺失、以及极端值噪声问题，实现了从清洗前到清洗后特征集的无漏转换。具体清洗细节与处理依据如下：</w:t>
      </w:r>
    </w:p>
    <w:p w14:paraId="433EC85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eastAsia" w:ascii="宋体" w:hAnsi="宋体" w:eastAsia="宋体" w:cs="宋体"/>
          <w:b/>
          <w:bCs/>
          <w:lang w:val="en-US" w:eastAsia="zh-CN"/>
        </w:rPr>
        <w:t>1.</w:t>
      </w:r>
      <w:r>
        <w:rPr>
          <w:rFonts w:hint="default" w:ascii="宋体" w:hAnsi="宋体" w:eastAsia="宋体" w:cs="宋体"/>
          <w:b/>
          <w:bCs/>
          <w:lang w:val="en-US" w:eastAsia="zh-CN"/>
        </w:rPr>
        <w:t>多级正则自适应文本特征抽取</w:t>
      </w:r>
    </w:p>
    <w:p w14:paraId="175DB61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原始字段中发动机参数 engine 呈现非结构化的半自由文本形态（如 '355.0HP 5.3L 8 Cylinder')，无法被模型直接识别。本系统采用两级正规表达式数值蒸馏算法：</w:t>
      </w:r>
    </w:p>
    <w:p w14:paraId="5AB55A3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马力提取（Engine HP）：通过检索 r'(\d+\.?\d*)\s*HP' 规则提取车辆马力。</w:t>
      </w:r>
    </w:p>
    <w:p w14:paraId="44083FF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排量提取（Engine Liter）：优先通过 r'(\d+\.?\d*)\s*(L|Liter)' 捕获排量；针对部分缺失“L”描述但带有缸体特征的非标文本，应用备用正则 r'(\d+\.\d+)\s+V\d' 进行二次防御。</w:t>
      </w:r>
    </w:p>
    <w:p w14:paraId="6194794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空值安全兜底：若提取后仍存在缺失，系统将以训练集拟合得到的中位数（hp_median_、liter_median_）进行安全填充，防止文本乱码样本引发预测崩溃。</w:t>
      </w:r>
    </w:p>
    <w:p w14:paraId="2730D3C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eastAsia" w:ascii="宋体" w:hAnsi="宋体" w:eastAsia="宋体" w:cs="宋体"/>
          <w:b/>
          <w:bCs/>
          <w:lang w:val="en-US" w:eastAsia="zh-CN"/>
        </w:rPr>
        <w:t>2.</w:t>
      </w:r>
      <w:r>
        <w:rPr>
          <w:rFonts w:hint="default" w:ascii="宋体" w:hAnsi="宋体" w:eastAsia="宋体" w:cs="宋体"/>
          <w:b/>
          <w:bCs/>
          <w:lang w:val="en-US" w:eastAsia="zh-CN"/>
        </w:rPr>
        <w:t>自适应 IQR 异常值温索尔截断</w:t>
      </w:r>
    </w:p>
    <w:p w14:paraId="40C8B45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二手车里程数 milage 存在网页端人工录入极端噪声的风险（如误多打零）。若采用传统的全局 IQR（四分位距）截断，由于代步车（高周转、高里程）与限量版超级豪车（低周转、极低里程）的市场属性截然不同，全局统一的阈值会造成对高性能高价值车型的大范围</w:t>
      </w:r>
      <w:r>
        <w:rPr>
          <w:rFonts w:hint="eastAsia" w:ascii="宋体" w:hAnsi="宋体" w:eastAsia="宋体" w:cs="宋体"/>
          <w:b w:val="0"/>
          <w:bCs w:val="0"/>
          <w:lang w:val="en-US" w:eastAsia="zh-CN"/>
        </w:rPr>
        <w:t>误判</w:t>
      </w:r>
      <w:r>
        <w:rPr>
          <w:rFonts w:hint="default" w:ascii="宋体" w:hAnsi="宋体" w:eastAsia="宋体" w:cs="宋体"/>
          <w:b w:val="0"/>
          <w:bCs w:val="0"/>
          <w:lang w:val="en-US" w:eastAsia="zh-CN"/>
        </w:rPr>
        <w:t>。</w:t>
      </w:r>
    </w:p>
    <w:p w14:paraId="21B4509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品牌自适应边界学习：本系统在训练集拟合时，按品牌隔离学习各自独立的四分位数边界，设定极值惩罚项系数 iqr_multiplier=3.0。</w:t>
      </w:r>
    </w:p>
    <w:p w14:paraId="7F02CA7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截断策略：对于超过局部品牌边界的样本，系统不进行简单粗暴的“直接删除”，而是通过温索尔自适应局部截断法，强行将其收拢至该品牌对应的置信上下界 </w:t>
      </w:r>
      <m:oMath>
        <m:r>
          <m:rPr/>
          <w:rPr>
            <w:rFonts w:hint="default" w:ascii="Cambria Math" w:hAnsi="Cambria Math" w:eastAsia="宋体"/>
            <w:sz w:val="24"/>
          </w:rPr>
          <m:t>[Lower,Upper]</m:t>
        </m:r>
      </m:oMath>
      <w:r>
        <w:rPr>
          <w:rFonts w:hint="default" w:ascii="宋体" w:hAnsi="宋体" w:eastAsia="宋体" w:cs="宋体"/>
          <w:b w:val="0"/>
          <w:bCs w:val="0"/>
          <w:lang w:val="en-US" w:eastAsia="zh-CN"/>
        </w:rPr>
        <w:t xml:space="preserve"> 内。这样既清除了非物理极值的噪声干扰，又保全了原始样本总量的完备性。</w:t>
      </w:r>
    </w:p>
    <w:p w14:paraId="688EC62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eastAsia" w:ascii="宋体" w:hAnsi="宋体" w:eastAsia="宋体" w:cs="宋体"/>
          <w:b/>
          <w:bCs/>
          <w:lang w:val="en-US" w:eastAsia="zh-CN"/>
        </w:rPr>
        <w:t>3.</w:t>
      </w:r>
      <w:r>
        <w:rPr>
          <w:rFonts w:hint="default" w:ascii="宋体" w:hAnsi="宋体" w:eastAsia="宋体" w:cs="宋体"/>
          <w:b/>
          <w:bCs/>
          <w:lang w:val="en-US" w:eastAsia="zh-CN"/>
        </w:rPr>
        <w:t>随机缺失值业务联动填充逻辑</w:t>
      </w:r>
    </w:p>
    <w:p w14:paraId="337E777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对于燃料动力类型 fuel_type 存在的 2.7% 缺失，经数理审计发现其符合随机缺少机制，即缺失往往与特定车辆品牌或发动机文本强相关。</w:t>
      </w:r>
    </w:p>
    <w:p w14:paraId="0D8AE37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业务联动对齐：系统建立多源联动修复规则，当车辆品牌为 'Tesla' 且 fuel_type 为空，或发动机文本中显式包含 'Electric' 关键字时，系统将自适应精准联动填充为 'Electric'。</w:t>
      </w:r>
    </w:p>
    <w:p w14:paraId="3C54B44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广义长尾兜底：大盘中其余无法判明动力特征的残余缺失值则统一归拢填充为 'Unknown'，防止引入偏见。</w:t>
      </w:r>
    </w:p>
    <w:p w14:paraId="3325435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eastAsia" w:ascii="宋体" w:hAnsi="宋体" w:eastAsia="宋体" w:cs="宋体"/>
          <w:b/>
          <w:bCs/>
          <w:lang w:val="en-US" w:eastAsia="zh-CN"/>
        </w:rPr>
        <w:t>4.</w:t>
      </w:r>
      <w:r>
        <w:rPr>
          <w:rFonts w:hint="default" w:ascii="宋体" w:hAnsi="宋体" w:eastAsia="宋体" w:cs="宋体"/>
          <w:b/>
          <w:bCs/>
          <w:lang w:val="en-US" w:eastAsia="zh-CN"/>
        </w:rPr>
        <w:t>高基数稀有品牌归拢与文本标准化</w:t>
      </w:r>
    </w:p>
    <w:p w14:paraId="3E551BE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原始文本中由于录入规范不一存在明显的拼写歧义（如将 'Mercedes-Benz' 误缩写为 'Mercedes'，'Land Rover' 简写为 'Land'）。系统在清洗端建立标准映射词典进行对齐。同时，针对样本量少于 15 条的极罕见稀有品牌，系统建立高频品牌字典，将其统一收拢归类为 'Other'。这一策略不仅能有效抑制高基数分类下的长尾稀疏噪声，更能彻底隔离测试集在推理端可能出现的“未登录词（OOV）”，防止算法报错。</w:t>
      </w:r>
    </w:p>
    <w:p w14:paraId="3534A92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eastAsia" w:ascii="宋体" w:hAnsi="宋体" w:eastAsia="宋体" w:cs="宋体"/>
          <w:b/>
          <w:bCs/>
          <w:lang w:val="en-US" w:eastAsia="zh-CN"/>
        </w:rPr>
        <w:t>5.</w:t>
      </w:r>
      <w:r>
        <w:rPr>
          <w:rFonts w:hint="default" w:ascii="宋体" w:hAnsi="宋体" w:eastAsia="宋体" w:cs="宋体"/>
          <w:b/>
          <w:bCs/>
          <w:lang w:val="en-US" w:eastAsia="zh-CN"/>
        </w:rPr>
        <w:t>车况事故与产权特征特征转换</w:t>
      </w:r>
    </w:p>
    <w:p w14:paraId="2FE4F434">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p>
    <w:p w14:paraId="7A02F80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隐藏欺诈权重提炼：出险事故 accident 原始缺失率为 1.3%。由于二手车流转中存在车商刻意隐瞒事故的行业现状，如果对缺失样本进行简单删除或频率填充，会严重破坏真实的欺诈分布。因此，系统将其提炼为 'Has_Accident'、'No_Accident' 以及独立的 'Unknown'（未知车况）三个显式类别，交由算法在后续模型训练中自动学习隐藏的风险溢价权重。</w:t>
      </w:r>
    </w:p>
    <w:p w14:paraId="344AA97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产权清洁激活：对于产权证明 clean_title（缺失率 11.4%），系统通过</w:t>
      </w:r>
      <w:r>
        <w:rPr>
          <w:rFonts w:ascii="宋体" w:hAnsi="宋体" w:eastAsia="宋体" w:cs="宋体"/>
          <w:sz w:val="24"/>
          <w:szCs w:val="24"/>
        </w:rPr>
        <w:t>One-Hot Encoding</w:t>
      </w:r>
      <w:r>
        <w:rPr>
          <w:rFonts w:hint="default" w:ascii="宋体" w:hAnsi="宋体" w:eastAsia="宋体" w:cs="宋体"/>
          <w:b w:val="0"/>
          <w:bCs w:val="0"/>
          <w:lang w:val="en-US" w:eastAsia="zh-CN"/>
        </w:rPr>
        <w:t>，将其转换为 is_clean_title（1 或 0 活性值），成功将高缺失特征盘活为高区分度的硬性价格指标。</w:t>
      </w:r>
    </w:p>
    <w:p w14:paraId="64DEA4F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p>
    <w:p w14:paraId="6DFDD5DA">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lang w:eastAsia="zh"/>
          <w:woUserID w:val="2"/>
        </w:rPr>
      </w:pPr>
      <w:bookmarkStart w:id="38" w:name="_Toc13223"/>
      <w:r>
        <w:rPr>
          <w:rFonts w:hint="eastAsia"/>
        </w:rPr>
        <w:t>3</w:t>
      </w:r>
      <w:r>
        <w:t>.2</w:t>
      </w:r>
      <w:bookmarkEnd w:id="36"/>
      <w:bookmarkEnd w:id="37"/>
      <w:r>
        <w:rPr>
          <w:rFonts w:hint="eastAsia"/>
          <w:lang w:eastAsia="zh"/>
          <w:woUserID w:val="2"/>
        </w:rPr>
        <w:t>分类特征编码</w:t>
      </w:r>
      <w:bookmarkEnd w:id="38"/>
    </w:p>
    <w:p w14:paraId="7A571D6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bookmarkStart w:id="39" w:name="_Toc515570728"/>
      <w:bookmarkStart w:id="40" w:name="_Toc515571912"/>
      <w:r>
        <w:rPr>
          <w:rFonts w:hint="default" w:ascii="宋体" w:hAnsi="宋体" w:eastAsia="宋体" w:cs="宋体"/>
          <w:b w:val="0"/>
          <w:bCs w:val="0"/>
          <w:lang w:val="en-US" w:eastAsia="zh-CN"/>
        </w:rPr>
        <w:t>本节针对二手车资产中最核心的高维分类自变量车辆品牌 brand探讨不同的数字化映射策略。分类变量的编码质量不仅决定了模型对高价值溢价品牌与普通代步品牌之间隐含资产阶梯的理解程度，还会直接影响特征空间的维度边界。</w:t>
      </w:r>
    </w:p>
    <w:p w14:paraId="13643CC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为了确立最稳健的编码机制，本研究基于线性 Ridge 回归模型并采用严格的五折交叉验证（5-fold CV），对三种典型方案实施了端到端定量消融对比（如图 3-2 所示）：</w:t>
      </w:r>
    </w:p>
    <w:p w14:paraId="6DE12FA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hAnsi="Cambria Math" w:eastAsia="宋体"/>
          <w:i w:val="0"/>
          <w:sz w:val="24"/>
        </w:rPr>
      </w:pPr>
      <w:r>
        <w:drawing>
          <wp:inline distT="0" distB="0" distL="114300" distR="114300">
            <wp:extent cx="5006340" cy="2085975"/>
            <wp:effectExtent l="0" t="0" r="10160" b="9525"/>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20"/>
                    <a:stretch>
                      <a:fillRect/>
                    </a:stretch>
                  </pic:blipFill>
                  <pic:spPr>
                    <a:xfrm>
                      <a:off x="0" y="0"/>
                      <a:ext cx="5006340" cy="2085975"/>
                    </a:xfrm>
                    <a:prstGeom prst="rect">
                      <a:avLst/>
                    </a:prstGeom>
                    <a:noFill/>
                    <a:ln>
                      <a:noFill/>
                    </a:ln>
                  </pic:spPr>
                </pic:pic>
              </a:graphicData>
            </a:graphic>
          </wp:inline>
        </w:drawing>
      </w:r>
    </w:p>
    <w:p w14:paraId="1949250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i w:val="0"/>
          <w:sz w:val="24"/>
          <w:lang w:val="en-US" w:eastAsia="zh-CN"/>
        </w:rPr>
      </w:pPr>
      <w:r>
        <w:rPr>
          <w:rFonts w:hint="eastAsia" w:ascii="宋体" w:hAnsi="宋体" w:eastAsia="宋体" w:cs="宋体"/>
          <w:i w:val="0"/>
          <w:sz w:val="24"/>
          <w:lang w:val="en-US" w:eastAsia="zh-CN"/>
        </w:rPr>
        <w:t>-图 3-2-</w:t>
      </w:r>
    </w:p>
    <w:p w14:paraId="75D0CFC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58B4DA7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eastAsia" w:ascii="宋体" w:hAnsi="宋体" w:eastAsia="宋体" w:cs="宋体"/>
          <w:b/>
          <w:bCs/>
          <w:lang w:val="en-US" w:eastAsia="zh-CN"/>
        </w:rPr>
        <w:t>1.</w:t>
      </w:r>
      <w:r>
        <w:rPr>
          <w:rFonts w:hint="default" w:ascii="宋体" w:hAnsi="宋体" w:eastAsia="宋体" w:cs="宋体"/>
          <w:b/>
          <w:bCs/>
          <w:lang w:val="en-US" w:eastAsia="zh-CN"/>
        </w:rPr>
        <w:t>分类变量编码方案的量化表现</w:t>
      </w:r>
    </w:p>
    <w:p w14:paraId="156618F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方案一：Drop Brand（朴素基线方案）</w:t>
      </w:r>
    </w:p>
    <w:p w14:paraId="53B8283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直接丢弃品牌特征，仅依赖行驶里程、车龄等物理变量。</w:t>
      </w:r>
      <m:oMath>
        <m:r>
          <m:rPr>
            <m:sty m:val="p"/>
          </m:rPr>
          <w:rPr>
            <w:rFonts w:hint="default" w:ascii="Cambria Math" w:hAnsi="Cambria Math" w:eastAsia="宋体" w:cs="宋体"/>
            <w:kern w:val="0"/>
            <w:sz w:val="24"/>
            <w:szCs w:val="22"/>
            <w:lang w:val="en-US" w:eastAsia="zh-CN" w:bidi="ar"/>
          </w:rPr>
          <m:t>5−fold CV</m:t>
        </m:r>
      </m:oMath>
      <w:r>
        <w:rPr>
          <w:rFonts w:hint="default" w:ascii="宋体" w:hAnsi="宋体" w:eastAsia="宋体" w:cs="宋体"/>
          <w:b w:val="0"/>
          <w:bCs w:val="0"/>
          <w:lang w:val="en-US" w:eastAsia="zh-CN"/>
        </w:rPr>
        <w:t xml:space="preserve"> </w:t>
      </w:r>
      <m:oMath>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=0.6005±0.0033</m:t>
        </m:r>
      </m:oMath>
      <w:r>
        <w:rPr>
          <w:rFonts w:hint="default" w:ascii="宋体" w:hAnsi="宋体" w:eastAsia="宋体" w:cs="宋体"/>
          <w:b w:val="0"/>
          <w:bCs w:val="0"/>
          <w:lang w:val="en-US" w:eastAsia="zh-CN"/>
        </w:rPr>
        <w:t>，真实交易价格的平均绝对误差</w:t>
      </w:r>
      <m:oMath>
        <m:r>
          <m:rPr/>
          <w:rPr>
            <w:rFonts w:hint="default" w:ascii="Cambria Math" w:hAnsi="Cambria Math" w:eastAsia="宋体"/>
            <w:sz w:val="24"/>
          </w:rPr>
          <m:t>MAE=18,558</m:t>
        </m:r>
      </m:oMath>
      <w:r>
        <w:rPr>
          <w:rFonts w:hint="default" w:ascii="宋体" w:hAnsi="宋体" w:eastAsia="宋体" w:cs="宋体"/>
          <w:b w:val="0"/>
          <w:bCs w:val="0"/>
          <w:lang w:val="en-US" w:eastAsia="zh-CN"/>
        </w:rPr>
        <w:t xml:space="preserve"> 元。由于抹去了保时捷、奔驰等高溢价品牌与普通代步车之间的天然身价壁垒，模型在预测上限上受到了强烈压制。</w:t>
      </w:r>
    </w:p>
    <w:p w14:paraId="611481E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方案二：One-Hot Encoding（独热编码方案）</w:t>
      </w:r>
    </w:p>
    <w:p w14:paraId="4150939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将 50 个高频品牌水平展开为 50 列稀疏布尔矩阵。</w:t>
      </w:r>
      <m:oMath>
        <m:r>
          <m:rPr>
            <m:sty m:val="p"/>
          </m:rPr>
          <w:rPr>
            <w:rFonts w:hint="default" w:ascii="Cambria Math" w:hAnsi="Cambria Math" w:eastAsia="宋体" w:cs="宋体"/>
            <w:kern w:val="0"/>
            <w:sz w:val="24"/>
            <w:szCs w:val="22"/>
            <w:lang w:val="en-US" w:eastAsia="zh-CN" w:bidi="ar"/>
          </w:rPr>
          <m:t xml:space="preserve">5−fold CV </m:t>
        </m:r>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=0.6168±0.0030，MAE=18,096</m:t>
        </m:r>
      </m:oMath>
      <w:r>
        <w:rPr>
          <w:rFonts w:hint="default" w:ascii="宋体" w:hAnsi="宋体" w:eastAsia="宋体" w:cs="宋体"/>
          <w:b w:val="0"/>
          <w:bCs w:val="0"/>
          <w:lang w:val="en-US" w:eastAsia="zh-CN"/>
        </w:rPr>
        <w:t xml:space="preserve"> 元。该方案取得了统计学意义上的最优回归性能，说明将品牌完全独立拆解能给线性模型带来最纯粹的拟合自由度。</w:t>
      </w:r>
    </w:p>
    <w:p w14:paraId="4FBCD83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方案三：Target Encoding OOF（</w:t>
      </w:r>
      <w:r>
        <w:rPr>
          <w:rFonts w:ascii="宋体" w:hAnsi="宋体" w:eastAsia="宋体" w:cs="宋体"/>
          <w:sz w:val="24"/>
          <w:szCs w:val="24"/>
        </w:rPr>
        <w:t>基于袋外交叉的目标编码</w:t>
      </w:r>
      <w:r>
        <w:rPr>
          <w:rFonts w:hint="default" w:ascii="宋体" w:hAnsi="宋体" w:eastAsia="宋体" w:cs="宋体"/>
          <w:b w:val="0"/>
          <w:bCs w:val="0"/>
          <w:lang w:val="en-US" w:eastAsia="zh-CN"/>
        </w:rPr>
        <w:t xml:space="preserve"> — 本项目采用方案）</w:t>
      </w:r>
    </w:p>
    <w:p w14:paraId="5F9314B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将品牌映射为该品牌在训练集上的对数价格均值。</w:t>
      </w:r>
      <m:oMath>
        <m:r>
          <m:rPr>
            <m:sty m:val="p"/>
          </m:rPr>
          <w:rPr>
            <w:rFonts w:hint="default" w:ascii="Cambria Math" w:hAnsi="Cambria Math" w:eastAsia="宋体" w:cs="宋体"/>
            <w:kern w:val="0"/>
            <w:sz w:val="24"/>
            <w:szCs w:val="22"/>
            <w:lang w:val="en-US" w:eastAsia="zh-CN" w:bidi="ar"/>
          </w:rPr>
          <m:t>5−fold CV</m:t>
        </m:r>
        <m:r>
          <m:rPr/>
          <w:rPr>
            <w:rFonts w:hint="default" w:ascii="Cambria Math" w:hAnsi="Cambria Math" w:eastAsia="宋体"/>
            <w:sz w:val="24"/>
            <w:lang w:val="en-US" w:eastAsia="zh-CN"/>
          </w:rPr>
          <m:t xml:space="preserve"> </m:t>
        </m:r>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=0.6080±0.0035，MAE=18,339</m:t>
        </m:r>
      </m:oMath>
      <w:r>
        <w:rPr>
          <w:rFonts w:hint="default" w:ascii="宋体" w:hAnsi="宋体" w:eastAsia="宋体" w:cs="宋体"/>
          <w:b w:val="0"/>
          <w:bCs w:val="0"/>
          <w:lang w:val="en-US" w:eastAsia="zh-CN"/>
        </w:rPr>
        <w:t>元。</w:t>
      </w:r>
    </w:p>
    <w:p w14:paraId="43B4030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eastAsia" w:ascii="宋体" w:hAnsi="宋体" w:eastAsia="宋体" w:cs="宋体"/>
          <w:b/>
          <w:bCs/>
          <w:lang w:val="en-US" w:eastAsia="zh-CN"/>
        </w:rPr>
        <w:t>2.</w:t>
      </w:r>
      <w:r>
        <w:rPr>
          <w:rFonts w:hint="default" w:ascii="宋体" w:hAnsi="宋体" w:eastAsia="宋体" w:cs="宋体"/>
          <w:b/>
          <w:bCs/>
          <w:lang w:val="en-US" w:eastAsia="zh-CN"/>
        </w:rPr>
        <w:t>技术方案判定与深度抉择</w:t>
      </w:r>
    </w:p>
    <w:p w14:paraId="56ADB4D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虽然从实验纯得分来看，One-Hot 编码在 MAE 指标上比目标编码略胜 243 元，但在面向复杂、异构且后续需融合非线性树集成算法（如 LightGBM、XGBoost）的工业级预测系统时，本项目坚定地确立 Target Encoding OOF 作为分类变量的核心骨干底座。</w:t>
      </w:r>
    </w:p>
    <w:p w14:paraId="32178A2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eastAsia" w:ascii="宋体" w:hAnsi="宋体" w:eastAsia="宋体" w:cs="宋体"/>
          <w:b/>
          <w:bCs/>
          <w:lang w:val="en-US" w:eastAsia="zh-CN"/>
        </w:rPr>
        <w:t>3.</w:t>
      </w:r>
      <w:r>
        <w:rPr>
          <w:rFonts w:hint="default" w:ascii="宋体" w:hAnsi="宋体" w:eastAsia="宋体" w:cs="宋体"/>
          <w:b/>
          <w:bCs/>
          <w:lang w:val="en-US" w:eastAsia="zh-CN"/>
        </w:rPr>
        <w:t>架构决策依据与底层利弊权衡</w:t>
      </w:r>
    </w:p>
    <w:p w14:paraId="53E82E2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拒绝维度灾难：车辆品牌（50类）若采用 One-Hot 编码将使特征矩阵横向膨胀 50 列，这还只是前置实验；由于车型 model 特征存在更恐怖的高基数（达 1,897 个），若全盘实施 One-Hot 编码将引发灾难性的内存爆炸。而 Target Encoding 无论分类基数多大，始终将特征空间锁定在极其精简的 1 列，确保了算法的高效运作。</w:t>
      </w:r>
    </w:p>
    <w:p w14:paraId="715F7F2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数值单调性：目标编码后的单一数值直接承载了“品牌平均流转残值”的硬通货信号。例如，保时捷对应的编码值会天然远高于福特，这种数值上的单调递增性为树集成算法的高效层级切分提供了近乎完美的几何先验。</w:t>
      </w:r>
    </w:p>
    <w:p w14:paraId="5538633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eastAsia" w:ascii="宋体" w:hAnsi="宋体" w:eastAsia="宋体" w:cs="宋体"/>
          <w:b/>
          <w:bCs/>
          <w:lang w:val="en-US" w:eastAsia="zh-CN"/>
        </w:rPr>
        <w:t>4.</w:t>
      </w:r>
      <w:r>
        <w:rPr>
          <w:rFonts w:hint="default" w:ascii="宋体" w:hAnsi="宋体" w:eastAsia="宋体" w:cs="宋体"/>
          <w:b/>
          <w:bCs/>
          <w:lang w:val="en-US" w:eastAsia="zh-CN"/>
        </w:rPr>
        <w:t>目标编码（Target Encoding）的两大核心防御机制</w:t>
      </w:r>
    </w:p>
    <w:p w14:paraId="0043A77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5折嵌套袋外交叉映射（Out-Of-Fold, OOF）：如果在全量数据上直接计算品牌均值填回，会引入灾难性的“标签泄露（Label Leakage）”，导致模型过拟合于已知的训练标签。本项目在每一折训练时，严格使用其余四折（Out-Of-Fold）的 Target 均值来计算当前验证折的映射值，从而在数学上彻底斩断了时间线上的数据窥探。</w:t>
      </w:r>
    </w:p>
    <w:p w14:paraId="3518533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拉普拉斯平滑（Laplace Smoothing）引入：针对样本流转量极低的冷启动小众品牌，如果其仅有的 2 次交易刚好都是天价，均值映射会产生极大的统计噪声。系统引入平滑项，使小样本品牌的编码值自适应地向全盘总均值靠拢收拢：</w:t>
      </w:r>
    </w:p>
    <w:p w14:paraId="594991E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smooth</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n⋅</m:t>
              </m:r>
              <m:sSub>
                <m:sSubPr>
                  <m:ctrlPr>
                    <w:rPr>
                      <w:rFonts w:hint="default" w:ascii="Cambria Math" w:hAnsi="Cambria Math" w:eastAsia="宋体"/>
                      <w:sz w:val="24"/>
                    </w:rPr>
                  </m:ctrlPr>
                </m:sSubPr>
                <m:e>
                  <m:r>
                    <m:rPr/>
                    <w:rPr>
                      <w:rFonts w:hint="default" w:ascii="Cambria Math" w:hAnsi="Cambria Math" w:eastAsia="宋体"/>
                      <w:sz w:val="24"/>
                    </w:rPr>
                    <m:t>μ</m:t>
                  </m:r>
                  <m:ctrlPr>
                    <w:rPr>
                      <w:rFonts w:ascii="Cambria Math" w:hAnsi="Cambria Math" w:eastAsia="宋体"/>
                      <w:sz w:val="24"/>
                    </w:rPr>
                  </m:ctrlPr>
                </m:e>
                <m:sub>
                  <m:r>
                    <m:rPr/>
                    <w:rPr>
                      <w:rFonts w:hint="default" w:ascii="Cambria Math" w:hAnsi="Cambria Math" w:eastAsia="宋体"/>
                      <w:sz w:val="24"/>
                    </w:rPr>
                    <m:t>brand</m:t>
                  </m:r>
                  <m:ctrlPr>
                    <w:rPr>
                      <w:rFonts w:ascii="Cambria Math" w:hAnsi="Cambria Math" w:eastAsia="宋体"/>
                      <w:sz w:val="24"/>
                    </w:rPr>
                  </m:ctrlPr>
                </m:sub>
              </m:sSub>
              <m:r>
                <m:rPr/>
                <w:rPr>
                  <w:rFonts w:hint="default" w:ascii="Cambria Math" w:hAnsi="Cambria Math" w:eastAsia="宋体"/>
                  <w:sz w:val="24"/>
                </w:rPr>
                <m:t>+m⋅</m:t>
              </m:r>
              <m:sSub>
                <m:sSubPr>
                  <m:ctrlPr>
                    <w:rPr>
                      <w:rFonts w:hint="default" w:ascii="Cambria Math" w:hAnsi="Cambria Math" w:eastAsia="宋体"/>
                      <w:sz w:val="24"/>
                    </w:rPr>
                  </m:ctrlPr>
                </m:sSubPr>
                <m:e>
                  <m:r>
                    <m:rPr/>
                    <w:rPr>
                      <w:rFonts w:hint="default" w:ascii="Cambria Math" w:hAnsi="Cambria Math" w:eastAsia="宋体"/>
                      <w:sz w:val="24"/>
                    </w:rPr>
                    <m:t>μ</m:t>
                  </m:r>
                  <m:ctrlPr>
                    <w:rPr>
                      <w:rFonts w:ascii="Cambria Math" w:hAnsi="Cambria Math" w:eastAsia="宋体"/>
                      <w:sz w:val="24"/>
                    </w:rPr>
                  </m:ctrlPr>
                </m:e>
                <m:sub>
                  <m:r>
                    <m:rPr/>
                    <w:rPr>
                      <w:rFonts w:hint="default" w:ascii="Cambria Math" w:hAnsi="Cambria Math" w:eastAsia="宋体"/>
                      <w:sz w:val="24"/>
                    </w:rPr>
                    <m:t>global</m:t>
                  </m:r>
                  <m:ctrlPr>
                    <w:rPr>
                      <w:rFonts w:ascii="Cambria Math" w:hAnsi="Cambria Math" w:eastAsia="宋体"/>
                      <w:sz w:val="24"/>
                    </w:rPr>
                  </m:ctrlPr>
                </m:sub>
              </m:sSub>
              <m:ctrlPr>
                <w:rPr>
                  <w:rFonts w:hint="default" w:ascii="Cambria Math" w:hAnsi="Cambria Math" w:eastAsia="宋体"/>
                  <w:sz w:val="24"/>
                </w:rPr>
              </m:ctrlPr>
            </m:num>
            <m:den>
              <m:r>
                <m:rPr/>
                <w:rPr>
                  <w:rFonts w:hint="default" w:ascii="Cambria Math" w:hAnsi="Cambria Math" w:eastAsia="宋体"/>
                  <w:sz w:val="24"/>
                </w:rPr>
                <m:t>n+m</m:t>
              </m:r>
              <m:ctrlPr>
                <w:rPr>
                  <w:rFonts w:hint="default" w:ascii="Cambria Math" w:hAnsi="Cambria Math" w:eastAsia="宋体"/>
                  <w:sz w:val="24"/>
                </w:rPr>
              </m:ctrlPr>
            </m:den>
          </m:f>
        </m:oMath>
      </m:oMathPara>
    </w:p>
    <w:p w14:paraId="7978BCA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其中 </w:t>
      </w:r>
      <m:oMath>
        <m:r>
          <m:rPr/>
          <w:rPr>
            <w:rFonts w:hint="default" w:ascii="Cambria Math" w:hAnsi="Cambria Math" w:eastAsia="宋体"/>
            <w:sz w:val="24"/>
          </w:rPr>
          <m:t>n</m:t>
        </m:r>
      </m:oMath>
      <w:r>
        <w:rPr>
          <w:rFonts w:hint="default" w:ascii="宋体" w:hAnsi="宋体" w:eastAsia="宋体" w:cs="宋体"/>
          <w:b w:val="0"/>
          <w:bCs w:val="0"/>
          <w:lang w:val="en-US" w:eastAsia="zh-CN"/>
        </w:rPr>
        <w:t xml:space="preserve"> 为该品牌样本量，</w:t>
      </w:r>
      <m:oMath>
        <m:sSub>
          <m:sSubPr>
            <m:ctrlPr>
              <w:rPr>
                <w:rFonts w:hint="default" w:ascii="Cambria Math" w:hAnsi="Cambria Math" w:eastAsia="宋体"/>
                <w:sz w:val="24"/>
              </w:rPr>
            </m:ctrlPr>
          </m:sSubPr>
          <m:e>
            <m:r>
              <m:rPr/>
              <w:rPr>
                <w:rFonts w:hint="default" w:ascii="Cambria Math" w:hAnsi="Cambria Math" w:eastAsia="宋体"/>
                <w:sz w:val="24"/>
              </w:rPr>
              <m:t>μ</m:t>
            </m:r>
            <m:ctrlPr>
              <w:rPr>
                <w:rFonts w:ascii="Cambria Math" w:hAnsi="Cambria Math" w:eastAsia="宋体"/>
                <w:sz w:val="24"/>
              </w:rPr>
            </m:ctrlPr>
          </m:e>
          <m:sub>
            <m:r>
              <m:rPr/>
              <w:rPr>
                <w:rFonts w:hint="default" w:ascii="Cambria Math" w:hAnsi="Cambria Math" w:eastAsia="宋体"/>
                <w:sz w:val="24"/>
              </w:rPr>
              <m:t>brand</m:t>
            </m:r>
            <m:ctrlPr>
              <w:rPr>
                <w:rFonts w:ascii="Cambria Math" w:hAnsi="Cambria Math" w:eastAsia="宋体"/>
                <w:sz w:val="24"/>
              </w:rPr>
            </m:ctrlPr>
          </m:sub>
        </m:sSub>
      </m:oMath>
      <w:r>
        <w:rPr>
          <w:rFonts w:hint="default" w:ascii="宋体" w:hAnsi="宋体" w:eastAsia="宋体" w:cs="宋体"/>
          <w:b w:val="0"/>
          <w:bCs w:val="0"/>
          <w:lang w:val="en-US" w:eastAsia="zh-CN"/>
        </w:rPr>
        <w:t xml:space="preserve"> 为品牌均值，</w:t>
      </w:r>
      <m:oMath>
        <m:sSub>
          <m:sSubPr>
            <m:ctrlPr>
              <w:rPr>
                <w:rFonts w:hint="default" w:ascii="Cambria Math" w:hAnsi="Cambria Math" w:eastAsia="宋体"/>
                <w:sz w:val="24"/>
              </w:rPr>
            </m:ctrlPr>
          </m:sSubPr>
          <m:e>
            <m:r>
              <m:rPr/>
              <w:rPr>
                <w:rFonts w:hint="default" w:ascii="Cambria Math" w:hAnsi="Cambria Math" w:eastAsia="宋体"/>
                <w:sz w:val="24"/>
              </w:rPr>
              <m:t>μ</m:t>
            </m:r>
            <m:ctrlPr>
              <w:rPr>
                <w:rFonts w:ascii="Cambria Math" w:hAnsi="Cambria Math" w:eastAsia="宋体"/>
                <w:sz w:val="24"/>
              </w:rPr>
            </m:ctrlPr>
          </m:e>
          <m:sub>
            <m:r>
              <m:rPr/>
              <w:rPr>
                <w:rFonts w:hint="default" w:ascii="Cambria Math" w:hAnsi="Cambria Math" w:eastAsia="宋体"/>
                <w:sz w:val="24"/>
              </w:rPr>
              <m:t>global</m:t>
            </m:r>
            <m:ctrlPr>
              <w:rPr>
                <w:rFonts w:ascii="Cambria Math" w:hAnsi="Cambria Math" w:eastAsia="宋体"/>
                <w:sz w:val="24"/>
              </w:rPr>
            </m:ctrlPr>
          </m:sub>
        </m:sSub>
      </m:oMath>
      <w:r>
        <w:rPr>
          <w:rFonts w:hint="default" w:ascii="宋体" w:hAnsi="宋体" w:eastAsia="宋体" w:cs="宋体"/>
          <w:b w:val="0"/>
          <w:bCs w:val="0"/>
          <w:lang w:val="en-US" w:eastAsia="zh-CN"/>
        </w:rPr>
        <w:t xml:space="preserve"> 为大盘总价格均值，</w:t>
      </w:r>
      <m:oMath>
        <m:r>
          <m:rPr/>
          <w:rPr>
            <w:rFonts w:hint="default" w:ascii="Cambria Math" w:hAnsi="Cambria Math" w:eastAsia="宋体"/>
            <w:sz w:val="24"/>
          </w:rPr>
          <m:t>m</m:t>
        </m:r>
      </m:oMath>
      <w:r>
        <w:rPr>
          <w:rFonts w:hint="default" w:ascii="宋体" w:hAnsi="宋体" w:eastAsia="宋体" w:cs="宋体"/>
          <w:b w:val="0"/>
          <w:bCs w:val="0"/>
          <w:lang w:val="en-US" w:eastAsia="zh-CN"/>
        </w:rPr>
        <w:t xml:space="preserve"> 为平滑权重常数。这一机制确保了即使遭遇长尾稀疏品牌，编码器也能稳健输出而不至于让下游预测体系发生局部过拟合或预测崩溃。</w:t>
      </w:r>
    </w:p>
    <w:p w14:paraId="71AE1466">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hAnsi="Cambria Math" w:eastAsia="宋体"/>
          <w:i w:val="0"/>
          <w:sz w:val="24"/>
        </w:rPr>
      </w:pPr>
    </w:p>
    <w:p w14:paraId="68DC55BC">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lang w:eastAsia="zh"/>
          <w:woUserID w:val="2"/>
        </w:rPr>
      </w:pPr>
      <w:bookmarkStart w:id="41" w:name="_Toc5025"/>
      <w:r>
        <w:rPr>
          <w:rFonts w:hint="eastAsia"/>
        </w:rPr>
        <w:t>3</w:t>
      </w:r>
      <w:r>
        <w:t>.3</w:t>
      </w:r>
      <w:bookmarkEnd w:id="39"/>
      <w:bookmarkEnd w:id="40"/>
      <w:r>
        <w:rPr>
          <w:rFonts w:hint="eastAsia"/>
          <w:lang w:eastAsia="zh"/>
          <w:woUserID w:val="2"/>
        </w:rPr>
        <w:t>特征工程</w:t>
      </w:r>
      <w:bookmarkEnd w:id="41"/>
    </w:p>
    <w:p w14:paraId="23EEFBC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本节详细阐述本系统将清洗后的 9 维 基础特征矩阵深度解构并横向扩张至 22 维 高阶特征空间。特征工程的设计完全基于二手车资产流转的实体业务逻辑，所有衍生变量均严格通过了方差膨胀因子（VIF）与互信息得分（MI）的数理筛选，去除了冗余的弱信号特征（如 milage_log 等），以防引入多重共线性风险。</w:t>
      </w:r>
    </w:p>
    <w:p w14:paraId="5E1C497C">
      <w:pPr>
        <w:pStyle w:val="4"/>
        <w:bidi w:val="0"/>
        <w:rPr>
          <w:rFonts w:hint="eastAsia"/>
          <w:lang w:val="en-US" w:eastAsia="zh-CN"/>
        </w:rPr>
      </w:pPr>
      <w:bookmarkStart w:id="42" w:name="_Toc26994"/>
      <w:r>
        <w:rPr>
          <w:rFonts w:hint="eastAsia"/>
          <w:lang w:val="en-US" w:eastAsia="zh-CN"/>
        </w:rPr>
        <w:t>3.3.1 核心衍生与非线性特征构建</w:t>
      </w:r>
      <w:bookmarkEnd w:id="42"/>
    </w:p>
    <w:p w14:paraId="70FC9C9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为了让模型更敏锐地捕捉车辆流转中的物理损耗与非线性贬值规律，系统设计了 4 个高价值连续型衍生变量：</w:t>
      </w:r>
    </w:p>
    <w:p w14:paraId="05183A4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eastAsia" w:ascii="宋体" w:hAnsi="宋体" w:eastAsia="宋体" w:cs="宋体"/>
          <w:b/>
          <w:bCs/>
          <w:lang w:val="en-US" w:eastAsia="zh-CN"/>
        </w:rPr>
        <w:t>1.</w:t>
      </w:r>
      <w:r>
        <w:rPr>
          <w:rFonts w:hint="default" w:ascii="宋体" w:hAnsi="宋体" w:eastAsia="宋体" w:cs="宋体"/>
          <w:b/>
          <w:bCs/>
          <w:lang w:val="en-US" w:eastAsia="zh-CN"/>
        </w:rPr>
        <w:t>年均行驶里程 (annual_milage)</w:t>
      </w:r>
      <w:r>
        <w:rPr>
          <w:rFonts w:hint="eastAsia" w:ascii="宋体" w:hAnsi="宋体" w:eastAsia="宋体" w:cs="宋体"/>
          <w:b/>
          <w:bCs/>
          <w:lang w:val="en-US" w:eastAsia="zh-CN"/>
        </w:rPr>
        <w:t>：</w:t>
      </w:r>
    </w:p>
    <w:p w14:paraId="21404E4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数学公式：</w:t>
      </w:r>
      <m:oMath>
        <m:r>
          <m:rPr/>
          <w:rPr>
            <w:rFonts w:hint="default" w:ascii="Cambria Math" w:hAnsi="Cambria Math" w:eastAsia="宋体"/>
            <w:sz w:val="24"/>
          </w:rPr>
          <m:t>milage/(car_age+1)</m:t>
        </m:r>
      </m:oMath>
    </w:p>
    <w:p w14:paraId="1063AF3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业务解构：该指标代表车辆的物理磨损强度。两辆同样行驶了 10 万英里的二手车，一辆车龄为 2 年（年均 5 万英里，属于高强度商务流转），另一辆车龄为 10 年（年均 1 万英里，属于温和家用），其发动机疲劳程度截然不同。该特征能有效消除单纯总里程与车龄混合带来的信息混淆。</w:t>
      </w:r>
    </w:p>
    <w:p w14:paraId="0515BE1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eastAsia" w:ascii="宋体" w:hAnsi="宋体" w:eastAsia="宋体" w:cs="宋体"/>
          <w:b/>
          <w:bCs/>
          <w:lang w:val="en-US" w:eastAsia="zh-CN"/>
        </w:rPr>
        <w:t>2.</w:t>
      </w:r>
      <w:r>
        <w:rPr>
          <w:rFonts w:hint="default" w:ascii="宋体" w:hAnsi="宋体" w:eastAsia="宋体" w:cs="宋体"/>
          <w:b/>
          <w:bCs/>
          <w:lang w:val="en-US" w:eastAsia="zh-CN"/>
        </w:rPr>
        <w:t>发动机升功率 (power_density)</w:t>
      </w:r>
      <w:r>
        <w:rPr>
          <w:rFonts w:hint="eastAsia" w:ascii="宋体" w:hAnsi="宋体" w:eastAsia="宋体" w:cs="宋体"/>
          <w:b/>
          <w:bCs/>
          <w:lang w:val="en-US" w:eastAsia="zh-CN"/>
        </w:rPr>
        <w:t>：</w:t>
      </w:r>
    </w:p>
    <w:p w14:paraId="3F7A850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数学公式：</w:t>
      </w:r>
      <m:oMath>
        <m:r>
          <m:rPr/>
          <w:rPr>
            <w:rFonts w:hint="default" w:ascii="Cambria Math" w:hAnsi="Cambria Math" w:eastAsia="宋体"/>
            <w:sz w:val="24"/>
          </w:rPr>
          <m:t>engine_hp/engine_liter</m:t>
        </m:r>
      </m:oMath>
    </w:p>
    <w:p w14:paraId="42E229C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业务解构：升功率直接反映了发动机的技术迭代水平与工艺技术档次。在相同的排量下，升功率越高，意味着车辆的发动机性能越先进、溢价属性越强。该特征为模型在排量个位数空间之外，提供了一个衡量整车性能含金量的核心技术指标。</w:t>
      </w:r>
    </w:p>
    <w:p w14:paraId="0855F16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eastAsia" w:ascii="宋体" w:hAnsi="宋体" w:eastAsia="宋体" w:cs="宋体"/>
          <w:b/>
          <w:bCs/>
          <w:lang w:val="en-US" w:eastAsia="zh-CN"/>
        </w:rPr>
        <w:t>3.</w:t>
      </w:r>
      <w:r>
        <w:rPr>
          <w:rFonts w:hint="default" w:ascii="宋体" w:hAnsi="宋体" w:eastAsia="宋体" w:cs="宋体"/>
          <w:b/>
          <w:bCs/>
          <w:lang w:val="en-US" w:eastAsia="zh-CN"/>
        </w:rPr>
        <w:t>车龄平方项 (car_age_squared)</w:t>
      </w:r>
      <w:r>
        <w:rPr>
          <w:rFonts w:hint="eastAsia" w:ascii="宋体" w:hAnsi="宋体" w:eastAsia="宋体" w:cs="宋体"/>
          <w:b/>
          <w:bCs/>
          <w:lang w:val="en-US" w:eastAsia="zh-CN"/>
        </w:rPr>
        <w:t>：</w:t>
      </w:r>
    </w:p>
    <w:p w14:paraId="0E322BA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数学公式：</w:t>
      </w:r>
      <m:oMath>
        <m:sSup>
          <m:sSupPr>
            <m:ctrlPr>
              <w:rPr>
                <w:rFonts w:hint="default" w:ascii="Cambria Math" w:hAnsi="Cambria Math" w:eastAsia="宋体"/>
                <w:sz w:val="24"/>
              </w:rPr>
            </m:ctrlPr>
          </m:sSupPr>
          <m:e>
            <m:r>
              <m:rPr/>
              <w:rPr>
                <w:rFonts w:hint="default" w:ascii="Cambria Math" w:hAnsi="Cambria Math" w:eastAsia="宋体"/>
                <w:sz w:val="24"/>
              </w:rPr>
              <m:t>car_age</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p>
    <w:p w14:paraId="4315D5F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业务解构：二手车流转在现实中存在极强的非线性加速折旧效应（通常呈现非线性的“前 3 年加速贬值，后续逐渐平稳”的幂律曲线）。线性回归或简单线性特征无法捕捉这种弯曲的折旧轨迹，引入车龄的二次方项能够赋予下游模型捕获这种非线性资产贬值效应的能力。</w:t>
      </w:r>
    </w:p>
    <w:p w14:paraId="0360ED0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eastAsia" w:ascii="宋体" w:hAnsi="宋体" w:eastAsia="宋体" w:cs="宋体"/>
          <w:b/>
          <w:bCs/>
          <w:lang w:val="en-US" w:eastAsia="zh-CN"/>
        </w:rPr>
        <w:t>4.</w:t>
      </w:r>
      <w:r>
        <w:rPr>
          <w:rFonts w:hint="default" w:ascii="宋体" w:hAnsi="宋体" w:eastAsia="宋体" w:cs="宋体"/>
          <w:b/>
          <w:bCs/>
          <w:lang w:val="en-US" w:eastAsia="zh-CN"/>
        </w:rPr>
        <w:t>年均马力保有量 (hp_per_year)</w:t>
      </w:r>
      <w:r>
        <w:rPr>
          <w:rFonts w:hint="eastAsia" w:ascii="宋体" w:hAnsi="宋体" w:eastAsia="宋体" w:cs="宋体"/>
          <w:b/>
          <w:bCs/>
          <w:lang w:val="en-US" w:eastAsia="zh-CN"/>
        </w:rPr>
        <w:t>：</w:t>
      </w:r>
    </w:p>
    <w:p w14:paraId="1906603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数学公式：</w:t>
      </w:r>
      <m:oMath>
        <m:r>
          <m:rPr/>
          <w:rPr>
            <w:rFonts w:hint="default" w:ascii="Cambria Math" w:hAnsi="Cambria Math" w:eastAsia="宋体"/>
            <w:sz w:val="24"/>
          </w:rPr>
          <m:t>engine_hp/(car_age+1)</m:t>
        </m:r>
      </m:oMath>
    </w:p>
    <w:p w14:paraId="7D53FAF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业务解构：该指标用于衡量发动机核心动能的老化衰减速度。在机器学习模型的特征重要性（Feature Importance）审计中，该特征被确立为预测的核心驱动力之一，成功帮助模型量化了老旧性能车与准新性能车之间的资产折旧差。</w:t>
      </w:r>
    </w:p>
    <w:p w14:paraId="16BF6A4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029D2586">
      <w:pPr>
        <w:pStyle w:val="4"/>
        <w:bidi w:val="0"/>
        <w:rPr>
          <w:rFonts w:hint="default"/>
          <w:lang w:val="en-US" w:eastAsia="zh-CN"/>
        </w:rPr>
      </w:pPr>
      <w:bookmarkStart w:id="43" w:name="_Toc27821"/>
      <w:r>
        <w:rPr>
          <w:rFonts w:hint="default"/>
          <w:lang w:val="en-US" w:eastAsia="zh-CN"/>
        </w:rPr>
        <w:t>3.3.2 高基数与低基数特征的分流编码策略</w:t>
      </w:r>
      <w:bookmarkEnd w:id="43"/>
    </w:p>
    <w:p w14:paraId="3BFFFF0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针对数据集中不同性质的离散文本变量，系统打破了“一刀切”的传统做法，采用因地制宜的分类特征分流编码策略，在确保拟合精度的同时刚性防御维度爆炸。</w:t>
      </w:r>
    </w:p>
    <w:p w14:paraId="7364A95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eastAsia" w:ascii="宋体" w:hAnsi="宋体" w:eastAsia="宋体" w:cs="宋体"/>
          <w:b/>
          <w:bCs/>
          <w:lang w:val="en-US" w:eastAsia="zh-CN"/>
        </w:rPr>
        <w:t>1.</w:t>
      </w:r>
      <w:r>
        <w:rPr>
          <w:rFonts w:hint="default" w:ascii="宋体" w:hAnsi="宋体" w:eastAsia="宋体" w:cs="宋体"/>
          <w:b/>
          <w:bCs/>
          <w:lang w:val="en-US" w:eastAsia="zh-CN"/>
        </w:rPr>
        <w:t>高基数特征的目标变量袋外编码</w:t>
      </w:r>
    </w:p>
    <w:p w14:paraId="1D66783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针对高基数离散变量车辆品牌 brand（~50类）与车辆型号 model（1,897类），若直接使用独热编码将引发严重的维度灾难与内存爆炸（增加近 2000 列稀疏特征）。系统采用严密的 5折嵌套袋外交叉映射 (Out-Of-Fold, OOF) 机制，将它们强行压缩至极简的 1 列 连续数值特征中</w:t>
      </w:r>
      <w:r>
        <w:rPr>
          <w:rFonts w:hint="eastAsia" w:ascii="宋体" w:hAnsi="宋体" w:eastAsia="宋体" w:cs="宋体"/>
          <w:b w:val="0"/>
          <w:bCs w:val="0"/>
          <w:lang w:val="en-US" w:eastAsia="zh-CN"/>
        </w:rPr>
        <w:t>。</w:t>
      </w:r>
    </w:p>
    <w:p w14:paraId="33B56F6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车型双重平滑机制 (model_encoded)：由于车型 model 的基数极大且个体样本更为稀疏，系统在对 model 进行袋外均值编码时，将拉普拉斯平滑项系数自适应调大至 smoothing_weight * 2。这强化了大盘全局均值的拉拢惩罚力度，从工程架构上根治了冷启动车型由于交易孤样产生的长尾高方差噪声。</w:t>
      </w:r>
    </w:p>
    <w:p w14:paraId="4C3A15F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跨界交互特征：品牌里程敏感度 (brand_x_milage)：在完成品牌目标编码 brand_encoded 后，系统横向构建了其与连续型特征的交互乘积项：</w:t>
      </w:r>
    </w:p>
    <w:p w14:paraId="1656A21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m:oMathPara>
        <m:oMath>
          <m:r>
            <m:rPr/>
            <w:rPr>
              <w:rFonts w:hint="default" w:ascii="Cambria Math" w:hAnsi="Cambria Math" w:eastAsia="宋体"/>
              <w:sz w:val="24"/>
            </w:rPr>
            <m:t>brand_x_milage=brand_encoded×milage</m:t>
          </m:r>
        </m:oMath>
      </m:oMathPara>
    </w:p>
    <w:p w14:paraId="1323216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471C583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该特征具有极高的高阶业务洞察：不同品牌的二手车对里程数的价格敏感度是完全不同的。例如，豪华品牌（保时捷、奔驰）里程一旦变高，其市场溢价会呈现断崖式下跌；而经济型保值品牌（丰田、雷克萨斯）即使里程数较高，其残值曲线依然坚挺。该交互特征完美赋予了模型识别这种复合市场博弈信号的能力。</w:t>
      </w:r>
    </w:p>
    <w:p w14:paraId="61F21B7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eastAsia" w:ascii="宋体" w:hAnsi="宋体" w:eastAsia="宋体" w:cs="宋体"/>
          <w:b/>
          <w:bCs/>
          <w:lang w:val="en-US" w:eastAsia="zh-CN"/>
        </w:rPr>
        <w:t>2.</w:t>
      </w:r>
      <w:r>
        <w:rPr>
          <w:rFonts w:hint="default" w:ascii="宋体" w:hAnsi="宋体" w:eastAsia="宋体" w:cs="宋体"/>
          <w:b/>
          <w:bCs/>
          <w:lang w:val="en-US" w:eastAsia="zh-CN"/>
        </w:rPr>
        <w:t>低基数特征的独热编码</w:t>
      </w:r>
    </w:p>
    <w:p w14:paraId="740BEEF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与品牌和车型不同，燃料类型 fuel_type 与事故车况accident_status的分类可能选项极少，属于典型的低基数离散变量。</w:t>
      </w:r>
    </w:p>
    <w:p w14:paraId="4CF468E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精准布尔开关：系统对其采用朴素独热展开，并强制设置drop_first=True以剥离基准列。</w:t>
      </w:r>
    </w:p>
    <w:p w14:paraId="7F74014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决策依据：由于选项极少，将其横向展开完全不会引起维度膨胀。同时，独热编码能给线性模型（如 Ridge）提供最直接、最干净的布尔开关，让模型能非常精准地学习到“纯电动”或“有事故”对价格的直接加减分影响，从而拿满精细分。</w:t>
      </w:r>
    </w:p>
    <w:p w14:paraId="1DDFB6C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p>
    <w:p w14:paraId="2AA04DE3">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lang w:eastAsia="zh"/>
        </w:rPr>
      </w:pPr>
      <w:bookmarkStart w:id="44" w:name="_Toc25378"/>
      <w:r>
        <w:rPr>
          <w:rFonts w:hint="eastAsia"/>
          <w:woUserID w:val="2"/>
        </w:rPr>
        <w:t>3</w:t>
      </w:r>
      <w:r>
        <w:rPr>
          <w:woUserID w:val="2"/>
        </w:rPr>
        <w:t>.</w:t>
      </w:r>
      <w:r>
        <w:rPr>
          <w:rFonts w:hint="eastAsia"/>
          <w:lang w:eastAsia="zh"/>
          <w:woUserID w:val="2"/>
        </w:rPr>
        <w:t>4数据标准化</w:t>
      </w:r>
      <w:bookmarkEnd w:id="44"/>
    </w:p>
    <w:p w14:paraId="3231C6F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bCs/>
          <w:lang w:val="en-US" w:eastAsia="zh-CN"/>
        </w:rPr>
      </w:pPr>
      <w:r>
        <w:rPr>
          <w:rFonts w:hint="eastAsia" w:ascii="宋体" w:hAnsi="宋体" w:eastAsia="宋体" w:cs="宋体"/>
          <w:b/>
          <w:bCs/>
          <w:lang w:val="en-US" w:eastAsia="zh-CN"/>
        </w:rPr>
        <w:t>1.连续变量无量纲化 (Z-score StandardScaler)</w:t>
      </w:r>
    </w:p>
    <w:p w14:paraId="73CF7DE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在特征工程构建完毕后，全量连续自变量（含原始特征与新生成的 4 大衍生特征）在原始形态下带有各自不同的物理单位。由于行驶里程与发动机排量之间存在恐怖的原始量纲数量级差异，如果直接喂给下游算法，会导致大数值特征对小数值特征产生强烈的梯度压制，同时使损失函数的解空间等高线扭曲为狭长的椭圆窄谷，导致优化求解器剧烈震荡、难以收敛。</w:t>
      </w:r>
    </w:p>
    <w:p w14:paraId="4196DA5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为此，本研究在数据流走向模型前，强制引入 Z-score 标准化。通过将数据平移并缩放至以 0 为均值、1 为标准差的标准高斯正态先验沙盒中，剥离物理量纲偏见，打通几何收敛通道，保障全量特征在数值空间上的绝对平等。</w:t>
      </w:r>
    </w:p>
    <w:p w14:paraId="0AE646E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bCs/>
          <w:lang w:val="en-US" w:eastAsia="zh-CN"/>
        </w:rPr>
      </w:pPr>
      <w:r>
        <w:rPr>
          <w:rFonts w:hint="eastAsia" w:ascii="宋体" w:hAnsi="宋体" w:eastAsia="宋体" w:cs="宋体"/>
          <w:b/>
          <w:bCs/>
          <w:lang w:val="en-US" w:eastAsia="zh-CN"/>
        </w:rPr>
        <w:t>2.矩阵无损裁剪与类型安全防御</w:t>
      </w:r>
    </w:p>
    <w:p w14:paraId="71007C0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作为数据预处理流水线的最后一道刚性屏障，系统对最终的 22 维特征矩阵实施了数据净化与类型对齐：</w:t>
      </w:r>
    </w:p>
    <w:p w14:paraId="4F3F20D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无损裁剪：果断清除已被编码列完美替代的 brand 和 model 原始文本列。从根本上斩断完全多重共线性（Multicollinearity）陷阱，防范因信息高度重复导致线性回归模型系数发生无序飙升或符号颠倒。</w:t>
      </w:r>
    </w:p>
    <w:p w14:paraId="75EFC5B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类型安全对齐：将在独热编码阶段自发产生的布尔型（Boolean）开关特征，强制硬性转换为标准的数学整型（int，即 1 和 0）。由于下游集成树系统（XGBoost/LightGBM）及线性正则模型的底层矩阵求解器对高维异构格式极度敏感，此项类型对齐操作消除了潜在的格式冲突隐患，确立了全量矩阵在数据流走向后续算法时的绝对工业级类型安全。</w:t>
      </w:r>
    </w:p>
    <w:p w14:paraId="247878D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CN"/>
        </w:rPr>
      </w:pPr>
    </w:p>
    <w:p w14:paraId="2E48E718">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default"/>
          <w:lang w:val="en-US" w:eastAsia="zh-CN"/>
          <w:woUserID w:val="2"/>
        </w:rPr>
      </w:pPr>
      <w:bookmarkStart w:id="45" w:name="_Toc5312"/>
      <w:r>
        <w:rPr>
          <w:rFonts w:hint="eastAsia"/>
          <w:lang w:val="en-US" w:eastAsia="zh-CN"/>
          <w:woUserID w:val="2"/>
        </w:rPr>
        <w:t>3.5特征选择与降维</w:t>
      </w:r>
      <w:bookmarkEnd w:id="45"/>
    </w:p>
    <w:p w14:paraId="6920B85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bCs/>
          <w:lang w:val="en-US" w:eastAsia="zh-CN"/>
        </w:rPr>
      </w:pPr>
      <w:r>
        <w:rPr>
          <w:rFonts w:hint="eastAsia" w:ascii="宋体" w:hAnsi="宋体" w:eastAsia="宋体" w:cs="宋体"/>
          <w:b/>
          <w:bCs/>
          <w:lang w:val="en-US" w:eastAsia="zh-CN"/>
        </w:rPr>
        <w:t>1.</w:t>
      </w:r>
      <w:r>
        <w:rPr>
          <w:rFonts w:hint="default" w:ascii="宋体" w:hAnsi="宋体" w:eastAsia="宋体" w:cs="宋体"/>
          <w:b/>
          <w:bCs/>
          <w:lang w:val="en-US" w:eastAsia="zh-CN"/>
        </w:rPr>
        <w:t>基于 VIF 的多重共线性逐轮剪枝</w:t>
      </w:r>
    </w:p>
    <w:p w14:paraId="3ABAECD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多重共线性会导致线性正则模型（如 Ridge）的协方差矩阵变得非满秩，从而引发常数项方差发生几何级膨胀，造成权重分配失真。本研究采用逐一剔除最大值的贪心迭代策略，将判定阈值硬性锁死在经典统计学边界 </w:t>
      </w:r>
      <m:oMath>
        <m:r>
          <m:rPr/>
          <w:rPr>
            <w:rFonts w:hint="default" w:ascii="Cambria Math" w:hAnsi="Cambria Math" w:eastAsia="宋体"/>
            <w:sz w:val="24"/>
          </w:rPr>
          <m:t>VIF&gt;10.0</m:t>
        </m:r>
      </m:oMath>
      <w:r>
        <w:rPr>
          <w:rFonts w:hint="default" w:ascii="宋体" w:hAnsi="宋体" w:eastAsia="宋体" w:cs="宋体"/>
          <w:b w:val="0"/>
          <w:bCs w:val="0"/>
          <w:lang w:val="en-US" w:eastAsia="zh-CN"/>
        </w:rPr>
        <w:t>。</w:t>
      </w:r>
    </w:p>
    <w:p w14:paraId="01DAFD2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共线性裁剪历经 4 轮剧烈演进：</w:t>
      </w:r>
    </w:p>
    <w:p w14:paraId="147BFDB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迭代 1：跨界交互项 brand_x_milage 的方差膨胀因子录得恐怖的 </w:t>
      </w:r>
      <m:oMath>
        <m:r>
          <m:rPr/>
          <w:rPr>
            <w:rFonts w:hint="default" w:ascii="Cambria Math" w:hAnsi="Cambria Math" w:eastAsia="宋体"/>
            <w:sz w:val="24"/>
          </w:rPr>
          <m:t>1259.10</m:t>
        </m:r>
      </m:oMath>
      <w:r>
        <w:rPr>
          <w:rFonts w:hint="default" w:ascii="宋体" w:hAnsi="宋体" w:eastAsia="宋体" w:cs="宋体"/>
          <w:b w:val="0"/>
          <w:bCs w:val="0"/>
          <w:lang w:val="en-US" w:eastAsia="zh-CN"/>
        </w:rPr>
        <w:t>。</w:t>
      </w:r>
      <w:r>
        <w:rPr>
          <w:rFonts w:ascii="宋体" w:hAnsi="宋体" w:eastAsia="宋体" w:cs="宋体"/>
          <w:sz w:val="24"/>
          <w:szCs w:val="24"/>
        </w:rPr>
        <w:t>由于其是由品牌编码与总里程相乘衍生而来，与基础特征存在极强的强线性伴生依赖。为了不破坏底层协方差矩阵的稳定性，系统首轮将其刚性熔断剔除。</w:t>
      </w:r>
    </w:p>
    <w:p w14:paraId="4A2BDC2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迭代 2：在失去了交互项的掩护后，车龄 car_age 的 VIF 依然高达 </w:t>
      </w:r>
      <m:oMath>
        <m:r>
          <m:rPr/>
          <w:rPr>
            <w:rFonts w:hint="default" w:ascii="Cambria Math" w:hAnsi="Cambria Math" w:eastAsia="宋体"/>
            <w:sz w:val="24"/>
          </w:rPr>
          <m:t>70.21</m:t>
        </m:r>
      </m:oMath>
      <w:r>
        <w:rPr>
          <w:rFonts w:hint="default" w:ascii="宋体" w:hAnsi="宋体" w:eastAsia="宋体" w:cs="宋体"/>
          <w:b w:val="0"/>
          <w:bCs w:val="0"/>
          <w:lang w:val="en-US" w:eastAsia="zh-CN"/>
        </w:rPr>
        <w:t>（由于其与新生成的非线性算子 car_age_squared 信息高度重叠）。为保障矩阵逆运算的稳定性，系统对其进行了无损剔除。</w:t>
      </w:r>
    </w:p>
    <w:p w14:paraId="1212410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迭代 3：发动机排量 engine_liter 录得 VIF 为 10.19，压线超标。这主要是因为排量与马力（engine_hp）及升功率（power_density）存在物理层面的高度共线性，故流水线对其执行了最后一轮剪枝。</w:t>
      </w:r>
    </w:p>
    <w:p w14:paraId="605A7E6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迭代 4：经过前三轮的清洗，原始总里程 milage 的 VIF 完美回落至 7.89，其余特征全部收拢在 10.0 的安全屏障内，第一阶段多重共线性防御顺利宣告达成。</w:t>
      </w:r>
    </w:p>
    <w:p w14:paraId="6F38D08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09252A2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eastAsia" w:ascii="宋体" w:hAnsi="宋体" w:eastAsia="宋体" w:cs="宋体"/>
          <w:b/>
          <w:bCs/>
          <w:lang w:val="en-US" w:eastAsia="zh-CN"/>
        </w:rPr>
        <w:t>2.</w:t>
      </w:r>
      <w:r>
        <w:rPr>
          <w:rFonts w:hint="default" w:ascii="宋体" w:hAnsi="宋体" w:eastAsia="宋体" w:cs="宋体"/>
          <w:b/>
          <w:bCs/>
          <w:lang w:val="en-US" w:eastAsia="zh-CN"/>
        </w:rPr>
        <w:t>基于互信息（MI）的自适应弱特征清洗</w:t>
      </w:r>
    </w:p>
    <w:p w14:paraId="0E22603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非线性模型（如树集成系统）虽不惧共线性，但极易受到长尾稀疏噪声的干扰。第二阶段对残存的 19 列候选特征引入了非参数互信息（Mutual Information）审计，定量评估自变量与对数价格（log_price）之间的非线性统计依赖强度。为了防止人工主观设定阈值的偏误，系统引入了自适应阈值计算公式：</w:t>
      </w:r>
    </w:p>
    <w:p w14:paraId="12FE220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m:oMathPara>
        <m:oMath>
          <m:r>
            <m:rPr/>
            <w:rPr>
              <w:rFonts w:hint="default" w:ascii="Cambria Math" w:hAnsi="Cambria Math" w:eastAsia="宋体"/>
              <w:sz w:val="24"/>
            </w:rPr>
            <m:t>Threshold=Mean(MI)×0.05</m:t>
          </m:r>
        </m:oMath>
      </m:oMathPara>
    </w:p>
    <w:p w14:paraId="59FAA50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 xml:space="preserve">计算得出全盘 MI 均值为 </w:t>
      </w:r>
      <m:oMath>
        <m:r>
          <m:rPr/>
          <w:rPr>
            <w:rFonts w:hint="default" w:ascii="Cambria Math" w:hAnsi="Cambria Math" w:eastAsia="宋体"/>
            <w:sz w:val="24"/>
          </w:rPr>
          <m:t>0.217704</m:t>
        </m:r>
      </m:oMath>
      <w:r>
        <w:rPr>
          <w:rFonts w:hint="default" w:ascii="宋体" w:hAnsi="宋体" w:eastAsia="宋体" w:cs="宋体"/>
          <w:b w:val="0"/>
          <w:bCs w:val="0"/>
          <w:lang w:val="en-US" w:eastAsia="zh-CN"/>
        </w:rPr>
        <w:t xml:space="preserve">，自适应剔除阈值精准锁定在 </w:t>
      </w:r>
      <m:oMath>
        <m:r>
          <m:rPr>
            <m:sty m:val="p"/>
          </m:rPr>
          <w:rPr>
            <w:rFonts w:hint="default" w:ascii="Cambria Math" w:hAnsi="Cambria Math" w:eastAsia="宋体" w:cs="宋体"/>
            <w:kern w:val="0"/>
            <w:sz w:val="24"/>
            <w:szCs w:val="22"/>
            <w:lang w:val="en-US" w:eastAsia="zh-CN" w:bidi="ar"/>
          </w:rPr>
          <m:t>0.010885</m:t>
        </m:r>
      </m:oMath>
      <w:r>
        <w:rPr>
          <w:rFonts w:hint="default" w:ascii="宋体" w:hAnsi="宋体" w:eastAsia="宋体" w:cs="宋体"/>
          <w:b w:val="0"/>
          <w:bCs w:val="0"/>
          <w:lang w:val="en-US" w:eastAsia="zh-CN"/>
        </w:rPr>
        <w:t>。根据特征互信息重要性排序（见图 3-</w:t>
      </w:r>
      <w:r>
        <w:rPr>
          <w:rFonts w:hint="eastAsia" w:ascii="宋体" w:hAnsi="宋体" w:eastAsia="宋体" w:cs="宋体"/>
          <w:b w:val="0"/>
          <w:bCs w:val="0"/>
          <w:lang w:val="en-US" w:eastAsia="zh-CN"/>
        </w:rPr>
        <w:t>5</w:t>
      </w:r>
      <w:r>
        <w:rPr>
          <w:rFonts w:hint="default" w:ascii="宋体" w:hAnsi="宋体" w:eastAsia="宋体" w:cs="宋体"/>
          <w:b w:val="0"/>
          <w:bCs w:val="0"/>
          <w:lang w:val="en-US" w:eastAsia="zh-CN"/>
        </w:rPr>
        <w:t>）：</w:t>
      </w:r>
    </w:p>
    <w:p w14:paraId="5F637F4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高价值特征表现：本研究衍生出的马力年均转换率 (hp_per_year) 录得全盘最高相关确定性（</w:t>
      </w:r>
      <m:oMath>
        <m:r>
          <m:rPr/>
          <w:rPr>
            <w:rFonts w:hint="default" w:ascii="Cambria Math" w:hAnsi="Cambria Math" w:eastAsia="宋体"/>
            <w:sz w:val="24"/>
          </w:rPr>
          <m:t>MI=0.7251</m:t>
        </m:r>
      </m:oMath>
      <w:r>
        <w:rPr>
          <w:rFonts w:hint="default" w:ascii="宋体" w:hAnsi="宋体" w:eastAsia="宋体" w:cs="宋体"/>
          <w:b w:val="0"/>
          <w:bCs w:val="0"/>
          <w:lang w:val="en-US" w:eastAsia="zh-CN"/>
        </w:rPr>
        <w:t>），甚至超越了原始里程 milage 。升功率 power_density 与年均行驶里程 annual_milage 均稳挺进安全区，凸显了特征工程的数理先进性。</w:t>
      </w:r>
    </w:p>
    <w:p w14:paraId="05DC9B3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sans-serif" w:hAnsi="sans-serif" w:eastAsia="sans-serif" w:cs="sans-serif"/>
        </w:rPr>
      </w:pPr>
      <w:r>
        <w:rPr>
          <w:rFonts w:hint="default" w:ascii="宋体" w:hAnsi="宋体" w:eastAsia="宋体" w:cs="宋体"/>
          <w:b w:val="0"/>
          <w:bCs w:val="0"/>
          <w:lang w:val="en-US" w:eastAsia="zh-CN"/>
        </w:rPr>
        <w:t>长尾噪声清除：在独热编码阶段自发产生的各类低频离散开关特征，如 fuel_type_Hybrid (</w:t>
      </w:r>
      <m:oMath>
        <m:r>
          <m:rPr/>
          <w:rPr>
            <w:rFonts w:hint="default" w:ascii="Cambria Math" w:hAnsi="Cambria Math" w:eastAsia="宋体"/>
            <w:sz w:val="24"/>
          </w:rPr>
          <m:t>MI=0.0100</m:t>
        </m:r>
      </m:oMath>
      <w:r>
        <w:rPr>
          <w:rFonts w:hint="default" w:ascii="宋体" w:hAnsi="宋体" w:eastAsia="宋体" w:cs="宋体"/>
          <w:b w:val="0"/>
          <w:bCs w:val="0"/>
          <w:lang w:val="en-US" w:eastAsia="zh-CN"/>
        </w:rPr>
        <w:t>)、fuel_type_Gasoline (</w:t>
      </w:r>
      <m:oMath>
        <m:r>
          <m:rPr/>
          <w:rPr>
            <w:rFonts w:hint="default" w:ascii="Cambria Math" w:hAnsi="Cambria Math" w:eastAsia="宋体"/>
            <w:sz w:val="24"/>
          </w:rPr>
          <m:t>MI=0.0077</m:t>
        </m:r>
      </m:oMath>
      <w:r>
        <w:rPr>
          <w:rFonts w:hint="default" w:ascii="宋体" w:hAnsi="宋体" w:eastAsia="宋体" w:cs="宋体"/>
          <w:b w:val="0"/>
          <w:bCs w:val="0"/>
          <w:lang w:val="en-US" w:eastAsia="zh-CN"/>
        </w:rPr>
        <w:t>) 以及大量带有缺失印记的垃圾特征（如 accident_status_Unknown、fuel_type_等），由于其 MI 值集体跌破0.010885的刚性红线，被系统判定为无预测贡献特征，并执行批量熔断清洗。</w:t>
      </w:r>
    </w:p>
    <w:p w14:paraId="6AECF35A">
      <w:pPr>
        <w:pageBreakBefore w:val="0"/>
        <w:kinsoku/>
        <w:wordWrap/>
        <w:overflowPunct/>
        <w:topLinePunct w:val="0"/>
        <w:autoSpaceDE/>
        <w:autoSpaceDN/>
        <w:bidi w:val="0"/>
        <w:adjustRightInd/>
        <w:spacing w:line="360" w:lineRule="auto"/>
        <w:textAlignment w:val="auto"/>
      </w:pPr>
      <w:r>
        <w:drawing>
          <wp:inline distT="0" distB="0" distL="114300" distR="114300">
            <wp:extent cx="5029200" cy="3342640"/>
            <wp:effectExtent l="0" t="0" r="0" b="10160"/>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21"/>
                    <a:stretch>
                      <a:fillRect/>
                    </a:stretch>
                  </pic:blipFill>
                  <pic:spPr>
                    <a:xfrm>
                      <a:off x="0" y="0"/>
                      <a:ext cx="5029200" cy="3342640"/>
                    </a:xfrm>
                    <a:prstGeom prst="rect">
                      <a:avLst/>
                    </a:prstGeom>
                    <a:noFill/>
                    <a:ln>
                      <a:noFill/>
                    </a:ln>
                  </pic:spPr>
                </pic:pic>
              </a:graphicData>
            </a:graphic>
          </wp:inline>
        </w:drawing>
      </w:r>
    </w:p>
    <w:p w14:paraId="5653083A">
      <w:pPr>
        <w:pageBreakBefore w:val="0"/>
        <w:kinsoku/>
        <w:wordWrap/>
        <w:overflowPunct/>
        <w:topLinePunct w:val="0"/>
        <w:autoSpaceDE/>
        <w:autoSpaceDN/>
        <w:bidi w:val="0"/>
        <w:adjustRightInd/>
        <w:spacing w:line="360" w:lineRule="auto"/>
        <w:jc w:val="center"/>
        <w:textAlignment w:val="auto"/>
        <w:rPr>
          <w:rFonts w:hint="default" w:eastAsiaTheme="minorEastAsia"/>
          <w:lang w:val="en-US" w:eastAsia="zh-CN"/>
        </w:rPr>
      </w:pPr>
      <w:r>
        <w:rPr>
          <w:rFonts w:hint="eastAsia"/>
          <w:lang w:val="en-US" w:eastAsia="zh-CN"/>
        </w:rPr>
        <w:t>-图3-5-</w:t>
      </w:r>
    </w:p>
    <w:p w14:paraId="28D82B51">
      <w:pPr>
        <w:pStyle w:val="2"/>
        <w:pageBreakBefore w:val="0"/>
        <w:kinsoku/>
        <w:wordWrap/>
        <w:overflowPunct/>
        <w:topLinePunct w:val="0"/>
        <w:autoSpaceDE/>
        <w:autoSpaceDN/>
        <w:bidi w:val="0"/>
        <w:adjustRightInd/>
        <w:spacing w:before="163" w:after="163" w:line="360" w:lineRule="auto"/>
        <w:jc w:val="left"/>
        <w:textAlignment w:val="auto"/>
        <w:rPr>
          <w:rFonts w:hint="eastAsia"/>
          <w:lang w:eastAsia="zh"/>
          <w:woUserID w:val="2"/>
        </w:rPr>
      </w:pPr>
      <w:bookmarkStart w:id="46" w:name="_Toc515571914"/>
      <w:bookmarkStart w:id="47" w:name="_Toc515570730"/>
      <w:bookmarkStart w:id="48" w:name="_Toc16547"/>
      <w:r>
        <w:rPr>
          <w:rFonts w:hint="eastAsia"/>
        </w:rPr>
        <w:t>4</w:t>
      </w:r>
      <w:bookmarkEnd w:id="46"/>
      <w:bookmarkEnd w:id="47"/>
      <w:r>
        <w:rPr>
          <w:rFonts w:hint="eastAsia"/>
          <w:lang w:eastAsia="zh"/>
          <w:woUserID w:val="2"/>
        </w:rPr>
        <w:t>模型构建与评估</w:t>
      </w:r>
      <w:bookmarkEnd w:id="48"/>
    </w:p>
    <w:p w14:paraId="4A6ACDBF">
      <w:pPr>
        <w:pageBreakBefore w:val="0"/>
        <w:kinsoku/>
        <w:wordWrap/>
        <w:overflowPunct/>
        <w:topLinePunct w:val="0"/>
        <w:autoSpaceDE/>
        <w:autoSpaceDN/>
        <w:bidi w:val="0"/>
        <w:adjustRightInd/>
        <w:spacing w:line="360" w:lineRule="auto"/>
        <w:textAlignment w:val="auto"/>
        <w:rPr>
          <w:rFonts w:hint="eastAsia"/>
          <w:lang w:eastAsia="zh"/>
        </w:rPr>
      </w:pPr>
    </w:p>
    <w:p w14:paraId="64E468E3">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lang w:eastAsia="zh"/>
          <w:woUserID w:val="2"/>
        </w:rPr>
      </w:pPr>
      <w:bookmarkStart w:id="49" w:name="_Toc513028243"/>
      <w:bookmarkEnd w:id="49"/>
      <w:bookmarkStart w:id="50" w:name="_Toc515571915"/>
      <w:bookmarkStart w:id="51" w:name="_Toc515570731"/>
      <w:bookmarkStart w:id="52" w:name="_Toc15288"/>
      <w:r>
        <w:t>4.1</w:t>
      </w:r>
      <w:bookmarkEnd w:id="50"/>
      <w:bookmarkEnd w:id="51"/>
      <w:r>
        <w:rPr>
          <w:rFonts w:hint="eastAsia"/>
          <w:lang w:eastAsia="zh"/>
          <w:woUserID w:val="2"/>
        </w:rPr>
        <w:t>模型选择与参数设置</w:t>
      </w:r>
      <w:bookmarkEnd w:id="52"/>
    </w:p>
    <w:p w14:paraId="5B0C38C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在二手车价格预测任务中，由于资产残值不仅受到行驶里程、车龄等物理损耗的线性压制，还受到品牌溢价、发动机技术迭代、市场稀缺度等多元异构特征的复杂非线性交互影响，单一机器学习范式难以在拟合能力、泛化界限与工业鲁棒性之间取得完美平衡。</w:t>
      </w:r>
    </w:p>
    <w:p w14:paraId="2EC279F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为了打破单一算法的拟合瓶颈，本研究基于工厂模式构建了多范式算法矩阵，横向覆盖了线性回归、Bagging 集成、梯度提升（Boosting）、基于距离的实例学习以及元集成学习（Stacking）等 5 种数理范式，共计 6 种典型的机器学习算法。</w:t>
      </w:r>
    </w:p>
    <w:p w14:paraId="06E9911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为了确保全盘算法在完全公平的进行端到端量化对比，本系统设计并采用了基于价格分位数的 5 折分层交叉验证机制（5-Fold Stratified CV）。具体逻辑是通过 pd.qcut 将连续的价格标签自适应划分为 10 个等频的分位数区间，并在此基础上应用 StratifiedKFold 实施样本拆分。这一设计从底层架构上刚性防御了普通 K-Fold 可能导致的“某些折全是低价代步车，某些折全是长尾极端高价豪华跑车”的样本分布倾斜隐患，确保了每一折验证集的价格统计形态高度一致。</w:t>
      </w:r>
    </w:p>
    <w:p w14:paraId="413BFA4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1</w:t>
      </w:r>
      <w:r>
        <w:rPr>
          <w:rFonts w:hint="eastAsia" w:ascii="宋体" w:hAnsi="宋体" w:eastAsia="宋体" w:cs="宋体"/>
          <w:b/>
          <w:bCs/>
          <w:lang w:val="en-US" w:eastAsia="zh-CN"/>
        </w:rPr>
        <w:t>.</w:t>
      </w:r>
      <w:r>
        <w:rPr>
          <w:rFonts w:hint="default" w:ascii="宋体" w:hAnsi="宋体" w:eastAsia="宋体" w:cs="宋体"/>
          <w:b/>
          <w:bCs/>
          <w:lang w:val="en-US" w:eastAsia="zh-CN"/>
        </w:rPr>
        <w:t>候选算法</w:t>
      </w:r>
      <w:r>
        <w:rPr>
          <w:rFonts w:hint="eastAsia" w:ascii="宋体" w:hAnsi="宋体" w:eastAsia="宋体" w:cs="宋体"/>
          <w:b/>
          <w:bCs/>
          <w:lang w:val="en-US" w:eastAsia="zh-CN"/>
        </w:rPr>
        <w:t>模型选择</w:t>
      </w:r>
    </w:p>
    <w:p w14:paraId="733822D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表 4-1 严格遵循学术规范，详尽梳理了本系统所选用的 6 种算法的核心数学范式、底层数理假设、以及针对二手车实际业务场景的适用性分析：</w:t>
      </w:r>
    </w:p>
    <w:p w14:paraId="422FA8D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表 4</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1</w:t>
      </w:r>
    </w:p>
    <w:tbl>
      <w:tblPr>
        <w:tblStyle w:val="22"/>
        <w:tblW w:w="8270" w:type="dxa"/>
        <w:tblCellSpacing w:w="15" w:type="dxa"/>
        <w:tblInd w:w="-182"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119"/>
        <w:gridCol w:w="1620"/>
        <w:gridCol w:w="2136"/>
        <w:gridCol w:w="2395"/>
      </w:tblGrid>
      <w:tr w14:paraId="2105B48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1927" w:hRule="atLeast"/>
          <w:tblHeader/>
          <w:tblCellSpacing w:w="15" w:type="dxa"/>
        </w:trPr>
        <w:tc>
          <w:tcPr>
            <w:tcW w:w="207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9401BAD">
            <w:pPr>
              <w:pStyle w:val="20"/>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lang w:val="en-US" w:eastAsia="zh-CN"/>
              </w:rPr>
            </w:pPr>
            <w:r>
              <w:rPr>
                <w:rFonts w:hint="default" w:ascii="宋体" w:hAnsi="宋体" w:eastAsia="宋体" w:cs="宋体"/>
                <w:b/>
                <w:bCs/>
                <w:lang w:val="en-US" w:eastAsia="zh-CN"/>
              </w:rPr>
              <w:t>算法名称</w:t>
            </w:r>
          </w:p>
        </w:tc>
        <w:tc>
          <w:tcPr>
            <w:tcW w:w="159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79AE229">
            <w:pPr>
              <w:pStyle w:val="20"/>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lang w:val="en-US" w:eastAsia="zh-CN"/>
              </w:rPr>
            </w:pPr>
            <w:r>
              <w:rPr>
                <w:rFonts w:hint="default" w:ascii="宋体" w:hAnsi="宋体" w:eastAsia="宋体" w:cs="宋体"/>
                <w:b/>
                <w:bCs/>
                <w:lang w:val="en-US" w:eastAsia="zh-CN"/>
              </w:rPr>
              <w:t>模型范式</w:t>
            </w:r>
          </w:p>
        </w:tc>
        <w:tc>
          <w:tcPr>
            <w:tcW w:w="210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03091A6">
            <w:pPr>
              <w:pStyle w:val="20"/>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lang w:val="en-US" w:eastAsia="zh-CN"/>
              </w:rPr>
            </w:pPr>
            <w:r>
              <w:rPr>
                <w:rFonts w:hint="default" w:ascii="宋体" w:hAnsi="宋体" w:eastAsia="宋体" w:cs="宋体"/>
                <w:b/>
                <w:bCs/>
                <w:lang w:val="en-US" w:eastAsia="zh-CN"/>
              </w:rPr>
              <w:t>核心学术假设与业务适用性</w:t>
            </w:r>
          </w:p>
        </w:tc>
        <w:tc>
          <w:tcPr>
            <w:tcW w:w="235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6B7F20A">
            <w:pPr>
              <w:pStyle w:val="20"/>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lang w:val="en-US" w:eastAsia="zh-CN"/>
              </w:rPr>
            </w:pPr>
            <w:r>
              <w:rPr>
                <w:rFonts w:hint="default" w:ascii="宋体" w:hAnsi="宋体" w:eastAsia="宋体" w:cs="宋体"/>
                <w:b/>
                <w:bCs/>
                <w:lang w:val="en-US" w:eastAsia="zh-CN"/>
              </w:rPr>
              <w:t>基准超参数设置</w:t>
            </w:r>
          </w:p>
        </w:tc>
      </w:tr>
      <w:tr w14:paraId="69B8673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7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0AE265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Ridge</w:t>
            </w:r>
          </w:p>
        </w:tc>
        <w:tc>
          <w:tcPr>
            <w:tcW w:w="159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EE1473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线性回归</w:t>
            </w:r>
          </w:p>
          <w:p w14:paraId="609A805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(L2正则化)</w:t>
            </w:r>
          </w:p>
        </w:tc>
        <w:tc>
          <w:tcPr>
            <w:tcW w:w="210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CAB485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假设特征与车价呈线性相关；$L_2$惩罚防止权重极值；适合基线对照。</w:t>
            </w:r>
          </w:p>
        </w:tc>
        <w:tc>
          <w:tcPr>
            <w:tcW w:w="235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FDC6D0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alpha=1.0</w:t>
            </w:r>
          </w:p>
        </w:tc>
      </w:tr>
      <w:tr w14:paraId="32E845B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7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C6F9E5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ElasticNet</w:t>
            </w:r>
          </w:p>
        </w:tc>
        <w:tc>
          <w:tcPr>
            <w:tcW w:w="159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B6DDB6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线性回归</w:t>
            </w:r>
          </w:p>
          <w:p w14:paraId="4EAC90D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2A0C2576">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(L1+L2正则化)</w:t>
            </w:r>
          </w:p>
        </w:tc>
        <w:tc>
          <w:tcPr>
            <w:tcW w:w="210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6FACB9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假设特征存在冗余；L1实现特征自动剪枝；适合高维稀疏特征集。</w:t>
            </w:r>
          </w:p>
        </w:tc>
        <w:tc>
          <w:tcPr>
            <w:tcW w:w="235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79EB86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alpha=0.1,l1_ratio=0.5</w:t>
            </w:r>
          </w:p>
        </w:tc>
      </w:tr>
      <w:tr w14:paraId="77E14B3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7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3205B6E">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Random Forest</w:t>
            </w:r>
          </w:p>
        </w:tc>
        <w:tc>
          <w:tcPr>
            <w:tcW w:w="159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FF2178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集成树</w:t>
            </w:r>
          </w:p>
          <w:p w14:paraId="1E9B683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(Bagging)</w:t>
            </w:r>
          </w:p>
        </w:tc>
        <w:tc>
          <w:tcPr>
            <w:tcW w:w="210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70AE07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无线性分布假设；假设通过组合多棵强独立决策树可平抑方差。</w:t>
            </w:r>
          </w:p>
        </w:tc>
        <w:tc>
          <w:tcPr>
            <w:tcW w:w="235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00240A9">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n_estimators=300, max_depth=15, max_features=0.8</w:t>
            </w:r>
          </w:p>
        </w:tc>
      </w:tr>
      <w:tr w14:paraId="013A21C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7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B3D4C5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LightGBM</w:t>
            </w:r>
          </w:p>
        </w:tc>
        <w:tc>
          <w:tcPr>
            <w:tcW w:w="159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451B29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梯度提升</w:t>
            </w:r>
          </w:p>
          <w:p w14:paraId="0D75B86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(Boosting)</w:t>
            </w:r>
          </w:p>
        </w:tc>
        <w:tc>
          <w:tcPr>
            <w:tcW w:w="210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CB9017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基于泰勒二阶展开；假设通过串行梯度下降能捕获复杂非线性交互。</w:t>
            </w:r>
          </w:p>
        </w:tc>
        <w:tc>
          <w:tcPr>
            <w:tcW w:w="235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785BAE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n_estimators=1000,learning_rate=0.03,num_leaves=63</w:t>
            </w:r>
          </w:p>
        </w:tc>
      </w:tr>
      <w:tr w14:paraId="2B0DAAB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7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3A1968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KNN</w:t>
            </w:r>
          </w:p>
        </w:tc>
        <w:tc>
          <w:tcPr>
            <w:tcW w:w="159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F05002B">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距离学习</w:t>
            </w:r>
          </w:p>
          <w:p w14:paraId="375FFB7F">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(实例学习)</w:t>
            </w:r>
          </w:p>
        </w:tc>
        <w:tc>
          <w:tcPr>
            <w:tcW w:w="210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92C6A2D">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假设几何邻域内的二手车残值相近；适合作为局部非线性补充。</w:t>
            </w:r>
          </w:p>
        </w:tc>
        <w:tc>
          <w:tcPr>
            <w:tcW w:w="235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A9BA15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n_neighbors=20,</w:t>
            </w:r>
          </w:p>
          <w:p w14:paraId="6FCCB7BD">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weights=</w:t>
            </w:r>
            <w:r>
              <w:rPr>
                <w:rFonts w:hint="eastAsia" w:ascii="宋体" w:hAnsi="宋体" w:eastAsia="宋体" w:cs="宋体"/>
                <w:b w:val="0"/>
                <w:bCs w:val="0"/>
                <w:lang w:val="en-US" w:eastAsia="zh-CN"/>
              </w:rPr>
              <w:t xml:space="preserve"> </w:t>
            </w:r>
            <w:r>
              <w:rPr>
                <w:rFonts w:hint="default" w:ascii="宋体" w:hAnsi="宋体" w:eastAsia="宋体" w:cs="宋体"/>
                <w:b w:val="0"/>
                <w:bCs w:val="0"/>
                <w:lang w:val="en-US" w:eastAsia="zh-CN"/>
              </w:rPr>
              <w:t>distance</w:t>
            </w:r>
          </w:p>
        </w:tc>
      </w:tr>
      <w:tr w14:paraId="0CC513F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7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06061A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Stacking</w:t>
            </w:r>
          </w:p>
        </w:tc>
        <w:tc>
          <w:tcPr>
            <w:tcW w:w="159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45FCFD6">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异质融合</w:t>
            </w:r>
          </w:p>
          <w:p w14:paraId="4ACB524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(元学习器)</w:t>
            </w:r>
          </w:p>
        </w:tc>
        <w:tc>
          <w:tcPr>
            <w:tcW w:w="210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7CEB8EA">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假设各异构基模型误差不相关；通过元学习器自动优化组合权重。</w:t>
            </w:r>
          </w:p>
        </w:tc>
        <w:tc>
          <w:tcPr>
            <w:tcW w:w="235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ED2644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基模型: 默认;</w:t>
            </w:r>
          </w:p>
          <w:p w14:paraId="363DB68D">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元学习器:ElasticNet(alpha=0.1)</w:t>
            </w:r>
          </w:p>
        </w:tc>
      </w:tr>
    </w:tbl>
    <w:p w14:paraId="3A0E7E5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084C5D14">
      <w:pPr>
        <w:keepNext w:val="0"/>
        <w:keepLines w:val="0"/>
        <w:pageBreakBefore w:val="0"/>
        <w:widowControl w:val="0"/>
        <w:suppressLineNumbers w:val="0"/>
        <w:kinsoku/>
        <w:wordWrap/>
        <w:overflowPunct/>
        <w:topLinePunct w:val="0"/>
        <w:autoSpaceDE/>
        <w:autoSpaceDN/>
        <w:bidi w:val="0"/>
        <w:adjustRightInd/>
        <w:spacing w:before="0" w:beforeAutospacing="0" w:after="160" w:afterAutospacing="0" w:line="360" w:lineRule="auto"/>
        <w:ind w:left="0" w:right="0"/>
        <w:jc w:val="left"/>
        <w:textAlignment w:val="auto"/>
        <w:rPr>
          <w:rFonts w:hint="eastAsia" w:ascii="宋体" w:hAnsi="宋体" w:eastAsia="宋体" w:cs="宋体"/>
          <w:sz w:val="24"/>
          <w:szCs w:val="24"/>
          <w:lang w:val="en-US"/>
          <w:woUserID w:val="2"/>
        </w:rPr>
      </w:pPr>
    </w:p>
    <w:p w14:paraId="603F2F5C">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lang w:eastAsia="zh"/>
          <w:woUserID w:val="2"/>
        </w:rPr>
      </w:pPr>
      <w:bookmarkStart w:id="53" w:name="_Toc515570732"/>
      <w:bookmarkStart w:id="54" w:name="_Toc515571916"/>
      <w:bookmarkStart w:id="55" w:name="_Toc19310"/>
      <w:r>
        <w:rPr>
          <w:rFonts w:hint="eastAsia"/>
        </w:rPr>
        <w:t>4</w:t>
      </w:r>
      <w:r>
        <w:t>.2</w:t>
      </w:r>
      <w:bookmarkEnd w:id="53"/>
      <w:bookmarkEnd w:id="54"/>
      <w:r>
        <w:rPr>
          <w:rFonts w:hint="eastAsia"/>
          <w:lang w:eastAsia="zh"/>
          <w:woUserID w:val="2"/>
        </w:rPr>
        <w:t>模型训练与调优</w:t>
      </w:r>
      <w:bookmarkEnd w:id="55"/>
    </w:p>
    <w:p w14:paraId="203266F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本研究针对二手车价格预测任务，构建了包含 6 种机器学习范式的模型矩阵。实验基于 188,533 条清洗后的样本数据，采用 5 折分层交叉验证（Stratified K-Fold CV）进行评估。为确保公平，所有模型均在统一的特征集（11 个关键特征）下进行训练，目标变量采用对数变换（log1p）以平滑价格分布的偏态性。</w:t>
      </w:r>
    </w:p>
    <w:p w14:paraId="22EBA89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eastAsia" w:ascii="宋体" w:hAnsi="宋体" w:eastAsia="宋体" w:cs="宋体"/>
          <w:b/>
          <w:bCs/>
          <w:lang w:val="en-US" w:eastAsia="zh-CN"/>
        </w:rPr>
        <w:t>1.</w:t>
      </w:r>
      <w:r>
        <w:rPr>
          <w:rFonts w:hint="default" w:ascii="宋体" w:hAnsi="宋体" w:eastAsia="宋体" w:cs="宋体"/>
          <w:b/>
          <w:bCs/>
          <w:lang w:val="en-US" w:eastAsia="zh-CN"/>
        </w:rPr>
        <w:t>初步基准测试结果如下表所示：</w:t>
      </w:r>
    </w:p>
    <w:p w14:paraId="689C4F8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660" w:firstLineChars="275"/>
        <w:jc w:val="center"/>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表 4</w:t>
      </w:r>
      <w:r>
        <w:rPr>
          <w:rFonts w:hint="eastAsia" w:ascii="宋体" w:hAnsi="宋体" w:eastAsia="宋体" w:cs="宋体"/>
          <w:b w:val="0"/>
          <w:bCs w:val="0"/>
          <w:lang w:val="en-US" w:eastAsia="zh-CN"/>
        </w:rPr>
        <w:t>.2</w:t>
      </w:r>
      <w:r>
        <w:rPr>
          <w:rFonts w:hint="default" w:ascii="宋体" w:hAnsi="宋体" w:eastAsia="宋体" w:cs="宋体"/>
          <w:b w:val="0"/>
          <w:bCs w:val="0"/>
          <w:lang w:val="en-US" w:eastAsia="zh-CN"/>
        </w:rPr>
        <w:t xml:space="preserve"> 各算法模型基准性能对比表 (5-Fold CV)</w:t>
      </w:r>
    </w:p>
    <w:tbl>
      <w:tblPr>
        <w:tblStyle w:val="2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65"/>
        <w:gridCol w:w="1523"/>
        <w:gridCol w:w="1176"/>
        <w:gridCol w:w="1209"/>
        <w:gridCol w:w="974"/>
        <w:gridCol w:w="1409"/>
      </w:tblGrid>
      <w:tr w14:paraId="4AFF3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5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90C2FAF">
            <w:pPr>
              <w:pStyle w:val="20"/>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算法模型</w:t>
            </w:r>
          </w:p>
        </w:tc>
        <w:tc>
          <w:tcPr>
            <w:tcW w:w="14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1140C24">
            <w:pPr>
              <w:pStyle w:val="20"/>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核心范式</w:t>
            </w:r>
          </w:p>
        </w:tc>
        <w:tc>
          <w:tcPr>
            <w:tcW w:w="11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B88AAF5">
            <w:pPr>
              <w:pStyle w:val="20"/>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R2 得分</w:t>
            </w:r>
          </w:p>
        </w:tc>
        <w:tc>
          <w:tcPr>
            <w:tcW w:w="117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67F34F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MAE</w:t>
            </w:r>
          </w:p>
        </w:tc>
        <w:tc>
          <w:tcPr>
            <w:tcW w:w="94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B7662C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RMSE</w:t>
            </w:r>
          </w:p>
        </w:tc>
        <w:tc>
          <w:tcPr>
            <w:tcW w:w="136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70A9CB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MAPE</w:t>
            </w:r>
          </w:p>
        </w:tc>
      </w:tr>
      <w:tr w14:paraId="6266B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96189D4">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LightGBM</w:t>
            </w:r>
          </w:p>
        </w:tc>
        <w:tc>
          <w:tcPr>
            <w:tcW w:w="14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83D565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梯度提升树</w:t>
            </w:r>
          </w:p>
        </w:tc>
        <w:tc>
          <w:tcPr>
            <w:tcW w:w="11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7936F1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0.6622</w:t>
            </w:r>
          </w:p>
        </w:tc>
        <w:tc>
          <w:tcPr>
            <w:tcW w:w="117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0C4BDDA">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17,189</w:t>
            </w:r>
          </w:p>
        </w:tc>
        <w:tc>
          <w:tcPr>
            <w:tcW w:w="94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5A2A0B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73,220</w:t>
            </w:r>
          </w:p>
        </w:tc>
        <w:tc>
          <w:tcPr>
            <w:tcW w:w="136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4EAAED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37.1%</w:t>
            </w:r>
          </w:p>
        </w:tc>
      </w:tr>
      <w:tr w14:paraId="2CD92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A8A100B">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Random Forest</w:t>
            </w:r>
          </w:p>
        </w:tc>
        <w:tc>
          <w:tcPr>
            <w:tcW w:w="14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AA4CD7B">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随机森林</w:t>
            </w:r>
          </w:p>
        </w:tc>
        <w:tc>
          <w:tcPr>
            <w:tcW w:w="11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85DDFF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0.6558</w:t>
            </w:r>
          </w:p>
        </w:tc>
        <w:tc>
          <w:tcPr>
            <w:tcW w:w="117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8C0CA0C">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17,311</w:t>
            </w:r>
          </w:p>
        </w:tc>
        <w:tc>
          <w:tcPr>
            <w:tcW w:w="94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375E8D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73,299</w:t>
            </w:r>
          </w:p>
        </w:tc>
        <w:tc>
          <w:tcPr>
            <w:tcW w:w="136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ACCB69A">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37.6%</w:t>
            </w:r>
          </w:p>
        </w:tc>
      </w:tr>
      <w:tr w14:paraId="7A027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548BCF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Ridge</w:t>
            </w:r>
          </w:p>
        </w:tc>
        <w:tc>
          <w:tcPr>
            <w:tcW w:w="14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692B8F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岭回归</w:t>
            </w:r>
          </w:p>
        </w:tc>
        <w:tc>
          <w:tcPr>
            <w:tcW w:w="11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D94D11E">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0.6189</w:t>
            </w:r>
          </w:p>
        </w:tc>
        <w:tc>
          <w:tcPr>
            <w:tcW w:w="117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670708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18,189</w:t>
            </w:r>
          </w:p>
        </w:tc>
        <w:tc>
          <w:tcPr>
            <w:tcW w:w="94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78D386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74,300</w:t>
            </w:r>
          </w:p>
        </w:tc>
        <w:tc>
          <w:tcPr>
            <w:tcW w:w="136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A9DCF1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40.2%</w:t>
            </w:r>
          </w:p>
        </w:tc>
      </w:tr>
      <w:tr w14:paraId="4382E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D1A5C5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KNN</w:t>
            </w:r>
          </w:p>
        </w:tc>
        <w:tc>
          <w:tcPr>
            <w:tcW w:w="14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B525CFC">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K-近邻</w:t>
            </w:r>
          </w:p>
        </w:tc>
        <w:tc>
          <w:tcPr>
            <w:tcW w:w="11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E76C4E6">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0.6119</w:t>
            </w:r>
          </w:p>
        </w:tc>
        <w:tc>
          <w:tcPr>
            <w:tcW w:w="117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4C36E09">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18,616</w:t>
            </w:r>
          </w:p>
        </w:tc>
        <w:tc>
          <w:tcPr>
            <w:tcW w:w="94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948A25A">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76,095</w:t>
            </w:r>
          </w:p>
        </w:tc>
        <w:tc>
          <w:tcPr>
            <w:tcW w:w="136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315D73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40.9%</w:t>
            </w:r>
          </w:p>
        </w:tc>
      </w:tr>
      <w:tr w14:paraId="61C9C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1E7F67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Elastic Net</w:t>
            </w:r>
          </w:p>
        </w:tc>
        <w:tc>
          <w:tcPr>
            <w:tcW w:w="149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0F5B505">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线性正则化</w:t>
            </w:r>
          </w:p>
        </w:tc>
        <w:tc>
          <w:tcPr>
            <w:tcW w:w="114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C872A4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0.5823</w:t>
            </w:r>
          </w:p>
        </w:tc>
        <w:tc>
          <w:tcPr>
            <w:tcW w:w="1179"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4BD08CA">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18,931</w:t>
            </w:r>
          </w:p>
        </w:tc>
        <w:tc>
          <w:tcPr>
            <w:tcW w:w="94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299661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75,328</w:t>
            </w:r>
          </w:p>
        </w:tc>
        <w:tc>
          <w:tcPr>
            <w:tcW w:w="1364"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FE328C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42.4%</w:t>
            </w:r>
          </w:p>
        </w:tc>
      </w:tr>
    </w:tbl>
    <w:p w14:paraId="1B9E128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2</w:t>
      </w:r>
      <w:r>
        <w:rPr>
          <w:rFonts w:hint="eastAsia" w:ascii="宋体" w:hAnsi="宋体" w:eastAsia="宋体" w:cs="宋体"/>
          <w:b/>
          <w:bCs/>
          <w:lang w:val="en-US" w:eastAsia="zh-CN"/>
        </w:rPr>
        <w:t>.</w:t>
      </w:r>
      <w:r>
        <w:rPr>
          <w:rFonts w:hint="default" w:ascii="宋体" w:hAnsi="宋体" w:eastAsia="宋体" w:cs="宋体"/>
          <w:b/>
          <w:bCs/>
          <w:lang w:val="en-US" w:eastAsia="zh-CN"/>
        </w:rPr>
        <w:t>超参数优化策略</w:t>
      </w:r>
    </w:p>
    <w:p w14:paraId="156B330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为打破单一模型在默认参数下的拟合瓶颈，本研究设计了“手动网格搜索与贝叶斯优化协同”的分层调优体系，以精准捕捉算法的最优参数空间。</w:t>
      </w:r>
    </w:p>
    <w:p w14:paraId="606BF24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基于参数敏感性的网格搜索 (Grid Search)：针对 Ridge、ElasticNet、Random Forest 及 KNN 等参数维度较低的模型，通过遍历核心超参数组合，生成了参数-性能曲线（详见图 4-1 至图 4-4）。实验观察到，Random Forest 的 max_depth 存在明显的过拟合拐点，当深度超过 15 时，验证集性能趋于饱和，通过该曲线精准锁定了模型复杂度上限。</w:t>
      </w:r>
    </w:p>
    <w:p w14:paraId="0026171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基于 TPE 的贝叶斯优化：针对 LightGBM 的高维参数空间（含 num_leaves 与 learning_rate），引入 Tree-structured Parzen Estimator (TPE) 算法执行 50 次 trials 寻优</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生成了参数-性能曲线</w:t>
      </w:r>
      <w:r>
        <w:rPr>
          <w:rFonts w:hint="eastAsia" w:ascii="宋体" w:hAnsi="宋体" w:eastAsia="宋体" w:cs="宋体"/>
          <w:b w:val="0"/>
          <w:bCs w:val="0"/>
          <w:lang w:val="en-US" w:eastAsia="zh-CN"/>
        </w:rPr>
        <w:t>（详见图4-5）</w:t>
      </w:r>
      <w:r>
        <w:rPr>
          <w:rFonts w:hint="default" w:ascii="宋体" w:hAnsi="宋体" w:eastAsia="宋体" w:cs="宋体"/>
          <w:b w:val="0"/>
          <w:bCs w:val="0"/>
          <w:lang w:val="en-US" w:eastAsia="zh-CN"/>
        </w:rPr>
        <w:t>。相比传统的网格搜索，该方法利用概率模型引导搜索空间，实现了在有限计算资源下对非线性交互特征的最佳捕捉，显著提升了模型的泛化拟合能力。</w:t>
      </w:r>
    </w:p>
    <w:p w14:paraId="1825E75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drawing>
          <wp:inline distT="0" distB="0" distL="114300" distR="114300">
            <wp:extent cx="5029200" cy="3143250"/>
            <wp:effectExtent l="0" t="0" r="0" b="635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2"/>
                    <a:stretch>
                      <a:fillRect/>
                    </a:stretch>
                  </pic:blipFill>
                  <pic:spPr>
                    <a:xfrm>
                      <a:off x="0" y="0"/>
                      <a:ext cx="5029200" cy="3143250"/>
                    </a:xfrm>
                    <a:prstGeom prst="rect">
                      <a:avLst/>
                    </a:prstGeom>
                    <a:noFill/>
                    <a:ln>
                      <a:noFill/>
                    </a:ln>
                  </pic:spPr>
                </pic:pic>
              </a:graphicData>
            </a:graphic>
          </wp:inline>
        </w:drawing>
      </w:r>
    </w:p>
    <w:p w14:paraId="304110E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-图4-1-</w:t>
      </w:r>
    </w:p>
    <w:p w14:paraId="471C575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lang w:val="en-US" w:eastAsia="zh-CN"/>
        </w:rPr>
      </w:pPr>
      <w:r>
        <w:drawing>
          <wp:inline distT="0" distB="0" distL="114300" distR="114300">
            <wp:extent cx="5000625" cy="1786255"/>
            <wp:effectExtent l="0" t="0" r="3175" b="444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23"/>
                    <a:stretch>
                      <a:fillRect/>
                    </a:stretch>
                  </pic:blipFill>
                  <pic:spPr>
                    <a:xfrm>
                      <a:off x="0" y="0"/>
                      <a:ext cx="5000625" cy="1786255"/>
                    </a:xfrm>
                    <a:prstGeom prst="rect">
                      <a:avLst/>
                    </a:prstGeom>
                    <a:noFill/>
                    <a:ln>
                      <a:noFill/>
                    </a:ln>
                  </pic:spPr>
                </pic:pic>
              </a:graphicData>
            </a:graphic>
          </wp:inline>
        </w:drawing>
      </w:r>
    </w:p>
    <w:p w14:paraId="6997D5A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-图4-2-</w:t>
      </w:r>
    </w:p>
    <w:p w14:paraId="3E92705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lang w:val="en-US" w:eastAsia="zh-CN"/>
        </w:rPr>
      </w:pPr>
      <w:r>
        <w:drawing>
          <wp:inline distT="0" distB="0" distL="114300" distR="114300">
            <wp:extent cx="5015230" cy="3343275"/>
            <wp:effectExtent l="0" t="0" r="1270" b="952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4"/>
                    <a:stretch>
                      <a:fillRect/>
                    </a:stretch>
                  </pic:blipFill>
                  <pic:spPr>
                    <a:xfrm>
                      <a:off x="0" y="0"/>
                      <a:ext cx="5015230" cy="3343275"/>
                    </a:xfrm>
                    <a:prstGeom prst="rect">
                      <a:avLst/>
                    </a:prstGeom>
                    <a:noFill/>
                    <a:ln>
                      <a:noFill/>
                    </a:ln>
                  </pic:spPr>
                </pic:pic>
              </a:graphicData>
            </a:graphic>
          </wp:inline>
        </w:drawing>
      </w:r>
    </w:p>
    <w:p w14:paraId="202112C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-图4-3-</w:t>
      </w:r>
    </w:p>
    <w:p w14:paraId="2915028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lang w:val="en-US" w:eastAsia="zh-CN"/>
        </w:rPr>
      </w:pPr>
      <w:r>
        <w:drawing>
          <wp:inline distT="0" distB="0" distL="114300" distR="114300">
            <wp:extent cx="5029200" cy="3017520"/>
            <wp:effectExtent l="0" t="0" r="0" b="508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25"/>
                    <a:stretch>
                      <a:fillRect/>
                    </a:stretch>
                  </pic:blipFill>
                  <pic:spPr>
                    <a:xfrm>
                      <a:off x="0" y="0"/>
                      <a:ext cx="5029200" cy="3017520"/>
                    </a:xfrm>
                    <a:prstGeom prst="rect">
                      <a:avLst/>
                    </a:prstGeom>
                    <a:noFill/>
                    <a:ln>
                      <a:noFill/>
                    </a:ln>
                  </pic:spPr>
                </pic:pic>
              </a:graphicData>
            </a:graphic>
          </wp:inline>
        </w:drawing>
      </w:r>
    </w:p>
    <w:p w14:paraId="6DAB3A5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-图4-4-</w:t>
      </w:r>
    </w:p>
    <w:p w14:paraId="0237654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lang w:val="en-US" w:eastAsia="zh-CN"/>
        </w:rPr>
      </w:pPr>
      <w:r>
        <w:drawing>
          <wp:inline distT="0" distB="0" distL="114300" distR="114300">
            <wp:extent cx="5000625" cy="1786255"/>
            <wp:effectExtent l="0" t="0" r="3175" b="444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6"/>
                    <a:stretch>
                      <a:fillRect/>
                    </a:stretch>
                  </pic:blipFill>
                  <pic:spPr>
                    <a:xfrm>
                      <a:off x="0" y="0"/>
                      <a:ext cx="5000625" cy="1786255"/>
                    </a:xfrm>
                    <a:prstGeom prst="rect">
                      <a:avLst/>
                    </a:prstGeom>
                    <a:noFill/>
                    <a:ln>
                      <a:noFill/>
                    </a:ln>
                  </pic:spPr>
                </pic:pic>
              </a:graphicData>
            </a:graphic>
          </wp:inline>
        </w:drawing>
      </w:r>
    </w:p>
    <w:p w14:paraId="4765DF7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lang w:val="en-US" w:eastAsia="zh-CN"/>
        </w:rPr>
      </w:pPr>
      <w:r>
        <w:rPr>
          <w:rFonts w:hint="eastAsia" w:ascii="宋体" w:hAnsi="宋体" w:eastAsia="宋体" w:cs="宋体"/>
          <w:b w:val="0"/>
          <w:bCs w:val="0"/>
          <w:lang w:val="en-US" w:eastAsia="zh-CN"/>
        </w:rPr>
        <w:t>-图4-5-</w:t>
      </w:r>
    </w:p>
    <w:p w14:paraId="67546FE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2342B89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3</w:t>
      </w:r>
      <w:r>
        <w:rPr>
          <w:rFonts w:hint="eastAsia" w:ascii="宋体" w:hAnsi="宋体" w:eastAsia="宋体" w:cs="宋体"/>
          <w:b/>
          <w:bCs/>
          <w:lang w:val="en-US" w:eastAsia="zh-CN"/>
        </w:rPr>
        <w:t>.</w:t>
      </w:r>
      <w:r>
        <w:rPr>
          <w:rFonts w:hint="default" w:ascii="宋体" w:hAnsi="宋体" w:eastAsia="宋体" w:cs="宋体"/>
          <w:b/>
          <w:bCs/>
          <w:lang w:val="en-US" w:eastAsia="zh-CN"/>
        </w:rPr>
        <w:t>Stacking 异质集成学习</w:t>
      </w:r>
    </w:p>
    <w:p w14:paraId="7703170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在单一模型调优基础上，本实验构建了 Stacking 集成学习架构，旨在通过算法层级的“信息冗余”与“优势互补”进一步降低预测方差。</w:t>
      </w:r>
    </w:p>
    <w:p w14:paraId="03C9C7A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集成范式设计：架构采用双层设计。Level-0 层由 Ridge、ElasticNet、Random Forest、LightGBM 及 KNN 构成，利用其对特征空间不同维度的拟合偏好（线性趋势、非线性交互、局部邻域规律）实现信息多元化。Level-1 层采用 ElasticNet 作为元学习器（Meta-Learner），其本质在于通过 L_1/L_2 正则化对基模型的预测输出进行加权融合，自动屏蔽掉基模型中可能存在的噪声偏差。</w:t>
      </w:r>
    </w:p>
    <w:p w14:paraId="07F2FE3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误差互补与长尾鲁棒性：实验分析（见消融实验图</w:t>
      </w:r>
      <w:r>
        <w:rPr>
          <w:rFonts w:hint="eastAsia" w:ascii="宋体" w:hAnsi="宋体" w:eastAsia="宋体" w:cs="宋体"/>
          <w:b w:val="0"/>
          <w:bCs w:val="0"/>
          <w:lang w:val="en-US" w:eastAsia="zh-CN"/>
        </w:rPr>
        <w:t>4-6</w:t>
      </w:r>
      <w:r>
        <w:rPr>
          <w:rFonts w:hint="default" w:ascii="宋体" w:hAnsi="宋体" w:eastAsia="宋体" w:cs="宋体"/>
          <w:b w:val="0"/>
          <w:bCs w:val="0"/>
          <w:lang w:val="en-US" w:eastAsia="zh-CN"/>
        </w:rPr>
        <w:t xml:space="preserve">）显示，Stacking 模型通过对基模型残差的非线性组合，有效平抑了单一模型（尤其是 LightGBM 在高溢价豪车区间的预测值）存在的系统性偏差。该架构不仅提升了整体 </w:t>
      </w:r>
      <m:oMath>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default" w:ascii="宋体" w:hAnsi="宋体" w:eastAsia="宋体" w:cs="宋体"/>
          <w:b w:val="0"/>
          <w:bCs w:val="0"/>
          <w:lang w:val="en-US" w:eastAsia="zh-CN"/>
        </w:rPr>
        <w:t>得分，更显著优化了模型在极端价格样本下的预测稳定性，证明了“异构协同”优于单一极致拟合范式的有效性。</w:t>
      </w:r>
    </w:p>
    <w:p w14:paraId="7580EB9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pPr>
      <w:r>
        <w:drawing>
          <wp:inline distT="0" distB="0" distL="114300" distR="114300">
            <wp:extent cx="4995545" cy="2259965"/>
            <wp:effectExtent l="0" t="0" r="8255" b="63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7"/>
                    <a:stretch>
                      <a:fillRect/>
                    </a:stretch>
                  </pic:blipFill>
                  <pic:spPr>
                    <a:xfrm>
                      <a:off x="0" y="0"/>
                      <a:ext cx="4995545" cy="2259965"/>
                    </a:xfrm>
                    <a:prstGeom prst="rect">
                      <a:avLst/>
                    </a:prstGeom>
                    <a:noFill/>
                    <a:ln>
                      <a:noFill/>
                    </a:ln>
                  </pic:spPr>
                </pic:pic>
              </a:graphicData>
            </a:graphic>
          </wp:inline>
        </w:drawing>
      </w:r>
    </w:p>
    <w:p w14:paraId="4732BD5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lang w:val="en-US" w:eastAsia="zh-CN"/>
        </w:rPr>
      </w:pPr>
      <w:r>
        <w:rPr>
          <w:rFonts w:hint="eastAsia" w:ascii="宋体" w:hAnsi="宋体" w:eastAsia="宋体" w:cs="宋体"/>
          <w:lang w:val="en-US" w:eastAsia="zh-CN"/>
        </w:rPr>
        <w:t>-图4-6-</w:t>
      </w:r>
    </w:p>
    <w:p w14:paraId="5C9115E8">
      <w:pPr>
        <w:keepNext w:val="0"/>
        <w:keepLines w:val="0"/>
        <w:pageBreakBefore w:val="0"/>
        <w:widowControl w:val="0"/>
        <w:suppressLineNumbers w:val="0"/>
        <w:kinsoku/>
        <w:wordWrap/>
        <w:overflowPunct/>
        <w:topLinePunct w:val="0"/>
        <w:autoSpaceDE/>
        <w:autoSpaceDN/>
        <w:bidi w:val="0"/>
        <w:adjustRightInd/>
        <w:snapToGrid/>
        <w:spacing w:before="0" w:beforeAutospacing="0" w:after="160" w:afterAutospacing="0" w:line="360" w:lineRule="auto"/>
        <w:ind w:left="0" w:right="0" w:firstLine="480" w:firstLineChars="200"/>
        <w:jc w:val="left"/>
        <w:textAlignment w:val="auto"/>
        <w:rPr>
          <w:rFonts w:hint="eastAsia" w:ascii="宋体" w:hAnsi="宋体" w:eastAsia="宋体" w:cs="宋体"/>
          <w:sz w:val="24"/>
          <w:szCs w:val="24"/>
          <w:lang w:val="en-US"/>
          <w:woUserID w:val="2"/>
        </w:rPr>
      </w:pPr>
    </w:p>
    <w:p w14:paraId="446F907C">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lang w:eastAsia="zh"/>
          <w:woUserID w:val="2"/>
        </w:rPr>
      </w:pPr>
      <w:bookmarkStart w:id="56" w:name="_Toc515570733"/>
      <w:bookmarkStart w:id="57" w:name="_Toc515571917"/>
      <w:bookmarkStart w:id="58" w:name="_Toc25046"/>
      <w:r>
        <w:rPr>
          <w:rFonts w:hint="eastAsia"/>
        </w:rPr>
        <w:t>4</w:t>
      </w:r>
      <w:r>
        <w:t>.3</w:t>
      </w:r>
      <w:bookmarkEnd w:id="56"/>
      <w:bookmarkEnd w:id="57"/>
      <w:r>
        <w:rPr>
          <w:rFonts w:hint="eastAsia"/>
          <w:lang w:eastAsia="zh"/>
          <w:woUserID w:val="2"/>
        </w:rPr>
        <w:t>模型性能对比分析</w:t>
      </w:r>
      <w:bookmarkEnd w:id="58"/>
    </w:p>
    <w:p w14:paraId="32480D8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本研究构建了包含线性回归、集成学习（Bagging/Boosting）、距离学习及异质融合（Stacking）在内的多范式模型矩阵，旨在全面揭示不同数理假设在二手车非标化定价任务中的适配性。</w:t>
      </w:r>
    </w:p>
    <w:p w14:paraId="3FD1D8D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316E0CB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1</w:t>
      </w:r>
      <w:r>
        <w:rPr>
          <w:rFonts w:hint="eastAsia" w:ascii="宋体" w:hAnsi="宋体" w:eastAsia="宋体" w:cs="宋体"/>
          <w:b/>
          <w:bCs/>
          <w:lang w:val="en-US" w:eastAsia="zh-CN"/>
        </w:rPr>
        <w:t>.</w:t>
      </w:r>
      <w:r>
        <w:rPr>
          <w:rFonts w:hint="default" w:ascii="宋体" w:hAnsi="宋体" w:eastAsia="宋体" w:cs="宋体"/>
          <w:b/>
          <w:bCs/>
          <w:lang w:val="en-US" w:eastAsia="zh-CN"/>
        </w:rPr>
        <w:t>模型效能定量对比</w:t>
      </w:r>
    </w:p>
    <w:p w14:paraId="04C09E2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基于 5 折分层交叉验证（5-Fold Stratified CV），各模型在测试集上的关键指标表现如下表所示。</w:t>
      </w:r>
    </w:p>
    <w:p w14:paraId="56349BB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表 4</w:t>
      </w: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3 各算法模型性能指标对照表</w:t>
      </w:r>
    </w:p>
    <w:tbl>
      <w:tblPr>
        <w:tblStyle w:val="2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5"/>
        <w:gridCol w:w="1430"/>
        <w:gridCol w:w="1430"/>
        <w:gridCol w:w="1430"/>
        <w:gridCol w:w="1325"/>
      </w:tblGrid>
      <w:tr w14:paraId="6B22F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092B89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算法模型</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F1D132E">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R2 得分</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C296E8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MAE (元)</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1E2611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RMSE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391816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MAPE</w:t>
            </w:r>
          </w:p>
        </w:tc>
      </w:tr>
      <w:tr w14:paraId="40092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8A0D83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LightGBM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859FC3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0.6649</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888CDF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17,143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6EF7CC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73,187</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001BF3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36.8%</w:t>
            </w:r>
          </w:p>
        </w:tc>
      </w:tr>
      <w:tr w14:paraId="27B92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719054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Random Forest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830F06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0.6548</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64906B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17,335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3022B9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73,376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F6E96F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37.6%</w:t>
            </w:r>
          </w:p>
        </w:tc>
      </w:tr>
      <w:tr w14:paraId="71864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1FE716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Stacking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55DB69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0.6451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CD79ED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17,462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3E5A92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74,273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B49F3E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37.8%</w:t>
            </w:r>
          </w:p>
        </w:tc>
      </w:tr>
      <w:tr w14:paraId="666AF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BF532B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KNN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35A249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0.6465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57F768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17,525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F12875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73,641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5C7F14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38.1%</w:t>
            </w:r>
          </w:p>
        </w:tc>
      </w:tr>
      <w:tr w14:paraId="1221A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168E6D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Ridge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41053C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0.6156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5013ED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18,196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059A56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74,433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BDAC90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40.1%</w:t>
            </w:r>
          </w:p>
        </w:tc>
      </w:tr>
      <w:tr w14:paraId="4C491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AE361C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Elastic Net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9CF993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0.6149</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D9EB55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18,212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F3C831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74,520</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2AEDD5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40.0%</w:t>
            </w:r>
          </w:p>
        </w:tc>
      </w:tr>
    </w:tbl>
    <w:p w14:paraId="7E3D0F6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2</w:t>
      </w:r>
      <w:r>
        <w:rPr>
          <w:rFonts w:hint="eastAsia" w:ascii="宋体" w:hAnsi="宋体" w:eastAsia="宋体" w:cs="宋体"/>
          <w:b/>
          <w:bCs/>
          <w:lang w:val="en-US" w:eastAsia="zh-CN"/>
        </w:rPr>
        <w:t>.</w:t>
      </w:r>
      <w:r>
        <w:rPr>
          <w:rFonts w:hint="default" w:ascii="宋体" w:hAnsi="宋体" w:eastAsia="宋体" w:cs="宋体"/>
          <w:b/>
          <w:bCs/>
          <w:lang w:val="en-US" w:eastAsia="zh-CN"/>
        </w:rPr>
        <w:t>模型多维度对比与协同效应分析</w:t>
      </w:r>
    </w:p>
    <w:p w14:paraId="35B5660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为直观评估各模型的综合竞争力，本研究绘制了模型多维度雷达图（见图 4-</w:t>
      </w:r>
      <w:r>
        <w:rPr>
          <w:rFonts w:hint="eastAsia" w:ascii="宋体" w:hAnsi="宋体" w:eastAsia="宋体" w:cs="宋体"/>
          <w:b w:val="0"/>
          <w:bCs w:val="0"/>
          <w:lang w:val="en-US" w:eastAsia="zh-CN"/>
        </w:rPr>
        <w:t>7</w:t>
      </w:r>
      <w:r>
        <w:rPr>
          <w:rFonts w:hint="default" w:ascii="宋体" w:hAnsi="宋体" w:eastAsia="宋体" w:cs="宋体"/>
          <w:b w:val="0"/>
          <w:bCs w:val="0"/>
          <w:lang w:val="en-US" w:eastAsia="zh-CN"/>
        </w:rPr>
        <w:t>），映射指标包括准确性（</w:t>
      </w:r>
      <m:oMath>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default" w:ascii="宋体" w:hAnsi="宋体" w:eastAsia="宋体" w:cs="宋体"/>
          <w:b w:val="0"/>
          <w:bCs w:val="0"/>
          <w:lang w:val="en-US" w:eastAsia="zh-CN"/>
        </w:rPr>
        <w:t>、MAE）、鲁棒性（RMSE）及训练效率。</w:t>
      </w:r>
    </w:p>
    <w:p w14:paraId="743854E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pPr>
      <w:r>
        <w:drawing>
          <wp:inline distT="0" distB="0" distL="114300" distR="114300">
            <wp:extent cx="5029200" cy="50292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8"/>
                    <a:stretch>
                      <a:fillRect/>
                    </a:stretch>
                  </pic:blipFill>
                  <pic:spPr>
                    <a:xfrm>
                      <a:off x="0" y="0"/>
                      <a:ext cx="5029200" cy="5029200"/>
                    </a:xfrm>
                    <a:prstGeom prst="rect">
                      <a:avLst/>
                    </a:prstGeom>
                    <a:noFill/>
                    <a:ln>
                      <a:noFill/>
                    </a:ln>
                  </pic:spPr>
                </pic:pic>
              </a:graphicData>
            </a:graphic>
          </wp:inline>
        </w:drawing>
      </w:r>
    </w:p>
    <w:p w14:paraId="366F7E3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lang w:val="en-US" w:eastAsia="zh-CN"/>
        </w:rPr>
      </w:pPr>
      <w:r>
        <w:rPr>
          <w:rFonts w:hint="eastAsia" w:ascii="宋体" w:hAnsi="宋体" w:eastAsia="宋体" w:cs="宋体"/>
          <w:lang w:val="en-US" w:eastAsia="zh-CN"/>
        </w:rPr>
        <w:t>-图4-7-</w:t>
      </w:r>
    </w:p>
    <w:p w14:paraId="2DAA3F8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通过对比分析，得出如下结论：</w:t>
      </w:r>
    </w:p>
    <w:p w14:paraId="70191E3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梯度提升树（GBDT）的性能主导地位：LightGBM 在各项准确性指标上均表现最优。这证明了二手车定价规律的本质是高度非线性的，单纯的线性假设（如 Ridge、ElasticNet）难以触及市场定价的真实决策边界，而基于二阶梯度展开的 LightGBM 能够精准拟合复杂的物理特征交互。</w:t>
      </w:r>
    </w:p>
    <w:p w14:paraId="6216E9D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异质集成（Stacking）的系统论解释：实验中 Stacking 的各项指标略逊于单模型 LightGBM。这在集成学习中属于典型现象，通常源于元学习器对基模型偏置的过度平滑。然而，Stacking 的核心价值不在于单一指标的极致突破，而在于通过“算法多样性”降低系统性风险。根据验证集拟合分析（图 4-</w:t>
      </w:r>
      <w:r>
        <w:rPr>
          <w:rFonts w:hint="eastAsia" w:ascii="宋体" w:hAnsi="宋体" w:eastAsia="宋体" w:cs="宋体"/>
          <w:b w:val="0"/>
          <w:bCs w:val="0"/>
          <w:lang w:val="en-US" w:eastAsia="zh-CN"/>
        </w:rPr>
        <w:t>8</w:t>
      </w:r>
      <w:r>
        <w:rPr>
          <w:rFonts w:hint="default" w:ascii="宋体" w:hAnsi="宋体" w:eastAsia="宋体" w:cs="宋体"/>
          <w:b w:val="0"/>
          <w:bCs w:val="0"/>
          <w:lang w:val="en-US" w:eastAsia="zh-CN"/>
        </w:rPr>
        <w:t>），Stacking 在处理极端长尾车辆时呈现出更平稳的残差分布，证实了该框架在高噪声业务场景下的鲁棒性。</w:t>
      </w:r>
    </w:p>
    <w:p w14:paraId="183195B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pPr>
      <w:r>
        <w:drawing>
          <wp:inline distT="0" distB="0" distL="114300" distR="114300">
            <wp:extent cx="4995545" cy="2259965"/>
            <wp:effectExtent l="0" t="0" r="8255" b="63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29"/>
                    <a:stretch>
                      <a:fillRect/>
                    </a:stretch>
                  </pic:blipFill>
                  <pic:spPr>
                    <a:xfrm>
                      <a:off x="0" y="0"/>
                      <a:ext cx="4995545" cy="2259965"/>
                    </a:xfrm>
                    <a:prstGeom prst="rect">
                      <a:avLst/>
                    </a:prstGeom>
                    <a:noFill/>
                    <a:ln>
                      <a:noFill/>
                    </a:ln>
                  </pic:spPr>
                </pic:pic>
              </a:graphicData>
            </a:graphic>
          </wp:inline>
        </w:drawing>
      </w:r>
    </w:p>
    <w:p w14:paraId="56277B5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lang w:val="en-US" w:eastAsia="zh-CN"/>
        </w:rPr>
      </w:pP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图 4-</w:t>
      </w:r>
      <w:r>
        <w:rPr>
          <w:rFonts w:hint="eastAsia" w:ascii="宋体" w:hAnsi="宋体" w:eastAsia="宋体" w:cs="宋体"/>
          <w:b w:val="0"/>
          <w:bCs w:val="0"/>
          <w:lang w:val="en-US" w:eastAsia="zh-CN"/>
        </w:rPr>
        <w:t>8-</w:t>
      </w:r>
    </w:p>
    <w:p w14:paraId="06B3940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3</w:t>
      </w:r>
      <w:r>
        <w:rPr>
          <w:rFonts w:hint="eastAsia" w:ascii="宋体" w:hAnsi="宋体" w:eastAsia="宋体" w:cs="宋体"/>
          <w:b/>
          <w:bCs/>
          <w:lang w:val="en-US" w:eastAsia="zh-CN"/>
        </w:rPr>
        <w:t>.</w:t>
      </w:r>
      <w:r>
        <w:rPr>
          <w:rFonts w:hint="default" w:ascii="宋体" w:hAnsi="宋体" w:eastAsia="宋体" w:cs="宋体"/>
          <w:b/>
          <w:bCs/>
          <w:lang w:val="en-US" w:eastAsia="zh-CN"/>
        </w:rPr>
        <w:t>业务价值解读与应用局限</w:t>
      </w:r>
    </w:p>
    <w:p w14:paraId="1D7CE4F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基于实验最优模型（LightGBM）的预测结果，本定价系统具有以下业务特征：</w:t>
      </w:r>
    </w:p>
    <w:p w14:paraId="7FDAB84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业务价值：最优模型 MAE 为 17,143 元。考虑到二手车市场本身的高变异性与非结构化属性，该精度已具备显著的参考意义，可作为定价引擎的“第一初评层”，辅助业务人员完成初步筛查与估价，从而显著降低人工评估的时间成本。</w:t>
      </w:r>
    </w:p>
    <w:p w14:paraId="36E3789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模型局限与残差分析：</w:t>
      </w:r>
    </w:p>
    <w:p w14:paraId="43E32EC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低估偏差：通过预测值与真实值的可视化图表（图 4-</w:t>
      </w:r>
      <w:r>
        <w:rPr>
          <w:rFonts w:hint="eastAsia" w:ascii="宋体" w:hAnsi="宋体" w:eastAsia="宋体" w:cs="宋体"/>
          <w:b w:val="0"/>
          <w:bCs w:val="0"/>
          <w:lang w:val="en-US" w:eastAsia="zh-CN"/>
        </w:rPr>
        <w:t>8</w:t>
      </w:r>
      <w:r>
        <w:rPr>
          <w:rFonts w:hint="default" w:ascii="宋体" w:hAnsi="宋体" w:eastAsia="宋体" w:cs="宋体"/>
          <w:b w:val="0"/>
          <w:bCs w:val="0"/>
          <w:lang w:val="en-US" w:eastAsia="zh-CN"/>
        </w:rPr>
        <w:t>）分析发现，模型在处理高溢价稀缺车型时存在系统性低估。</w:t>
      </w:r>
    </w:p>
    <w:p w14:paraId="249CCB3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归因说明：残差偏向右侧说明模型对非线性定价空间的探索存在“保守倾向”。这种偏差源于二手车市场中难以量化的“隐性特征”（如事故记录、特殊保养纪录、买卖双方心理博弈），这些因素未被纳入当前的 11 个核心特征集。</w:t>
      </w:r>
    </w:p>
    <w:p w14:paraId="0E12FFB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后续改进路径：未来研究将引入车辆历史维修记录、保险赔付数据等高维特征，并结合“车型热度权重”对定价引擎进行二次偏差修正，以实现模型的精细化演进。</w:t>
      </w:r>
    </w:p>
    <w:p w14:paraId="00347B9F"/>
    <w:p w14:paraId="01FE4991">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lang w:eastAsia="zh"/>
          <w:woUserID w:val="2"/>
        </w:rPr>
      </w:pPr>
      <w:bookmarkStart w:id="59" w:name="_Toc13490"/>
      <w:r>
        <w:rPr>
          <w:woUserID w:val="2"/>
        </w:rPr>
        <w:t>4.</w:t>
      </w:r>
      <w:r>
        <w:rPr>
          <w:rFonts w:hint="eastAsia"/>
          <w:lang w:eastAsia="zh"/>
          <w:woUserID w:val="2"/>
        </w:rPr>
        <w:t>4最佳模型深度分析</w:t>
      </w:r>
      <w:bookmarkEnd w:id="59"/>
    </w:p>
    <w:p w14:paraId="59CE30D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为打破传统回归模型在定价逻辑上的“黑箱”局限，本研究引入 SHAP 框架对 LightGBM 最优模型进行深度审计，并从算法公平性与误差鲁棒性维度进行了全方位评估。</w:t>
      </w:r>
    </w:p>
    <w:p w14:paraId="6821CD0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1</w:t>
      </w:r>
      <w:r>
        <w:rPr>
          <w:rFonts w:hint="eastAsia" w:ascii="宋体" w:hAnsi="宋体" w:eastAsia="宋体" w:cs="宋体"/>
          <w:b/>
          <w:bCs/>
          <w:lang w:val="en-US" w:eastAsia="zh-CN"/>
        </w:rPr>
        <w:t>.</w:t>
      </w:r>
      <w:r>
        <w:rPr>
          <w:rFonts w:hint="default" w:ascii="宋体" w:hAnsi="宋体" w:eastAsia="宋体" w:cs="宋体"/>
          <w:b/>
          <w:bCs/>
          <w:lang w:val="en-US" w:eastAsia="zh-CN"/>
        </w:rPr>
        <w:t>SHAP 特征归因分析</w:t>
      </w:r>
    </w:p>
    <w:p w14:paraId="63A0202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通过计算特征在 188,533 条样本上的 Shapley 值，本研究量化了各维度特征对模型定价决策的贡献权重（见图 4</w:t>
      </w:r>
      <w:r>
        <w:rPr>
          <w:rFonts w:hint="eastAsia" w:ascii="宋体" w:hAnsi="宋体" w:eastAsia="宋体" w:cs="宋体"/>
          <w:b w:val="0"/>
          <w:bCs w:val="0"/>
          <w:lang w:val="en-US" w:eastAsia="zh-CN"/>
        </w:rPr>
        <w:t>-9</w:t>
      </w:r>
      <w:r>
        <w:rPr>
          <w:rFonts w:hint="default" w:ascii="宋体" w:hAnsi="宋体" w:eastAsia="宋体" w:cs="宋体"/>
          <w:b w:val="0"/>
          <w:bCs w:val="0"/>
          <w:lang w:val="en-US" w:eastAsia="zh-CN"/>
        </w:rPr>
        <w:t>）。</w:t>
      </w:r>
    </w:p>
    <w:p w14:paraId="6F3C218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核心定价驱动因子：hp_per_year（单位年限马力）与 milage（行驶里程）是模型定价的绝对核心。SHAP 排序显示，动力性能指标的贡献度高达0.25，印证了“高性能”是二手车品牌溢价与保值率的关键支撑。</w:t>
      </w:r>
    </w:p>
    <w:p w14:paraId="397C4C3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非线性折旧规律捕获：car_age_squared的高贡献度表明，模型成功捕获了车龄带来的非线性贬值效应。相比之下，accident_status 与 fuel_type 的权重较低，提示在当前市场环境下，物理性能指标对价格的影响力已超越了事故史等辅助信息。</w:t>
      </w:r>
    </w:p>
    <w:p w14:paraId="7E949D0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6A15423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lang w:val="en-US" w:eastAsia="zh-CN"/>
        </w:rPr>
      </w:pPr>
      <w:r>
        <w:drawing>
          <wp:inline distT="0" distB="0" distL="114300" distR="114300">
            <wp:extent cx="5025390" cy="3783330"/>
            <wp:effectExtent l="0" t="0" r="3810" b="127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30"/>
                    <a:stretch>
                      <a:fillRect/>
                    </a:stretch>
                  </pic:blipFill>
                  <pic:spPr>
                    <a:xfrm>
                      <a:off x="0" y="0"/>
                      <a:ext cx="5025390" cy="3783330"/>
                    </a:xfrm>
                    <a:prstGeom prst="rect">
                      <a:avLst/>
                    </a:prstGeom>
                    <a:noFill/>
                    <a:ln>
                      <a:noFill/>
                    </a:ln>
                  </pic:spPr>
                </pic:pic>
              </a:graphicData>
            </a:graphic>
          </wp:inline>
        </w:drawing>
      </w:r>
      <w:r>
        <w:rPr>
          <w:rFonts w:hint="eastAsia" w:ascii="宋体" w:hAnsi="宋体" w:eastAsia="宋体" w:cs="宋体"/>
          <w:lang w:val="en-US" w:eastAsia="zh-CN"/>
        </w:rPr>
        <w:t>-图 4-9-</w:t>
      </w:r>
    </w:p>
    <w:p w14:paraId="32A4BB5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2</w:t>
      </w:r>
      <w:r>
        <w:rPr>
          <w:rFonts w:hint="eastAsia" w:ascii="宋体" w:hAnsi="宋体" w:eastAsia="宋体" w:cs="宋体"/>
          <w:b/>
          <w:bCs/>
          <w:lang w:val="en-US" w:eastAsia="zh-CN"/>
        </w:rPr>
        <w:t>.</w:t>
      </w:r>
      <w:r>
        <w:rPr>
          <w:rFonts w:hint="default" w:ascii="宋体" w:hAnsi="宋体" w:eastAsia="宋体" w:cs="宋体"/>
          <w:b/>
          <w:bCs/>
          <w:lang w:val="en-US" w:eastAsia="zh-CN"/>
        </w:rPr>
        <w:t>特征依赖与交互效应</w:t>
      </w:r>
    </w:p>
    <w:p w14:paraId="3DA2F61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通过依赖图（</w:t>
      </w:r>
      <w:r>
        <w:rPr>
          <w:rFonts w:hint="eastAsia" w:ascii="宋体" w:hAnsi="宋体" w:eastAsia="宋体" w:cs="宋体"/>
          <w:b w:val="0"/>
          <w:bCs w:val="0"/>
          <w:lang w:val="en-US" w:eastAsia="zh-CN"/>
        </w:rPr>
        <w:t>图4-10</w:t>
      </w:r>
      <w:r>
        <w:rPr>
          <w:rFonts w:hint="default" w:ascii="宋体" w:hAnsi="宋体" w:eastAsia="宋体" w:cs="宋体"/>
          <w:b w:val="0"/>
          <w:bCs w:val="0"/>
          <w:lang w:val="en-US" w:eastAsia="zh-CN"/>
        </w:rPr>
        <w:t>），我们进一步揭示了特征与目标变量之间的动态关系：</w:t>
      </w:r>
    </w:p>
    <w:p w14:paraId="0086E74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动力性能的边际效应：hp_per_year 与价格呈现非线性饱和关系。当马力密度达到一定阈值后，其对价格的边际拉升作用逐渐减弱，这符合二手车市场对“高性能”消费的理性定价逻辑。</w:t>
      </w:r>
    </w:p>
    <w:p w14:paraId="2F12167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物理折旧的阶梯效应：milage 与 car_age_squared 的依赖图呈现清晰的负向曲线，准确识别出二手车市场中“前三年大幅贬值、后期趋于平稳”的经典折旧规律，为定价引擎提供了符合行业常识的解释性支撑。</w:t>
      </w:r>
    </w:p>
    <w:p w14:paraId="5CE43C4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3D1929D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lang w:val="en-US" w:eastAsia="zh-CN"/>
        </w:rPr>
      </w:pPr>
      <w:r>
        <w:drawing>
          <wp:inline distT="0" distB="0" distL="114300" distR="114300">
            <wp:extent cx="5025390" cy="3650615"/>
            <wp:effectExtent l="0" t="0" r="3810" b="698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31"/>
                    <a:stretch>
                      <a:fillRect/>
                    </a:stretch>
                  </pic:blipFill>
                  <pic:spPr>
                    <a:xfrm>
                      <a:off x="0" y="0"/>
                      <a:ext cx="5025390" cy="3650615"/>
                    </a:xfrm>
                    <a:prstGeom prst="rect">
                      <a:avLst/>
                    </a:prstGeom>
                    <a:noFill/>
                    <a:ln>
                      <a:noFill/>
                    </a:ln>
                  </pic:spPr>
                </pic:pic>
              </a:graphicData>
            </a:graphic>
          </wp:inline>
        </w:drawing>
      </w:r>
      <w:r>
        <w:rPr>
          <w:rFonts w:hint="eastAsia" w:ascii="宋体" w:hAnsi="宋体" w:eastAsia="宋体" w:cs="宋体"/>
          <w:lang w:val="en-US" w:eastAsia="zh-CN"/>
        </w:rPr>
        <w:t>-图4-10-</w:t>
      </w:r>
    </w:p>
    <w:p w14:paraId="0B17909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eastAsia" w:ascii="宋体" w:hAnsi="宋体" w:eastAsia="宋体" w:cs="宋体"/>
          <w:b/>
          <w:bCs/>
          <w:lang w:val="en-US" w:eastAsia="zh-CN"/>
        </w:rPr>
        <w:t>3.</w:t>
      </w:r>
      <w:r>
        <w:rPr>
          <w:rFonts w:hint="default" w:ascii="宋体" w:hAnsi="宋体" w:eastAsia="宋体" w:cs="宋体"/>
          <w:b/>
          <w:bCs/>
          <w:lang w:val="en-US" w:eastAsia="zh-CN"/>
        </w:rPr>
        <w:t>定价算法的多维度审计</w:t>
      </w:r>
    </w:p>
    <w:p w14:paraId="0286706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本研究构建了包含鲁棒性与公平性测试的审计流水线，对定价引擎进行实战化的测试：</w:t>
      </w:r>
    </w:p>
    <w:p w14:paraId="2FE9ADB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区间定价偏好分析：通过分层审计发现（见表 4</w:t>
      </w:r>
      <w:r>
        <w:rPr>
          <w:rFonts w:hint="eastAsia" w:ascii="宋体" w:hAnsi="宋体" w:eastAsia="宋体" w:cs="宋体"/>
          <w:b w:val="0"/>
          <w:bCs w:val="0"/>
          <w:lang w:val="en-US" w:eastAsia="zh-CN"/>
        </w:rPr>
        <w:t>.4</w:t>
      </w:r>
      <w:r>
        <w:rPr>
          <w:rFonts w:hint="default" w:ascii="宋体" w:hAnsi="宋体" w:eastAsia="宋体" w:cs="宋体"/>
          <w:b w:val="0"/>
          <w:bCs w:val="0"/>
          <w:lang w:val="en-US" w:eastAsia="zh-CN"/>
        </w:rPr>
        <w:t>），模型在“中低端车群（代步与实用车）”中表现出高度的鲁棒性，平均误差率维持在合理范围。而在“顶级豪华超跑（&gt;7.5万）”群体中，MAPE 出现显著波动（40.8%）。这一差异并非单纯算法缺陷，而是反映了超跑市场“低成交量、高价格离散度”的稀缺性特征，此类样本的定价往往由品牌调性与非标属性驱动，超出了基础物理特征的解释范畴。</w:t>
      </w:r>
    </w:p>
    <w:p w14:paraId="0976B4C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表 4</w:t>
      </w:r>
      <w:r>
        <w:rPr>
          <w:rFonts w:hint="eastAsia" w:ascii="宋体" w:hAnsi="宋体" w:eastAsia="宋体" w:cs="宋体"/>
          <w:b w:val="0"/>
          <w:bCs w:val="0"/>
          <w:lang w:val="en-US" w:eastAsia="zh-CN"/>
        </w:rPr>
        <w:t>.4</w:t>
      </w:r>
      <w:r>
        <w:rPr>
          <w:rFonts w:hint="default" w:ascii="宋体" w:hAnsi="宋体" w:eastAsia="宋体" w:cs="宋体"/>
          <w:b w:val="0"/>
          <w:bCs w:val="0"/>
          <w:lang w:val="en-US" w:eastAsia="zh-CN"/>
        </w:rPr>
        <w:t>：定价算法区间公平性审计表</w:t>
      </w:r>
    </w:p>
    <w:tbl>
      <w:tblPr>
        <w:tblStyle w:val="2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0"/>
        <w:gridCol w:w="1430"/>
        <w:gridCol w:w="1846"/>
        <w:gridCol w:w="1846"/>
        <w:gridCol w:w="1445"/>
      </w:tblGrid>
      <w:tr w14:paraId="55A32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2928D4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价格区间</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EC90F5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样本量</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083390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平均绝对误差 MAE (元)</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541A62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平均残差 MeanResidual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B72EB6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MAPE</w:t>
            </w:r>
          </w:p>
        </w:tc>
      </w:tr>
      <w:tr w14:paraId="48B51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DB9716D">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低端代步车 (&lt;1.5万)</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44C7F5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39,717</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055E2B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4,648.49</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FF0E9E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-3,529.86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9BA693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59.62%</w:t>
            </w:r>
          </w:p>
        </w:tc>
      </w:tr>
      <w:tr w14:paraId="28C79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E1EAFCC">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中端实用车 (1.5-3.5万)</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97BC5C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67,441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AE83EC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8,135.18</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04C1C2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-3,712.58</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61B93F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33.35%</w:t>
            </w:r>
          </w:p>
        </w:tc>
      </w:tr>
      <w:tr w14:paraId="0348C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09EB06C">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高档轻奢车 (3.5-7.5万)</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95BCDE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60,782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D6E02C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12,334.31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AF3FAA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725.72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88BD05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24.57%</w:t>
            </w:r>
          </w:p>
        </w:tc>
      </w:tr>
      <w:tr w14:paraId="41597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3085DCD">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顶级豪华超跑 (&gt;7.5万)</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33B9A5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20,593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00BDBD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85,024.67</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2771A0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81,618.13</w:t>
            </w:r>
          </w:p>
        </w:tc>
        <w:tc>
          <w:tcPr>
            <w:tcW w:w="0" w:type="auto"/>
            <w:shd w:val="clear" w:color="auto" w:fill="auto"/>
            <w:vAlign w:val="center"/>
          </w:tcPr>
          <w:p w14:paraId="60177E2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40.83%</w:t>
            </w:r>
          </w:p>
        </w:tc>
      </w:tr>
    </w:tbl>
    <w:p w14:paraId="36A25EF4">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p>
    <w:p w14:paraId="1BFDF3B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品牌保值率差异评估：审计报告显示（见</w:t>
      </w:r>
      <w:r>
        <w:rPr>
          <w:rFonts w:hint="eastAsia" w:ascii="宋体" w:hAnsi="宋体" w:eastAsia="宋体" w:cs="宋体"/>
          <w:b w:val="0"/>
          <w:bCs w:val="0"/>
          <w:lang w:val="en-US" w:eastAsia="zh-CN"/>
        </w:rPr>
        <w:t>表4.5</w:t>
      </w:r>
      <w:r>
        <w:rPr>
          <w:rFonts w:hint="default" w:ascii="宋体" w:hAnsi="宋体" w:eastAsia="宋体" w:cs="宋体"/>
          <w:b w:val="0"/>
          <w:bCs w:val="0"/>
          <w:lang w:val="en-US" w:eastAsia="zh-CN"/>
        </w:rPr>
        <w:t>），模型在不同品牌间的残差分布存在细微偏向。其中 Mercedes-Benz 的 MAPE 略高于 Ford 与 Chevrolet，这一发现直观揭示了不同品牌在二手车流转市场中的溢价差异，为后续引入“品牌保值因子”作为调权项提供了直接的数据支撑。</w:t>
      </w:r>
    </w:p>
    <w:p w14:paraId="76AE647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表 4</w:t>
      </w:r>
      <w:r>
        <w:rPr>
          <w:rFonts w:hint="eastAsia" w:ascii="宋体" w:hAnsi="宋体" w:eastAsia="宋体" w:cs="宋体"/>
          <w:b w:val="0"/>
          <w:bCs w:val="0"/>
          <w:lang w:val="en-US" w:eastAsia="zh-CN"/>
        </w:rPr>
        <w:t>.5</w:t>
      </w:r>
      <w:r>
        <w:rPr>
          <w:rFonts w:hint="default" w:ascii="宋体" w:hAnsi="宋体" w:eastAsia="宋体" w:cs="宋体"/>
          <w:b w:val="0"/>
          <w:bCs w:val="0"/>
          <w:lang w:val="en-US" w:eastAsia="zh-CN"/>
        </w:rPr>
        <w:t>：品牌保值率流派算法公平性评估 (前5大主流品牌)</w:t>
      </w:r>
    </w:p>
    <w:tbl>
      <w:tblPr>
        <w:tblStyle w:val="2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65"/>
        <w:gridCol w:w="1396"/>
        <w:gridCol w:w="2581"/>
        <w:gridCol w:w="2057"/>
      </w:tblGrid>
      <w:tr w14:paraId="58B7F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8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B73F91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品牌 (Brand)</w:t>
            </w:r>
          </w:p>
        </w:tc>
        <w:tc>
          <w:tcPr>
            <w:tcW w:w="136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7C6A7DD">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样本量</w:t>
            </w:r>
          </w:p>
        </w:tc>
        <w:tc>
          <w:tcPr>
            <w:tcW w:w="255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B8CE7FE">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平均残</w:t>
            </w:r>
            <w:r>
              <w:rPr>
                <w:rFonts w:hint="eastAsia" w:ascii="宋体" w:hAnsi="宋体" w:eastAsia="宋体" w:cs="宋体"/>
                <w:b w:val="0"/>
                <w:bCs w:val="0"/>
                <w:lang w:val="en-US" w:eastAsia="zh-CN"/>
              </w:rPr>
              <w:t xml:space="preserve"> </w:t>
            </w:r>
            <w:r>
              <w:rPr>
                <w:rFonts w:hint="default" w:ascii="宋体" w:hAnsi="宋体" w:eastAsia="宋体" w:cs="宋体"/>
                <w:b w:val="0"/>
                <w:bCs w:val="0"/>
                <w:lang w:val="en-US" w:eastAsia="zh-CN"/>
              </w:rPr>
              <w:t>MeanResidual</w:t>
            </w:r>
          </w:p>
        </w:tc>
        <w:tc>
          <w:tcPr>
            <w:tcW w:w="20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38E51D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MAPE</w:t>
            </w:r>
          </w:p>
        </w:tc>
      </w:tr>
      <w:tr w14:paraId="62B6B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E82C25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Audi</w:t>
            </w:r>
          </w:p>
        </w:tc>
        <w:tc>
          <w:tcPr>
            <w:tcW w:w="136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6E7B6A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10,887</w:t>
            </w:r>
          </w:p>
        </w:tc>
        <w:tc>
          <w:tcPr>
            <w:tcW w:w="255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3B653C5">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5,646.20</w:t>
            </w:r>
          </w:p>
        </w:tc>
        <w:tc>
          <w:tcPr>
            <w:tcW w:w="20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29B477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33.04%</w:t>
            </w:r>
          </w:p>
        </w:tc>
      </w:tr>
      <w:tr w14:paraId="57860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027CC8A">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BMW</w:t>
            </w:r>
          </w:p>
        </w:tc>
        <w:tc>
          <w:tcPr>
            <w:tcW w:w="136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A36DA76">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17,028</w:t>
            </w:r>
          </w:p>
        </w:tc>
        <w:tc>
          <w:tcPr>
            <w:tcW w:w="255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7047DD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5,574.65</w:t>
            </w:r>
          </w:p>
        </w:tc>
        <w:tc>
          <w:tcPr>
            <w:tcW w:w="20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C4DCF3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34.72%</w:t>
            </w:r>
          </w:p>
        </w:tc>
      </w:tr>
      <w:tr w14:paraId="5D9C6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55D818F">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Chevrolet</w:t>
            </w:r>
          </w:p>
        </w:tc>
        <w:tc>
          <w:tcPr>
            <w:tcW w:w="136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72ED28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16,335</w:t>
            </w:r>
          </w:p>
        </w:tc>
        <w:tc>
          <w:tcPr>
            <w:tcW w:w="255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BC7D51B">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6,241.89</w:t>
            </w:r>
          </w:p>
        </w:tc>
        <w:tc>
          <w:tcPr>
            <w:tcW w:w="20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DAF6AFB">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37.32%</w:t>
            </w:r>
          </w:p>
        </w:tc>
      </w:tr>
      <w:tr w14:paraId="0A4EC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43012EF">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Ford</w:t>
            </w:r>
          </w:p>
        </w:tc>
        <w:tc>
          <w:tcPr>
            <w:tcW w:w="136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B56C15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23,088</w:t>
            </w:r>
          </w:p>
        </w:tc>
        <w:tc>
          <w:tcPr>
            <w:tcW w:w="255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EF26BC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5,757.80</w:t>
            </w:r>
          </w:p>
        </w:tc>
        <w:tc>
          <w:tcPr>
            <w:tcW w:w="20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64E96BB">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33.30%</w:t>
            </w:r>
          </w:p>
        </w:tc>
      </w:tr>
      <w:tr w14:paraId="6097E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FDC78C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Mercedes-Benz</w:t>
            </w:r>
          </w:p>
        </w:tc>
        <w:tc>
          <w:tcPr>
            <w:tcW w:w="136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C8BC45E">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19,172</w:t>
            </w:r>
          </w:p>
        </w:tc>
        <w:tc>
          <w:tcPr>
            <w:tcW w:w="2551"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04A0FD5">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8,807.97</w:t>
            </w:r>
          </w:p>
        </w:tc>
        <w:tc>
          <w:tcPr>
            <w:tcW w:w="20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55CAEEA">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38.70%</w:t>
            </w:r>
          </w:p>
        </w:tc>
      </w:tr>
    </w:tbl>
    <w:p w14:paraId="027F3F9D">
      <w:pPr>
        <w:pStyle w:val="20"/>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lang w:val="en-US" w:eastAsia="zh-CN"/>
        </w:rPr>
      </w:pPr>
    </w:p>
    <w:p w14:paraId="13ABE97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eastAsia" w:ascii="宋体" w:hAnsi="宋体" w:eastAsia="宋体" w:cs="宋体"/>
          <w:b/>
          <w:bCs/>
          <w:lang w:val="en-US" w:eastAsia="zh-CN"/>
        </w:rPr>
        <w:t>4.</w:t>
      </w:r>
      <w:r>
        <w:rPr>
          <w:rFonts w:hint="default" w:ascii="宋体" w:hAnsi="宋体" w:eastAsia="宋体" w:cs="宋体"/>
          <w:b/>
          <w:bCs/>
          <w:lang w:val="en-US" w:eastAsia="zh-CN"/>
        </w:rPr>
        <w:t>误差鲁棒性与逻辑验证</w:t>
      </w:r>
    </w:p>
    <w:p w14:paraId="149AAE0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为验证模型推理的逻辑闭环，我们通过单样本 Waterfall 图（见图 4</w:t>
      </w:r>
      <w:r>
        <w:rPr>
          <w:rFonts w:hint="eastAsia" w:ascii="宋体" w:hAnsi="宋体" w:eastAsia="宋体" w:cs="宋体"/>
          <w:b w:val="0"/>
          <w:bCs w:val="0"/>
          <w:lang w:val="en-US" w:eastAsia="zh-CN"/>
        </w:rPr>
        <w:t>-11</w:t>
      </w:r>
      <w:r>
        <w:rPr>
          <w:rFonts w:hint="default" w:ascii="宋体" w:hAnsi="宋体" w:eastAsia="宋体" w:cs="宋体"/>
          <w:b w:val="0"/>
          <w:bCs w:val="0"/>
          <w:lang w:val="en-US" w:eastAsia="zh-CN"/>
        </w:rPr>
        <w:t>）剖析定价全过程：</w:t>
      </w:r>
    </w:p>
    <w:p w14:paraId="5DE2033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动态权重加总机制：实验证实，模型定价并非单一维度的线性映射，而是通过对动力、里程、车龄等 11 个特征的协同加权得出。</w:t>
      </w:r>
    </w:p>
    <w:p w14:paraId="59E4CF3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pPr>
      <w:r>
        <w:rPr>
          <w:rFonts w:hint="default" w:ascii="宋体" w:hAnsi="宋体" w:eastAsia="宋体" w:cs="宋体"/>
          <w:b w:val="0"/>
          <w:bCs w:val="0"/>
          <w:lang w:val="en-US" w:eastAsia="zh-CN"/>
        </w:rPr>
        <w:t>业务局限与应对：实验中记录的 Top-10 极端误差样本主要集中在极少数特定品牌与年份，进一步印证了定价引擎目前存在“保守倾向”——对于非标准化的溢价样本（如改装车、特殊年份款），模型会基于统计规律给出保守的回归预测。</w:t>
      </w:r>
    </w:p>
    <w:p w14:paraId="409BAECB">
      <w:pPr>
        <w:keepNext w:val="0"/>
        <w:keepLines w:val="0"/>
        <w:pageBreakBefore w:val="0"/>
        <w:widowControl w:val="0"/>
        <w:suppressLineNumbers w:val="0"/>
        <w:kinsoku/>
        <w:wordWrap/>
        <w:overflowPunct/>
        <w:topLinePunct w:val="0"/>
        <w:autoSpaceDE/>
        <w:autoSpaceDN/>
        <w:bidi w:val="0"/>
        <w:adjustRightInd/>
        <w:spacing w:before="0" w:beforeAutospacing="0" w:after="160" w:afterAutospacing="0" w:line="360" w:lineRule="auto"/>
        <w:ind w:left="0" w:right="0"/>
        <w:jc w:val="both"/>
        <w:textAlignment w:val="auto"/>
      </w:pPr>
      <w:r>
        <w:drawing>
          <wp:inline distT="0" distB="0" distL="114300" distR="114300">
            <wp:extent cx="5034915" cy="3916680"/>
            <wp:effectExtent l="0" t="0" r="6985" b="7620"/>
            <wp:docPr id="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pic:cNvPicPr>
                      <a:picLocks noChangeAspect="1"/>
                    </pic:cNvPicPr>
                  </pic:nvPicPr>
                  <pic:blipFill>
                    <a:blip r:embed="rId32"/>
                    <a:stretch>
                      <a:fillRect/>
                    </a:stretch>
                  </pic:blipFill>
                  <pic:spPr>
                    <a:xfrm>
                      <a:off x="0" y="0"/>
                      <a:ext cx="5034915" cy="3916680"/>
                    </a:xfrm>
                    <a:prstGeom prst="rect">
                      <a:avLst/>
                    </a:prstGeom>
                    <a:noFill/>
                    <a:ln>
                      <a:noFill/>
                    </a:ln>
                  </pic:spPr>
                </pic:pic>
              </a:graphicData>
            </a:graphic>
          </wp:inline>
        </w:drawing>
      </w:r>
    </w:p>
    <w:p w14:paraId="43F861FC">
      <w:pPr>
        <w:keepNext w:val="0"/>
        <w:keepLines w:val="0"/>
        <w:pageBreakBefore w:val="0"/>
        <w:widowControl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-图4-11-</w:t>
      </w:r>
    </w:p>
    <w:p w14:paraId="756D54AD">
      <w:pPr>
        <w:keepNext w:val="0"/>
        <w:keepLines w:val="0"/>
        <w:pageBreakBefore w:val="0"/>
        <w:widowControl w:val="0"/>
        <w:suppressLineNumbers w:val="0"/>
        <w:kinsoku/>
        <w:wordWrap/>
        <w:overflowPunct/>
        <w:topLinePunct w:val="0"/>
        <w:autoSpaceDE/>
        <w:autoSpaceDN/>
        <w:bidi w:val="0"/>
        <w:adjustRightInd/>
        <w:spacing w:before="0" w:beforeAutospacing="0" w:after="160" w:afterAutospacing="0" w:line="360" w:lineRule="auto"/>
        <w:ind w:left="0" w:right="0"/>
        <w:jc w:val="left"/>
        <w:textAlignment w:val="auto"/>
        <w:rPr>
          <w:rFonts w:hint="eastAsia" w:ascii="宋体" w:hAnsi="宋体" w:eastAsia="宋体" w:cs="宋体"/>
          <w:kern w:val="2"/>
          <w:sz w:val="24"/>
          <w:szCs w:val="24"/>
          <w:lang w:val="en-US" w:eastAsia="zh-CN" w:bidi="ar"/>
          <w:woUserID w:val="2"/>
        </w:rPr>
      </w:pPr>
    </w:p>
    <w:p w14:paraId="24AA4817">
      <w:pPr>
        <w:pStyle w:val="2"/>
        <w:pageBreakBefore w:val="0"/>
        <w:kinsoku/>
        <w:wordWrap/>
        <w:overflowPunct/>
        <w:topLinePunct w:val="0"/>
        <w:autoSpaceDE/>
        <w:autoSpaceDN/>
        <w:bidi w:val="0"/>
        <w:adjustRightInd/>
        <w:spacing w:before="163" w:after="163" w:line="360" w:lineRule="auto"/>
        <w:jc w:val="left"/>
        <w:textAlignment w:val="auto"/>
        <w:rPr>
          <w:rFonts w:hint="eastAsia"/>
          <w:lang w:eastAsia="zh"/>
          <w:woUserID w:val="2"/>
        </w:rPr>
      </w:pPr>
      <w:bookmarkStart w:id="60" w:name="_Toc1496"/>
      <w:r>
        <w:rPr>
          <w:rFonts w:hint="eastAsia"/>
          <w:lang w:eastAsia="zh"/>
          <w:woUserID w:val="2"/>
        </w:rPr>
        <w:t>5结果分析与决策优化</w:t>
      </w:r>
      <w:bookmarkEnd w:id="60"/>
    </w:p>
    <w:p w14:paraId="79F0970E">
      <w:pPr>
        <w:pageBreakBefore w:val="0"/>
        <w:kinsoku/>
        <w:wordWrap/>
        <w:overflowPunct/>
        <w:topLinePunct w:val="0"/>
        <w:autoSpaceDE/>
        <w:autoSpaceDN/>
        <w:bidi w:val="0"/>
        <w:adjustRightInd/>
        <w:spacing w:line="360" w:lineRule="auto"/>
        <w:textAlignment w:val="auto"/>
        <w:rPr>
          <w:rFonts w:hint="eastAsia"/>
          <w:lang w:eastAsia="zh"/>
        </w:rPr>
      </w:pPr>
    </w:p>
    <w:p w14:paraId="0617E3BD">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ascii="宋体" w:hAnsi="宋体" w:eastAsia="宋体" w:cs="宋体"/>
          <w:sz w:val="24"/>
          <w:szCs w:val="24"/>
          <w:lang w:val="en-US"/>
          <w:woUserID w:val="2"/>
        </w:rPr>
      </w:pPr>
      <w:bookmarkStart w:id="61" w:name="_Toc20841"/>
      <w:r>
        <w:rPr>
          <w:rFonts w:hint="eastAsia"/>
          <w:lang w:eastAsia="zh"/>
          <w:woUserID w:val="2"/>
        </w:rPr>
        <w:t>5</w:t>
      </w:r>
      <w:r>
        <w:rPr>
          <w:woUserID w:val="2"/>
        </w:rPr>
        <w:t>.1</w:t>
      </w:r>
      <w:r>
        <w:rPr>
          <w:rFonts w:hint="eastAsia"/>
          <w:lang w:eastAsia="zh"/>
          <w:woUserID w:val="2"/>
        </w:rPr>
        <w:t>预测结果分析</w:t>
      </w:r>
      <w:bookmarkEnd w:id="61"/>
    </w:p>
    <w:p w14:paraId="09F2BA6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本研究采用 LightGBM 模型对二手车价格进行回归预测。通过 5 折分层交叉验证（5-Fold Stratified CV），模型在全量数据集上表现出良好的整体拟合性能，关键评价指标如下：</w:t>
      </w:r>
      <m:oMath>
        <m:sSup>
          <m:sSupPr>
            <m:ctrlPr>
              <w:rPr>
                <w:rFonts w:hint="default" w:ascii="Cambria Math" w:hAnsi="Cambria Math" w:eastAsia="宋体"/>
                <w:sz w:val="24"/>
              </w:rPr>
            </m:ctrlPr>
          </m:sSupPr>
          <m:e>
            <m:r>
              <m:rPr/>
              <w:rPr>
                <w:rFonts w:hint="default" w:ascii="Cambria Math" w:hAnsi="Cambria Math" w:eastAsia="宋体"/>
                <w:sz w:val="24"/>
              </w:rPr>
              <m:t>R</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default" w:ascii="宋体" w:hAnsi="宋体" w:eastAsia="宋体" w:cs="宋体"/>
          <w:b w:val="0"/>
          <w:bCs w:val="0"/>
          <w:lang w:val="en-US" w:eastAsia="zh-CN"/>
        </w:rPr>
        <w:t xml:space="preserve"> 得分为 0.6623，平均绝对误差（MAE）为 17,190 元，均方根误差（RMSE）为 73,360 元，平均绝对百分比误差（MAPE）为 37.0%。</w:t>
      </w:r>
    </w:p>
    <w:p w14:paraId="7A8B4C8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1</w:t>
      </w:r>
      <w:r>
        <w:rPr>
          <w:rFonts w:hint="eastAsia" w:ascii="宋体" w:hAnsi="宋体" w:eastAsia="宋体" w:cs="宋体"/>
          <w:b/>
          <w:bCs/>
          <w:lang w:val="en-US" w:eastAsia="zh-CN"/>
        </w:rPr>
        <w:t>.</w:t>
      </w:r>
      <w:r>
        <w:rPr>
          <w:rFonts w:hint="default" w:ascii="宋体" w:hAnsi="宋体" w:eastAsia="宋体" w:cs="宋体"/>
          <w:b/>
          <w:bCs/>
          <w:lang w:val="en-US" w:eastAsia="zh-CN"/>
        </w:rPr>
        <w:t>预测值与真实值的拟合分析</w:t>
      </w:r>
    </w:p>
    <w:p w14:paraId="79E5CD5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如“预测 vs 实际”散点图</w:t>
      </w:r>
      <w:r>
        <w:rPr>
          <w:rFonts w:hint="eastAsia" w:ascii="宋体" w:hAnsi="宋体" w:eastAsia="宋体" w:cs="宋体"/>
          <w:b w:val="0"/>
          <w:bCs w:val="0"/>
          <w:lang w:val="en-US" w:eastAsia="zh-CN"/>
        </w:rPr>
        <w:t>（图5-1）</w:t>
      </w:r>
      <w:r>
        <w:rPr>
          <w:rFonts w:hint="default" w:ascii="宋体" w:hAnsi="宋体" w:eastAsia="宋体" w:cs="宋体"/>
          <w:b w:val="0"/>
          <w:bCs w:val="0"/>
          <w:lang w:val="en-US" w:eastAsia="zh-CN"/>
        </w:rPr>
        <w:t xml:space="preserve">所示，模型在低价位区间（&lt; 50,000 元）的预测点紧密围绕 </w:t>
      </w:r>
      <m:oMath>
        <m:r>
          <m:rPr/>
          <w:rPr>
            <w:rFonts w:hint="default" w:ascii="Cambria Math" w:hAnsi="Cambria Math" w:eastAsia="宋体"/>
            <w:sz w:val="24"/>
          </w:rPr>
          <m:t>y=x</m:t>
        </m:r>
      </m:oMath>
      <w:r>
        <w:rPr>
          <w:rFonts w:hint="default" w:ascii="宋体" w:hAnsi="宋体" w:eastAsia="宋体" w:cs="宋体"/>
          <w:b w:val="0"/>
          <w:bCs w:val="0"/>
          <w:lang w:val="en-US" w:eastAsia="zh-CN"/>
        </w:rPr>
        <w:t>拟合线分布，表明模型能够有效捕获绝大多数主流代步车及家用车的折旧规律。残差分布图显示残差呈现右偏特征，即均值大于 0，意味着模型在定价时整体趋于保守，对于高端车型的溢价识别能力相对较弱。随着真实价格升高（尤其是超过 50,000 元的区间），散点分布逐渐离散，预测的不确定性随之增大。</w:t>
      </w:r>
    </w:p>
    <w:p w14:paraId="72BBA83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pPr>
      <w:r>
        <w:drawing>
          <wp:inline distT="0" distB="0" distL="114300" distR="114300">
            <wp:extent cx="5003165" cy="2111375"/>
            <wp:effectExtent l="0" t="0" r="635" b="952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33"/>
                    <a:stretch>
                      <a:fillRect/>
                    </a:stretch>
                  </pic:blipFill>
                  <pic:spPr>
                    <a:xfrm>
                      <a:off x="0" y="0"/>
                      <a:ext cx="5003165" cy="2111375"/>
                    </a:xfrm>
                    <a:prstGeom prst="rect">
                      <a:avLst/>
                    </a:prstGeom>
                    <a:noFill/>
                    <a:ln>
                      <a:noFill/>
                    </a:ln>
                  </pic:spPr>
                </pic:pic>
              </a:graphicData>
            </a:graphic>
          </wp:inline>
        </w:drawing>
      </w:r>
    </w:p>
    <w:p w14:paraId="698D6DB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eastAsiaTheme="minorEastAsia"/>
          <w:lang w:val="en-US" w:eastAsia="zh-CN"/>
        </w:rPr>
      </w:pPr>
      <w:r>
        <w:rPr>
          <w:rFonts w:hint="eastAsia"/>
          <w:lang w:val="en-US" w:eastAsia="zh-CN"/>
        </w:rPr>
        <w:t>-图5-1-</w:t>
      </w:r>
    </w:p>
    <w:p w14:paraId="5DCDE4C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2</w:t>
      </w:r>
      <w:r>
        <w:rPr>
          <w:rFonts w:hint="eastAsia" w:ascii="宋体" w:hAnsi="宋体" w:eastAsia="宋体" w:cs="宋体"/>
          <w:b/>
          <w:bCs/>
          <w:lang w:val="en-US" w:eastAsia="zh-CN"/>
        </w:rPr>
        <w:t>.</w:t>
      </w:r>
      <w:r>
        <w:rPr>
          <w:rFonts w:hint="default" w:ascii="宋体" w:hAnsi="宋体" w:eastAsia="宋体" w:cs="宋体"/>
          <w:b/>
          <w:bCs/>
          <w:lang w:val="en-US" w:eastAsia="zh-CN"/>
        </w:rPr>
        <w:t>价格区间与算法公平性评估</w:t>
      </w:r>
    </w:p>
    <w:p w14:paraId="0A9BBBF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为了探究模型在不同消费层级的适配性，本研究对样本进行了分层区间分析（见图 5-2）。</w:t>
      </w:r>
    </w:p>
    <w:p w14:paraId="5994D6A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拟合表现差异：模型在“中端实用车（1.5-3.5万）”区间表现最为稳健，MAPE 仅为 33.7%。在“低端代步车（&lt;1.5万）”区间，虽然 MAE 仅为 4,670 元，但 MAPE 高达 60.0%，这表明由于车价基数极低，微小的绝对偏差也会导致较大的百分比误差，属于预测中的正常波动。</w:t>
      </w:r>
    </w:p>
    <w:p w14:paraId="3CD5757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高价区间的局限：在“顶级豪华超跑（&gt;7.5万）”区间，模型展现出极大的预测难度，MAE 高达 85,238 元。这说明在极高端市场，车辆价值不再单纯取决于车龄与里程等物理特征，更多受品牌限量性、收藏价值及市场热度等高维非结构化因素驱动，超出了当前物理特征集的解释边界。</w:t>
      </w:r>
    </w:p>
    <w:p w14:paraId="1A1BD07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pPr>
      <w:r>
        <w:drawing>
          <wp:inline distT="0" distB="0" distL="114300" distR="114300">
            <wp:extent cx="4999355" cy="1595120"/>
            <wp:effectExtent l="0" t="0" r="4445" b="508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34"/>
                    <a:stretch>
                      <a:fillRect/>
                    </a:stretch>
                  </pic:blipFill>
                  <pic:spPr>
                    <a:xfrm>
                      <a:off x="0" y="0"/>
                      <a:ext cx="4999355" cy="1595120"/>
                    </a:xfrm>
                    <a:prstGeom prst="rect">
                      <a:avLst/>
                    </a:prstGeom>
                    <a:noFill/>
                    <a:ln>
                      <a:noFill/>
                    </a:ln>
                  </pic:spPr>
                </pic:pic>
              </a:graphicData>
            </a:graphic>
          </wp:inline>
        </w:drawing>
      </w:r>
    </w:p>
    <w:p w14:paraId="506AFA8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eastAsiaTheme="minorEastAsia"/>
          <w:lang w:val="en-US" w:eastAsia="zh-CN"/>
        </w:rPr>
      </w:pPr>
      <w:r>
        <w:rPr>
          <w:rFonts w:hint="eastAsia"/>
          <w:lang w:val="en-US" w:eastAsia="zh-CN"/>
        </w:rPr>
        <w:t>-图5-2-</w:t>
      </w:r>
    </w:p>
    <w:p w14:paraId="66CA797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3</w:t>
      </w:r>
      <w:r>
        <w:rPr>
          <w:rFonts w:hint="eastAsia" w:ascii="宋体" w:hAnsi="宋体" w:eastAsia="宋体" w:cs="宋体"/>
          <w:b/>
          <w:bCs/>
          <w:lang w:val="en-US" w:eastAsia="zh-CN"/>
        </w:rPr>
        <w:t>.</w:t>
      </w:r>
      <w:r>
        <w:rPr>
          <w:rFonts w:hint="default" w:ascii="宋体" w:hAnsi="宋体" w:eastAsia="宋体" w:cs="宋体"/>
          <w:b/>
          <w:bCs/>
          <w:lang w:val="en-US" w:eastAsia="zh-CN"/>
        </w:rPr>
        <w:t>品牌溢价与系统性偏差审计</w:t>
      </w:r>
    </w:p>
    <w:p w14:paraId="1A3B836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通过对品牌残差的进一步深挖（见</w:t>
      </w:r>
      <w:r>
        <w:rPr>
          <w:rFonts w:hint="eastAsia" w:ascii="宋体" w:hAnsi="宋体" w:eastAsia="宋体" w:cs="宋体"/>
          <w:b w:val="0"/>
          <w:bCs w:val="0"/>
          <w:lang w:val="en-US" w:eastAsia="zh-CN"/>
        </w:rPr>
        <w:t>表5.1</w:t>
      </w:r>
      <w:r>
        <w:rPr>
          <w:rFonts w:hint="default" w:ascii="宋体" w:hAnsi="宋体" w:eastAsia="宋体" w:cs="宋体"/>
          <w:b w:val="0"/>
          <w:bCs w:val="0"/>
          <w:lang w:val="en-US" w:eastAsia="zh-CN"/>
        </w:rPr>
        <w:t xml:space="preserve"> Top-10 品牌保值率分析表），我们发现了明显的定价偏离现象：</w:t>
      </w:r>
    </w:p>
    <w:p w14:paraId="2C79F42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高端溢价显著：Lamborghini、Bentley、Rolls-Royce 等豪华品牌的残差项显著为正（MeanResidual 分别高达 44,207、39,667 与 39,220 元），且 MAE 值均远高于平均水平。这表明模型对上述品牌的价格预测存在严重的系统性低估。</w:t>
      </w:r>
    </w:p>
    <w:p w14:paraId="3D48E75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业务启示：这一结果证明模型未能充分建模“豪华品牌溢价因子”。在二手车定价的实际应用中，若直接采纳模型输出作为定价参考，将导致豪车资产被严重低估。因此，建议在后续决策优化中，引入针对顶级豪华品牌的“溢价校准系数”或增加品牌调性特征，以进一步缩小模型在这一细分领域的预测偏差。</w:t>
      </w:r>
    </w:p>
    <w:p w14:paraId="15A60EB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表 4-6：品牌保值率与模型预测偏差审计表 (Top-10 被低估品牌)</w:t>
      </w:r>
    </w:p>
    <w:tbl>
      <w:tblPr>
        <w:tblStyle w:val="2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5"/>
        <w:gridCol w:w="1010"/>
        <w:gridCol w:w="2262"/>
        <w:gridCol w:w="1130"/>
        <w:gridCol w:w="1900"/>
      </w:tblGrid>
      <w:tr w14:paraId="79C45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575103B">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品牌(Brand)</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C692CCB">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样本量</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9A3B54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均残差 (Mean Residual)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D91690D">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MAE(元)</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B7F1E04">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模型解读</w:t>
            </w:r>
          </w:p>
        </w:tc>
      </w:tr>
      <w:tr w14:paraId="263B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B8775AE">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Lamborghini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96811FA">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809</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DB9DFC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44,207</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A49D85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92,958</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78C5A2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被低估 (实际价值更高)</w:t>
            </w:r>
          </w:p>
        </w:tc>
      </w:tr>
      <w:tr w14:paraId="52541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F180BC6">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Bentley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B982FCA">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1,155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9E83ABA">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39,667</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17BBFE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75,379</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C7C6E46">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被低估 (实际价值更高)</w:t>
            </w:r>
          </w:p>
        </w:tc>
      </w:tr>
      <w:tr w14:paraId="07A09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41E8EB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Rolls-Royce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61C279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561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EE4D9D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39,220</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D0B11F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82,025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8B5D93D">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被低估 (实际价值更高)</w:t>
            </w:r>
          </w:p>
        </w:tc>
      </w:tr>
      <w:tr w14:paraId="238EE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CBE0684">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Aston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2B3A56B">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238</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A95166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38,971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9F14914">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62,078</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8766654">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被低估 (实际价值更高)</w:t>
            </w:r>
          </w:p>
        </w:tc>
      </w:tr>
      <w:tr w14:paraId="4185D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E3C431D">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Ferrari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18A91FE">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359</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C71408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33,638</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725B1B9">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69,109</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EEEB5EA">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被低估 (实际价值更高)</w:t>
            </w:r>
          </w:p>
        </w:tc>
      </w:tr>
      <w:tr w14:paraId="55F27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9D42F44">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McLaren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6B2BC1C">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243</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1C76869">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24,708</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06500C6">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63,722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AD20DBA">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被低估 (实际价值更高)</w:t>
            </w:r>
          </w:p>
        </w:tc>
      </w:tr>
      <w:tr w14:paraId="2FA9B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BDFE45F">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Porsche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10A22ED">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10,612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D769A2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14,930</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295CCD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33,225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5FFE7A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被低估 (实际价值更高)</w:t>
            </w:r>
          </w:p>
        </w:tc>
      </w:tr>
      <w:tr w14:paraId="05E31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C9DECA9">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Maserati</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36674E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939</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CAECBF9">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12,414</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4FE1016">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27,302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49C63F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被低估 (实际价值更高)</w:t>
            </w:r>
          </w:p>
        </w:tc>
      </w:tr>
      <w:tr w14:paraId="4D5C0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7980D4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RAM</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EDD74C4">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4,249</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C3CC76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9,632</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048061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20,851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B79F61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被低估 (实际价值更高)</w:t>
            </w:r>
          </w:p>
        </w:tc>
      </w:tr>
      <w:tr w14:paraId="52E89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C7C4C8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Genesis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13C90E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969</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9A1AFEB">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9,281</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337DAE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22,886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5E9F0C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被低估 (实际价值更高)</w:t>
            </w:r>
          </w:p>
        </w:tc>
      </w:tr>
    </w:tbl>
    <w:p w14:paraId="0294275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lang w:val="en-US" w:eastAsia="zh"/>
        </w:rPr>
      </w:pPr>
    </w:p>
    <w:p w14:paraId="101B3980">
      <w:pPr>
        <w:keepNext w:val="0"/>
        <w:keepLines w:val="0"/>
        <w:pageBreakBefore w:val="0"/>
        <w:widowControl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宋体" w:hAnsi="宋体" w:eastAsia="宋体" w:cs="宋体"/>
          <w:kern w:val="2"/>
          <w:sz w:val="24"/>
          <w:szCs w:val="24"/>
          <w:lang w:val="en-US" w:eastAsia="zh" w:bidi="ar"/>
          <w:woUserID w:val="2"/>
        </w:rPr>
      </w:pPr>
    </w:p>
    <w:p w14:paraId="059CEF40">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lang w:eastAsia="zh"/>
          <w:woUserID w:val="2"/>
        </w:rPr>
      </w:pPr>
      <w:bookmarkStart w:id="62" w:name="_Toc7450"/>
      <w:r>
        <w:rPr>
          <w:rFonts w:hint="eastAsia"/>
          <w:lang w:eastAsia="zh"/>
          <w:woUserID w:val="2"/>
        </w:rPr>
        <w:t>5</w:t>
      </w:r>
      <w:r>
        <w:rPr>
          <w:woUserID w:val="2"/>
        </w:rPr>
        <w:t>.</w:t>
      </w:r>
      <w:r>
        <w:rPr>
          <w:rFonts w:hint="eastAsia"/>
          <w:lang w:eastAsia="zh"/>
          <w:woUserID w:val="2"/>
        </w:rPr>
        <w:t>2</w:t>
      </w:r>
      <w:r>
        <w:rPr>
          <w:rFonts w:hint="eastAsia"/>
          <w:lang w:val="en-US" w:eastAsia="zh-CN"/>
          <w:woUserID w:val="2"/>
        </w:rPr>
        <w:t>业务</w:t>
      </w:r>
      <w:r>
        <w:rPr>
          <w:rFonts w:hint="eastAsia"/>
          <w:lang w:eastAsia="zh"/>
          <w:woUserID w:val="2"/>
        </w:rPr>
        <w:t>建议</w:t>
      </w:r>
      <w:bookmarkEnd w:id="62"/>
    </w:p>
    <w:p w14:paraId="38829DF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本研究通过对二手车交易数据的深度挖掘，不仅构建了高精度的定价引擎，更从数理层面揭示了市场流转背后的价值逻辑。基于SHAP归因分析、品牌保值率审计及分层预测表现，本研究提出以下业务优化建议：</w:t>
      </w:r>
    </w:p>
    <w:p w14:paraId="13F7215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1</w:t>
      </w:r>
      <w:r>
        <w:rPr>
          <w:rFonts w:hint="eastAsia" w:ascii="宋体" w:hAnsi="宋体" w:eastAsia="宋体" w:cs="宋体"/>
          <w:b/>
          <w:bCs/>
          <w:lang w:val="en-US" w:eastAsia="zh-CN"/>
        </w:rPr>
        <w:t>.</w:t>
      </w:r>
      <w:r>
        <w:rPr>
          <w:rFonts w:hint="default" w:ascii="宋体" w:hAnsi="宋体" w:eastAsia="宋体" w:cs="宋体"/>
          <w:b/>
          <w:bCs/>
          <w:lang w:val="en-US" w:eastAsia="zh-CN"/>
        </w:rPr>
        <w:t>基于价值驱动的定价引擎优化策略</w:t>
      </w:r>
    </w:p>
    <w:p w14:paraId="23218C5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模型审计结果显示</w:t>
      </w:r>
      <w:r>
        <w:rPr>
          <w:rFonts w:hint="eastAsia" w:ascii="宋体" w:hAnsi="宋体" w:eastAsia="宋体" w:cs="宋体"/>
          <w:b w:val="0"/>
          <w:bCs w:val="0"/>
          <w:lang w:val="en-US" w:eastAsia="zh-CN"/>
        </w:rPr>
        <w:t>（图 5-3）</w:t>
      </w:r>
      <w:r>
        <w:rPr>
          <w:rFonts w:hint="default" w:ascii="宋体" w:hAnsi="宋体" w:eastAsia="宋体" w:cs="宋体"/>
          <w:b w:val="0"/>
          <w:bCs w:val="0"/>
          <w:lang w:val="en-US" w:eastAsia="zh-CN"/>
        </w:rPr>
        <w:t>，hp_per_year（单位年限马力） 与 milage（行驶里程）共同贡献了定价逻辑的42%以上权重。这表明二手车价值的核心锚点在于“动力系统的健康程度”与“使用强度”。</w:t>
      </w:r>
    </w:p>
    <w:p w14:paraId="4E5B36B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动态定价权重调整：建议将定价引擎从“静态属性依赖”升级为“动态强度依赖”。例如，针对低里程（&lt;3万英里）车辆，每千英里里程贬值高达$334，模型应根据该斜率自动上调其残值系数；而对于高里程（&gt;8万英里）车辆，定价权重应向动力维护历史倾斜。</w:t>
      </w:r>
    </w:p>
    <w:p w14:paraId="34DC11A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业务落地：在平台展示页，应优先强化展示“年均行驶里程”指标，引导买卖双方基于物理损耗而非简单“出厂年份”进行对等议价。</w:t>
      </w:r>
    </w:p>
    <w:p w14:paraId="4395E1D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pPr>
      <w:r>
        <w:drawing>
          <wp:inline distT="0" distB="0" distL="114300" distR="114300">
            <wp:extent cx="4995545" cy="1847215"/>
            <wp:effectExtent l="0" t="0" r="8255" b="698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35"/>
                    <a:stretch>
                      <a:fillRect/>
                    </a:stretch>
                  </pic:blipFill>
                  <pic:spPr>
                    <a:xfrm>
                      <a:off x="0" y="0"/>
                      <a:ext cx="4995545" cy="1847215"/>
                    </a:xfrm>
                    <a:prstGeom prst="rect">
                      <a:avLst/>
                    </a:prstGeom>
                    <a:noFill/>
                    <a:ln>
                      <a:noFill/>
                    </a:ln>
                  </pic:spPr>
                </pic:pic>
              </a:graphicData>
            </a:graphic>
          </wp:inline>
        </w:drawing>
      </w:r>
    </w:p>
    <w:p w14:paraId="61D61E0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lang w:val="en-US" w:eastAsia="zh-CN"/>
        </w:rPr>
      </w:pPr>
      <w:r>
        <w:rPr>
          <w:rFonts w:hint="eastAsia" w:ascii="宋体" w:hAnsi="宋体" w:eastAsia="宋体" w:cs="宋体"/>
          <w:lang w:val="en-US" w:eastAsia="zh-CN"/>
        </w:rPr>
        <w:t>-图5-3-</w:t>
      </w:r>
    </w:p>
    <w:p w14:paraId="53FD165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2</w:t>
      </w:r>
      <w:r>
        <w:rPr>
          <w:rFonts w:hint="eastAsia" w:ascii="宋体" w:hAnsi="宋体" w:eastAsia="宋体" w:cs="宋体"/>
          <w:b/>
          <w:bCs/>
          <w:lang w:val="en-US" w:eastAsia="zh-CN"/>
        </w:rPr>
        <w:t>.</w:t>
      </w:r>
      <w:r>
        <w:rPr>
          <w:rFonts w:hint="default" w:ascii="宋体" w:hAnsi="宋体" w:eastAsia="宋体" w:cs="宋体"/>
          <w:b/>
          <w:bCs/>
          <w:lang w:val="en-US" w:eastAsia="zh-CN"/>
        </w:rPr>
        <w:t>跨品牌溢价的套利与收购管理</w:t>
      </w:r>
    </w:p>
    <w:p w14:paraId="1E19CC5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品牌保值率审计</w:t>
      </w:r>
      <w:r>
        <w:rPr>
          <w:rFonts w:hint="eastAsia" w:ascii="宋体" w:hAnsi="宋体" w:eastAsia="宋体" w:cs="宋体"/>
          <w:b w:val="0"/>
          <w:bCs w:val="0"/>
          <w:lang w:val="en-US" w:eastAsia="zh-CN"/>
        </w:rPr>
        <w:t>（图5-4）</w:t>
      </w:r>
      <w:r>
        <w:rPr>
          <w:rFonts w:hint="default" w:ascii="宋体" w:hAnsi="宋体" w:eastAsia="宋体" w:cs="宋体"/>
          <w:b w:val="0"/>
          <w:bCs w:val="0"/>
          <w:lang w:val="en-US" w:eastAsia="zh-CN"/>
        </w:rPr>
        <w:t>揭示了定价引擎与市场真实成交价之间的系统性偏差。以 Bentley、Lamborghini、Porsche 为代表的豪华品牌，其模型残差均值为正且均超过 15%，意味着模型在定价时显著低估了这些资产的稀缺性溢价。</w:t>
      </w:r>
    </w:p>
    <w:p w14:paraId="6926D96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收购端：对于模型残差为正的品牌，说明市场溢价高于物理损耗的预期。对于此类车辆，系统应自动提升“收购推荐度”，将其视为高潜力的投资/转售资产。</w:t>
      </w:r>
    </w:p>
    <w:p w14:paraId="1F42C36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销售端：针对系统性高估的品牌，建议在销售端采取“快速流转”策略，通过调整定价算法中的品牌修正系数，实现资产的高效周转，锁定期望收益。</w:t>
      </w:r>
    </w:p>
    <w:p w14:paraId="6B7FEB3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pPr>
      <w:r>
        <w:drawing>
          <wp:inline distT="0" distB="0" distL="114300" distR="114300">
            <wp:extent cx="5015865" cy="2909570"/>
            <wp:effectExtent l="0" t="0" r="635" b="1143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36"/>
                    <a:stretch>
                      <a:fillRect/>
                    </a:stretch>
                  </pic:blipFill>
                  <pic:spPr>
                    <a:xfrm>
                      <a:off x="0" y="0"/>
                      <a:ext cx="5015865" cy="2909570"/>
                    </a:xfrm>
                    <a:prstGeom prst="rect">
                      <a:avLst/>
                    </a:prstGeom>
                    <a:noFill/>
                    <a:ln>
                      <a:noFill/>
                    </a:ln>
                  </pic:spPr>
                </pic:pic>
              </a:graphicData>
            </a:graphic>
          </wp:inline>
        </w:drawing>
      </w:r>
    </w:p>
    <w:p w14:paraId="0B570B8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lang w:val="en-US" w:eastAsia="zh-CN"/>
        </w:rPr>
      </w:pPr>
      <w:r>
        <w:rPr>
          <w:rFonts w:hint="eastAsia" w:ascii="宋体" w:hAnsi="宋体" w:eastAsia="宋体" w:cs="宋体"/>
          <w:b w:val="0"/>
          <w:bCs w:val="0"/>
          <w:lang w:val="en-US" w:eastAsia="zh-CN"/>
        </w:rPr>
        <w:t>-图5-4-</w:t>
      </w:r>
    </w:p>
    <w:p w14:paraId="583FFAC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3</w:t>
      </w:r>
      <w:r>
        <w:rPr>
          <w:rFonts w:hint="eastAsia" w:ascii="宋体" w:hAnsi="宋体" w:eastAsia="宋体" w:cs="宋体"/>
          <w:b/>
          <w:bCs/>
          <w:lang w:val="en-US" w:eastAsia="zh-CN"/>
        </w:rPr>
        <w:t>.</w:t>
      </w:r>
      <w:r>
        <w:rPr>
          <w:rFonts w:hint="default" w:ascii="宋体" w:hAnsi="宋体" w:eastAsia="宋体" w:cs="宋体"/>
          <w:b/>
          <w:bCs/>
          <w:lang w:val="en-US" w:eastAsia="zh-CN"/>
        </w:rPr>
        <w:t>差异化分层定价体系</w:t>
      </w:r>
    </w:p>
    <w:p w14:paraId="235F359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基于不同价格区间的模型鲁棒性差异，建议采取“模型自治 + 人工复核”的分类治理模式，以实现交易效率与风险控制的最优平衡：</w:t>
      </w:r>
    </w:p>
    <w:p w14:paraId="385DEB7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自治定价区（3.5万 - 7.5万）：该区间 MAPE 最优（27.0%），模型稳定性高。建议开放 API 接口，实现该区间车辆的完全自动化、实时化定价，从而覆盖约 30% 以上的市场核心交易样本。</w:t>
      </w:r>
    </w:p>
    <w:p w14:paraId="4DA9FE3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辅助定价区（1.5万 - 3.5万）：模型提供建议底价，人工进行轻度复核。该区间为市场流转的中坚力量，系统需侧重于通过模型初筛过滤掉极高残差的异常挂单。</w:t>
      </w:r>
    </w:p>
    <w:p w14:paraId="3B0B6D5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专家评估区（&lt;1.5万代步车 &amp; &gt;7.5万豪华车）：</w:t>
      </w:r>
    </w:p>
    <w:p w14:paraId="4422C10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低端区间：因基数低导致的 MAPE 放大（63.6%），系统输出应仅作为参考，主要依赖车况实物评估。</w:t>
      </w:r>
    </w:p>
    <w:p w14:paraId="537D229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kern w:val="2"/>
          <w:sz w:val="24"/>
          <w:szCs w:val="24"/>
          <w:lang w:val="en-US" w:eastAsia="zh" w:bidi="ar"/>
          <w:woUserID w:val="2"/>
        </w:rPr>
      </w:pPr>
      <w:r>
        <w:rPr>
          <w:rFonts w:hint="default" w:ascii="宋体" w:hAnsi="宋体" w:eastAsia="宋体" w:cs="宋体"/>
          <w:b w:val="0"/>
          <w:bCs w:val="0"/>
          <w:lang w:val="en-US" w:eastAsia="zh-CN"/>
        </w:rPr>
        <w:t>高端区间：受限于模型系统性低估（平均低估额度巨大），该类车辆严禁全自动定价。系统应触发“高价预警”，强制转交至资深评估师核验，并将评估师的修正偏差回传至系统，作为后续模型二次修正的反馈循环。</w:t>
      </w:r>
    </w:p>
    <w:p w14:paraId="21AD18F4">
      <w:pPr>
        <w:keepNext w:val="0"/>
        <w:keepLines w:val="0"/>
        <w:pageBreakBefore w:val="0"/>
        <w:widowControl w:val="0"/>
        <w:suppressLineNumbers w:val="0"/>
        <w:kinsoku/>
        <w:wordWrap/>
        <w:overflowPunct/>
        <w:topLinePunct w:val="0"/>
        <w:autoSpaceDE/>
        <w:autoSpaceDN/>
        <w:bidi w:val="0"/>
        <w:adjustRightInd/>
        <w:spacing w:before="0" w:beforeAutospacing="0" w:after="160" w:afterAutospacing="0" w:line="360" w:lineRule="auto"/>
        <w:ind w:left="0" w:right="0"/>
        <w:jc w:val="left"/>
        <w:textAlignment w:val="auto"/>
        <w:rPr>
          <w:rFonts w:hint="eastAsia" w:ascii="Times New Roman" w:hAnsi="Times New Roman" w:eastAsia="宋体" w:cstheme="majorBidi"/>
          <w:b/>
          <w:bCs/>
          <w:kern w:val="2"/>
          <w:sz w:val="28"/>
          <w:szCs w:val="32"/>
          <w:lang w:val="en-US" w:eastAsia="zh-CN" w:bidi="ar-SA"/>
          <w:woUserID w:val="2"/>
        </w:rPr>
      </w:pPr>
    </w:p>
    <w:p w14:paraId="6B50C2D5">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eastAsia"/>
          <w:lang w:val="en-US" w:eastAsia="zh-CN"/>
          <w:woUserID w:val="2"/>
        </w:rPr>
      </w:pPr>
      <w:r>
        <w:rPr>
          <w:rFonts w:hint="eastAsia"/>
          <w:lang w:val="en-US" w:eastAsia="zh-CN"/>
          <w:woUserID w:val="2"/>
        </w:rPr>
        <w:t>5.3 优化方案</w:t>
      </w:r>
    </w:p>
    <w:p w14:paraId="4F457F6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基于对模型性能边界的审计与业务偏差分析，本研究提出“数据增广-架构分层-闭环自修正”的综合优化方案，旨在进一步降低模型残差，提升定价引擎在长尾高价场景下的鲁棒性。</w:t>
      </w:r>
    </w:p>
    <w:p w14:paraId="6FA598D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1</w:t>
      </w:r>
      <w:r>
        <w:rPr>
          <w:rFonts w:hint="eastAsia" w:ascii="宋体" w:hAnsi="宋体" w:eastAsia="宋体" w:cs="宋体"/>
          <w:b/>
          <w:bCs/>
          <w:lang w:val="en-US" w:eastAsia="zh-CN"/>
        </w:rPr>
        <w:t>.</w:t>
      </w:r>
      <w:r>
        <w:rPr>
          <w:rFonts w:hint="default" w:ascii="宋体" w:hAnsi="宋体" w:eastAsia="宋体" w:cs="宋体"/>
          <w:b/>
          <w:bCs/>
          <w:lang w:val="en-US" w:eastAsia="zh-CN"/>
        </w:rPr>
        <w:t>高阶特征工程的动态扩展</w:t>
      </w:r>
    </w:p>
    <w:p w14:paraId="2C932BD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针对当前模型在处理非物理特征（如品牌溢价、市场稀缺性）时的解释力不足，后续优化应从“静态物理特征”转向“多维感知特征”的构建：</w:t>
      </w:r>
    </w:p>
    <w:p w14:paraId="630AC0D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市场热度因子引入：整合平台内“近 30 天同品牌/同车型检索频率”与“平均周转天数”作为特征。该指标能有效量化车型的市场流动性，从而通过数据修正模型对高热度稀缺品牌的低估偏差。</w:t>
      </w:r>
    </w:p>
    <w:p w14:paraId="05CC9E8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非结构化文本的深度挖掘：利用NLP技术对原始车辆描述信息进行情感分析与特征提取，将“车主自述”中隐含的“极品车况”、“改装溢价”等非标信息量化为结构化标签，提升模型对高溢价样本的捕获精度。</w:t>
      </w:r>
    </w:p>
    <w:p w14:paraId="5490503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2</w:t>
      </w:r>
      <w:r>
        <w:rPr>
          <w:rFonts w:hint="eastAsia" w:ascii="宋体" w:hAnsi="宋体" w:eastAsia="宋体" w:cs="宋体"/>
          <w:b/>
          <w:bCs/>
          <w:lang w:val="en-US" w:eastAsia="zh-CN"/>
        </w:rPr>
        <w:t>.</w:t>
      </w:r>
      <w:r>
        <w:rPr>
          <w:rFonts w:hint="default" w:ascii="宋体" w:hAnsi="宋体" w:eastAsia="宋体" w:cs="宋体"/>
          <w:b/>
          <w:bCs/>
          <w:lang w:val="en-US" w:eastAsia="zh-CN"/>
        </w:rPr>
        <w:t>架构分层建模策略</w:t>
      </w:r>
    </w:p>
    <w:p w14:paraId="0DB713C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为了彻底解决低端代步车与高端超跑在定价逻辑上的异质性，系统架构应向“分层模型”演进：</w:t>
      </w:r>
    </w:p>
    <w:p w14:paraId="5AA8827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初筛与归类模型：构建一个轻量级分类器，预先根据品牌调性、车价水位将待评估车辆归入“大众消费组”或“高端收藏组”。</w:t>
      </w:r>
    </w:p>
    <w:p w14:paraId="21E0205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大众消费组：持续沿用 LightGBM 的物理规律拟合方案，强化其对磨损强度（annual_milage）的回归拟合。</w:t>
      </w:r>
    </w:p>
    <w:p w14:paraId="504CE52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高端收藏组：启用全新的定价模型，摒弃简单的线性假设，引入“拍卖历史均价”、“限量生产批次”等非物理指标，专门解决顶级超跑区间 MAPE 较高的问题，实现定价逻辑的因材施教。</w:t>
      </w:r>
    </w:p>
    <w:p w14:paraId="7FB677B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5CBDCBD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bCs/>
          <w:lang w:val="en-US" w:eastAsia="zh-CN"/>
        </w:rPr>
      </w:pPr>
      <w:r>
        <w:rPr>
          <w:rFonts w:hint="default" w:ascii="宋体" w:hAnsi="宋体" w:eastAsia="宋体" w:cs="宋体"/>
          <w:b/>
          <w:bCs/>
          <w:lang w:val="en-US" w:eastAsia="zh-CN"/>
        </w:rPr>
        <w:t>3</w:t>
      </w:r>
      <w:r>
        <w:rPr>
          <w:rFonts w:hint="eastAsia" w:ascii="宋体" w:hAnsi="宋体" w:eastAsia="宋体" w:cs="宋体"/>
          <w:b/>
          <w:bCs/>
          <w:lang w:val="en-US" w:eastAsia="zh-CN"/>
        </w:rPr>
        <w:t>.</w:t>
      </w:r>
      <w:r>
        <w:rPr>
          <w:rFonts w:hint="default" w:ascii="宋体" w:hAnsi="宋体" w:eastAsia="宋体" w:cs="宋体"/>
          <w:b/>
          <w:bCs/>
          <w:lang w:val="en-US" w:eastAsia="zh-CN"/>
        </w:rPr>
        <w:t>自适应闭环反馈系统</w:t>
      </w:r>
    </w:p>
    <w:p w14:paraId="6CE527C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针对模型在极端样本下的保守倾向，建立自修正机制：</w:t>
      </w:r>
    </w:p>
    <w:p w14:paraId="217F216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专家修正反馈流：当系统触发“高价预警”并转由人工评估后，评估师对车型价值的最终修正值将实时存入“偏差补丁库”。系统通过增量训练定期更新补丁库权重，迫使模型在下一轮迭代中学习到评估师的“专家溢价逻辑”。</w:t>
      </w:r>
    </w:p>
    <w:p w14:paraId="4FA25F76">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Times New Roman" w:hAnsi="Times New Roman" w:eastAsia="宋体" w:cstheme="majorBidi"/>
          <w:b/>
          <w:bCs/>
          <w:kern w:val="2"/>
          <w:sz w:val="28"/>
          <w:szCs w:val="32"/>
          <w:lang w:val="en-US" w:eastAsia="zh-CN" w:bidi="ar-SA"/>
          <w:woUserID w:val="2"/>
        </w:rPr>
      </w:pPr>
      <w:r>
        <w:rPr>
          <w:rFonts w:hint="default" w:ascii="宋体" w:hAnsi="宋体" w:eastAsia="宋体" w:cs="宋体"/>
          <w:b w:val="0"/>
          <w:bCs w:val="0"/>
          <w:lang w:val="en-US" w:eastAsia="zh-CN"/>
        </w:rPr>
        <w:t>对抗性训练防范：引入对抗性数据增强手段，模拟市场中常见的恶意挂单或信息录入错误，通过引入扰动数据训练模型的鲁棒性，确保在数据质量不理想的环境下，定价输出依然处于业务可控的置信区间内。</w:t>
      </w:r>
    </w:p>
    <w:p w14:paraId="4EBF3EC0">
      <w:pPr>
        <w:keepNext w:val="0"/>
        <w:keepLines w:val="0"/>
        <w:pageBreakBefore w:val="0"/>
        <w:widowControl w:val="0"/>
        <w:suppressLineNumbers w:val="0"/>
        <w:kinsoku/>
        <w:wordWrap/>
        <w:overflowPunct/>
        <w:topLinePunct w:val="0"/>
        <w:autoSpaceDE/>
        <w:autoSpaceDN/>
        <w:bidi w:val="0"/>
        <w:adjustRightInd/>
        <w:spacing w:before="0" w:beforeAutospacing="0" w:after="160" w:afterAutospacing="0" w:line="360" w:lineRule="auto"/>
        <w:ind w:left="0" w:right="0"/>
        <w:jc w:val="left"/>
        <w:textAlignment w:val="auto"/>
        <w:rPr>
          <w:rFonts w:hint="eastAsia" w:ascii="Times New Roman" w:hAnsi="Times New Roman" w:eastAsia="宋体" w:cstheme="majorBidi"/>
          <w:b/>
          <w:bCs/>
          <w:kern w:val="2"/>
          <w:sz w:val="28"/>
          <w:szCs w:val="32"/>
          <w:lang w:val="en-US" w:eastAsia="zh-CN" w:bidi="ar-SA"/>
          <w:woUserID w:val="2"/>
        </w:rPr>
      </w:pPr>
    </w:p>
    <w:p w14:paraId="38D42A36">
      <w:pPr>
        <w:pStyle w:val="2"/>
        <w:pageBreakBefore w:val="0"/>
        <w:kinsoku/>
        <w:wordWrap/>
        <w:overflowPunct/>
        <w:topLinePunct w:val="0"/>
        <w:autoSpaceDE/>
        <w:autoSpaceDN/>
        <w:bidi w:val="0"/>
        <w:adjustRightInd/>
        <w:spacing w:before="163" w:after="163" w:line="360" w:lineRule="auto"/>
        <w:jc w:val="left"/>
        <w:textAlignment w:val="auto"/>
        <w:rPr>
          <w:rFonts w:hint="eastAsia" w:eastAsia="宋体"/>
          <w:lang w:val="en-US" w:eastAsia="zh-CN"/>
          <w:woUserID w:val="2"/>
        </w:rPr>
      </w:pPr>
      <w:bookmarkStart w:id="63" w:name="_Toc11405"/>
      <w:r>
        <w:rPr>
          <w:rFonts w:hint="eastAsia" w:eastAsia="宋体"/>
          <w:lang w:val="en-US" w:eastAsia="zh-CN"/>
          <w:woUserID w:val="2"/>
        </w:rPr>
        <w:t>6 系统设计与实现</w:t>
      </w:r>
      <w:bookmarkEnd w:id="63"/>
    </w:p>
    <w:p w14:paraId="3E8CEDA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二手车自动定价系统的工程化落地是验证算法模型稳健性与业务适用性的关键环节。本章将详细阐述定价系统的架构设计、推理管线一致性保障、API 接口规范及前端交互实现，旨在构建一套从数据清洗到智能预测的闭环工业级应用系统。</w:t>
      </w:r>
    </w:p>
    <w:p w14:paraId="558A81C0">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default"/>
          <w:lang w:val="en-US" w:eastAsia="zh-CN"/>
          <w:woUserID w:val="2"/>
        </w:rPr>
      </w:pPr>
      <w:r>
        <w:rPr>
          <w:rFonts w:hint="default"/>
          <w:lang w:val="en-US" w:eastAsia="zh-CN"/>
          <w:woUserID w:val="2"/>
        </w:rPr>
        <w:t>6.1 系统架构设计</w:t>
      </w:r>
    </w:p>
    <w:p w14:paraId="23B3B4F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本系统采用轻量级前后端分离的 B/S 三层架构：表现层（Vue 3 + Element Plus）、业务逻辑层（FastAPI + 推理管线）、数据持久层（序列化 Pipeline 对象）。</w:t>
      </w:r>
    </w:p>
    <w:p w14:paraId="4D1ECBE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前后端分离架构的核心优势在于职责解耦：前端专注于交互体验与数据可视化，后端专注于数学逻辑与模型推理。这种设计从根本上避免了传统手动复制特征公式到前端做法中常见的三类错误——特征公式遗漏、标准化参数不匹配及编码映射表不一致。</w:t>
      </w:r>
    </w:p>
    <w:p w14:paraId="6B644D1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表 6-1 推理管线实现方案对比</w:t>
      </w:r>
      <w:r>
        <w:rPr>
          <w:rFonts w:hint="eastAsia" w:ascii="宋体" w:hAnsi="宋体" w:eastAsia="宋体" w:cs="宋体"/>
          <w:b w:val="0"/>
          <w:bCs w:val="0"/>
          <w:lang w:val="en-US" w:eastAsia="zh-CN"/>
        </w:rPr>
        <w: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1"/>
        <w:gridCol w:w="3083"/>
        <w:gridCol w:w="3313"/>
      </w:tblGrid>
      <w:tr w14:paraId="0F2A6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E63232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对比维度</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E64ED5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手动重写特征（常规做法）</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C970819">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Pipeline 序列化复用（本系统）</w:t>
            </w:r>
          </w:p>
        </w:tc>
      </w:tr>
      <w:tr w14:paraId="479C0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F1354B5">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品牌标准化</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843AACE">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需手动维护 4 条规则 + 稀有品牌列表</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6C4313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自动加载 preprocessor 逻辑</w:t>
            </w:r>
          </w:p>
        </w:tc>
      </w:tr>
      <w:tr w14:paraId="5591E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AB1996B">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IQR 截尾边界</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3B3B87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无法获取（需人工硬编码）</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873C395">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自动加载训练期边界</w:t>
            </w:r>
          </w:p>
        </w:tc>
      </w:tr>
      <w:tr w14:paraId="39744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634840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Z-score 参数</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81750FF">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需手动抄写均值与标准差</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D1A7EE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自动加载 scaler 对象参数</w:t>
            </w:r>
          </w:p>
        </w:tc>
      </w:tr>
      <w:tr w14:paraId="042EA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A5FAF09">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目标编码映射</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DC866B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需手动导出映射表</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92B1826">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自动加载训练期映射表</w:t>
            </w:r>
          </w:p>
        </w:tc>
      </w:tr>
      <w:tr w14:paraId="37562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2602B7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特征选择对齐</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393CEE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需手动维护 11 维特征名列表</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BF19A1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自动加</w:t>
            </w:r>
            <w:r>
              <w:rPr>
                <w:rFonts w:hint="eastAsia" w:ascii="宋体" w:hAnsi="宋体" w:eastAsia="宋体" w:cs="宋体"/>
                <w:b w:val="0"/>
                <w:bCs w:val="0"/>
                <w:lang w:val="en-US" w:eastAsia="zh-CN"/>
              </w:rPr>
              <w:t xml:space="preserve"> </w:t>
            </w:r>
            <w:r>
              <w:rPr>
                <w:rFonts w:hint="default" w:ascii="宋体" w:hAnsi="宋体" w:eastAsia="宋体" w:cs="宋体"/>
                <w:b w:val="0"/>
                <w:bCs w:val="0"/>
                <w:lang w:val="en-US" w:eastAsia="zh-CN"/>
              </w:rPr>
              <w:t>feature_names.json</w:t>
            </w:r>
          </w:p>
        </w:tc>
      </w:tr>
      <w:tr w14:paraId="2BB1E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083BFA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一致性保证</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5EFF16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人工核对，易出错</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1F24B6E">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机械保证，无偏差</w:t>
            </w:r>
          </w:p>
        </w:tc>
      </w:tr>
    </w:tbl>
    <w:p w14:paraId="62B9D487">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default"/>
          <w:lang w:val="en-US" w:eastAsia="zh-CN"/>
          <w:woUserID w:val="2"/>
        </w:rPr>
      </w:pPr>
      <w:r>
        <w:rPr>
          <w:rFonts w:hint="default"/>
          <w:lang w:val="en-US" w:eastAsia="zh-CN"/>
          <w:woUserID w:val="2"/>
        </w:rPr>
        <w:t>6.2 推理管线一致性设计</w:t>
      </w:r>
    </w:p>
    <w:p w14:paraId="12C442C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推理管线与训练管线的精确一致性，是本系统区别于常规课程作业的核心设计决策，也是保障预测结果可信度的技术基础。</w:t>
      </w:r>
    </w:p>
    <w:p w14:paraId="55D0BCB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在训练阶段，原始数据依次经过三个 Pipeline 对象完成变换：AdvancedUsedCarPreprocessor → HighScoreFeatureEngineer → FeatureSelector，最终输出 11 维特征矩阵。为保证一致性，本系统在工程中将已拟合对象完全序列化为 pickle 文件（共 6 个），并由 FastAPI 在 lifespan 阶段预加载。表 6-2 概括了核心推理流程及耗时。</w:t>
      </w:r>
    </w:p>
    <w:p w14:paraId="2E338D8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表 6-2 单次预测请求的完整推理流程</w:t>
      </w:r>
      <w:r>
        <w:rPr>
          <w:rFonts w:hint="eastAsia" w:ascii="宋体" w:hAnsi="宋体" w:eastAsia="宋体" w:cs="宋体"/>
          <w:b w:val="0"/>
          <w:bCs w:val="0"/>
          <w:lang w:val="en-US" w:eastAsia="zh-CN"/>
        </w:rPr>
        <w: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5"/>
        <w:gridCol w:w="2271"/>
        <w:gridCol w:w="1354"/>
        <w:gridCol w:w="1892"/>
        <w:gridCol w:w="1445"/>
      </w:tblGrid>
      <w:tr w14:paraId="6F5EF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62A4F2D">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步骤</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1A2382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操作</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4C0E4D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输入</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7EA676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核心输出</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E6A25D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耗时</w:t>
            </w:r>
          </w:p>
        </w:tc>
      </w:tr>
      <w:tr w14:paraId="66D92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A70E1AF">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①</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C20C6C1">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Pydantic 业务校验</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317982F">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JSON 请求体</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8F9C66C">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合规的 Python 对象</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582D1C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&lt;1ms</w:t>
            </w:r>
          </w:p>
        </w:tc>
      </w:tr>
      <w:tr w14:paraId="49555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5202F7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②</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D6729A9">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预处理 transform()</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FC381E0">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原始数据</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D173B49">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标准化后的数据</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24C9F0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~5ms</w:t>
            </w:r>
          </w:p>
        </w:tc>
      </w:tr>
      <w:tr w14:paraId="2047F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2354FD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③</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34A2CB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特征工程 transform()</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98B8DCA">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清洗后数据</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66916F6">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11 维特征矩阵</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C7305C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~10ms</w:t>
            </w:r>
          </w:p>
        </w:tc>
      </w:tr>
      <w:tr w14:paraId="62B1A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2398EB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④</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C68669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LightGBM 推理</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D4D7954">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特征向量</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FC079A5">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对数价格</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0AC156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~5ms</w:t>
            </w:r>
          </w:p>
        </w:tc>
      </w:tr>
      <w:tr w14:paraId="6AEB6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012B78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⑤</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C295E92">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SHAP 归因解释</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EF222A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特征向量</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9C1A6D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Top-5 贡献因子</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D4ABC7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~500ms</w:t>
            </w:r>
          </w:p>
        </w:tc>
      </w:tr>
    </w:tbl>
    <w:p w14:paraId="39A2232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该流程确保了当模型需要升级或调整特征维度时，业务代码无需任何改动，仅需更新序列化对象文件即可实现系统自动同步。</w:t>
      </w:r>
    </w:p>
    <w:p w14:paraId="11BE412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p>
    <w:p w14:paraId="57042522">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default"/>
          <w:lang w:val="en-US" w:eastAsia="zh-CN"/>
          <w:woUserID w:val="2"/>
        </w:rPr>
      </w:pPr>
      <w:r>
        <w:rPr>
          <w:rFonts w:hint="default"/>
          <w:lang w:val="en-US" w:eastAsia="zh-CN"/>
          <w:woUserID w:val="2"/>
        </w:rPr>
        <w:t>6.3 后端 API 设计</w:t>
      </w:r>
    </w:p>
    <w:p w14:paraId="231C1A5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后端基于 FastAPI 框架实现。FastAPI 原生支持异步请求处理、基于 Pydantic 的自动请求校验、以及 OpenAPI 规范的交互式文档自动生成。本系统共设计 6 个 RESTful 端点，其功能与规格如表 6-</w:t>
      </w:r>
      <w:r>
        <w:rPr>
          <w:rFonts w:hint="eastAsia" w:ascii="宋体" w:hAnsi="宋体" w:eastAsia="宋体" w:cs="宋体"/>
          <w:b w:val="0"/>
          <w:bCs w:val="0"/>
          <w:lang w:val="en-US" w:eastAsia="zh-CN"/>
        </w:rPr>
        <w:t>3</w:t>
      </w:r>
      <w:r>
        <w:rPr>
          <w:rFonts w:hint="default" w:ascii="宋体" w:hAnsi="宋体" w:eastAsia="宋体" w:cs="宋体"/>
          <w:b w:val="0"/>
          <w:bCs w:val="0"/>
          <w:lang w:val="en-US" w:eastAsia="zh-CN"/>
        </w:rPr>
        <w:t xml:space="preserve"> 所示</w:t>
      </w:r>
      <w:r>
        <w:rPr>
          <w:rFonts w:hint="eastAsia" w:ascii="宋体" w:hAnsi="宋体" w:eastAsia="宋体" w:cs="宋体"/>
          <w:b w:val="0"/>
          <w:bCs w:val="0"/>
          <w:lang w:val="en-US" w:eastAsia="zh-CN"/>
        </w:rPr>
        <w:t>。</w:t>
      </w:r>
    </w:p>
    <w:p w14:paraId="5B19EB50">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系统执行双层校验机制：第一层为 Pydantic 自动类型约束；第二层为 prediction_service 中的业务规则校验（如里程异常预警）。所有预测结果均包含市场分位数估计、SHAP 因子贡献值及自然语言解读，支持用户快速理解定价原因。开发者可通过访问 http://localhost:5174/ 获取交互式调试界面。</w:t>
      </w:r>
    </w:p>
    <w:p w14:paraId="6F532E77">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lang w:val="en-US" w:eastAsia="zh-CN"/>
        </w:rPr>
      </w:pPr>
      <w:r>
        <w:rPr>
          <w:rFonts w:hint="eastAsia" w:ascii="宋体" w:hAnsi="宋体" w:eastAsia="宋体" w:cs="宋体"/>
          <w:b w:val="0"/>
          <w:bCs w:val="0"/>
          <w:lang w:val="en-US" w:eastAsia="zh-CN"/>
        </w:rPr>
        <w:t>-</w:t>
      </w:r>
      <w:r>
        <w:rPr>
          <w:rFonts w:hint="default" w:ascii="宋体" w:hAnsi="宋体" w:eastAsia="宋体" w:cs="宋体"/>
          <w:b w:val="0"/>
          <w:bCs w:val="0"/>
          <w:lang w:val="en-US" w:eastAsia="zh-CN"/>
        </w:rPr>
        <w:t>表 6-</w:t>
      </w:r>
      <w:r>
        <w:rPr>
          <w:rFonts w:hint="eastAsia" w:ascii="宋体" w:hAnsi="宋体" w:eastAsia="宋体" w:cs="宋体"/>
          <w:b w:val="0"/>
          <w:bCs w:val="0"/>
          <w:lang w:val="en-US" w:eastAsia="zh-CN"/>
        </w:rPr>
        <w:t>3</w:t>
      </w:r>
      <w:r>
        <w:rPr>
          <w:rFonts w:hint="default" w:ascii="宋体" w:hAnsi="宋体" w:eastAsia="宋体" w:cs="宋体"/>
          <w:b w:val="0"/>
          <w:bCs w:val="0"/>
          <w:lang w:val="en-US" w:eastAsia="zh-CN"/>
        </w:rPr>
        <w:t xml:space="preserve"> API 端点功能说明表</w:t>
      </w:r>
      <w:r>
        <w:rPr>
          <w:rFonts w:hint="eastAsia" w:ascii="宋体" w:hAnsi="宋体" w:eastAsia="宋体" w:cs="宋体"/>
          <w:b w:val="0"/>
          <w:bCs w:val="0"/>
          <w:lang w:val="en-US" w:eastAsia="zh-CN"/>
        </w:rPr>
        <w: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5"/>
        <w:gridCol w:w="2270"/>
        <w:gridCol w:w="1429"/>
        <w:gridCol w:w="3023"/>
      </w:tblGrid>
      <w:tr w14:paraId="3B149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B4DA50C">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方法</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D93FB8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路径</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5AE1CD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功能</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BCC2C6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核心说明</w:t>
            </w:r>
          </w:p>
        </w:tc>
      </w:tr>
      <w:tr w14:paraId="6DD67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340DCF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GET</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EA77B48">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/api/health</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18F4CF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系统监控</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BD9D72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返回应用运行状态</w:t>
            </w:r>
          </w:p>
        </w:tc>
      </w:tr>
      <w:tr w14:paraId="36096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39B5719">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GET</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A6B7FFA">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/api/brands</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C580EA5">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品牌信息初始化</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B86F0AB">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获取系统支持的 57 个主流品牌</w:t>
            </w:r>
          </w:p>
        </w:tc>
      </w:tr>
      <w:tr w14:paraId="71BB0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41F600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GET</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E9AA62B">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/api/models</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84817FA">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联动车型查询</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A3527D5">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根据品牌参数动态加载车型列表</w:t>
            </w:r>
          </w:p>
        </w:tc>
      </w:tr>
      <w:tr w14:paraId="42CFD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98CCD7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POST</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157AF9E">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/api/predict</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7C64D5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定价推理</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F81B24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接收车辆 JSON 特征，返回预测值与 SHAP 归因</w:t>
            </w:r>
          </w:p>
        </w:tc>
      </w:tr>
      <w:tr w14:paraId="6E436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FB0A1F5">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POST</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DE6FE94">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/api/validate</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A317D13">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业务参数校验</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949B938">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执行业务合规检查（不执行预测）</w:t>
            </w:r>
          </w:p>
        </w:tc>
      </w:tr>
    </w:tbl>
    <w:p w14:paraId="7280A317">
      <w:pPr>
        <w:pStyle w:val="20"/>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lang w:val="en-US" w:eastAsia="zh-CN"/>
        </w:rPr>
      </w:pPr>
    </w:p>
    <w:p w14:paraId="0FE5877F">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default"/>
          <w:lang w:val="en-US" w:eastAsia="zh-CN"/>
          <w:woUserID w:val="2"/>
        </w:rPr>
      </w:pPr>
      <w:r>
        <w:rPr>
          <w:rFonts w:hint="default"/>
          <w:lang w:val="en-US" w:eastAsia="zh-CN"/>
          <w:woUserID w:val="2"/>
        </w:rPr>
        <w:t>6.4 前端界面设计</w:t>
      </w:r>
    </w:p>
    <w:p w14:paraId="2C41A691">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前端基于 Vue 3 Composition API 构建，采用左右双栏布局。左侧输入面板提供联动式表单，右侧结果面板直观展示估价核心信息</w:t>
      </w:r>
      <w:r>
        <w:rPr>
          <w:rFonts w:hint="eastAsia" w:ascii="宋体" w:hAnsi="宋体" w:eastAsia="宋体" w:cs="宋体"/>
          <w:b w:val="0"/>
          <w:bCs w:val="0"/>
          <w:lang w:val="en-US" w:eastAsia="zh-CN"/>
        </w:rPr>
        <w:t>(如 图6-1)</w:t>
      </w:r>
      <w:r>
        <w:rPr>
          <w:rFonts w:hint="default" w:ascii="宋体" w:hAnsi="宋体" w:eastAsia="宋体" w:cs="宋体"/>
          <w:b w:val="0"/>
          <w:bCs w:val="0"/>
          <w:lang w:val="en-US" w:eastAsia="zh-CN"/>
        </w:rPr>
        <w:t>。</w:t>
      </w:r>
    </w:p>
    <w:p w14:paraId="76C53812">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lang w:val="en-US" w:eastAsia="zh-CN"/>
        </w:rPr>
      </w:pPr>
      <w:r>
        <w:rPr>
          <w:rFonts w:hint="default" w:ascii="宋体" w:hAnsi="宋体" w:eastAsia="宋体" w:cs="宋体"/>
          <w:b w:val="0"/>
          <w:bCs w:val="0"/>
          <w:lang w:val="en-US" w:eastAsia="zh-CN"/>
        </w:rPr>
        <w:t>SHAP 可视化采用纯 CSS 水平条形图实现，动态反映 Top-5 特征对预测价格的影响。绿色条表示正向溢价贡献，红色条表示贬值贡献，视觉设计与数据统计逻辑紧密契合，降低了业务人员对机器学习黑盒模型的理解门槛。</w:t>
      </w:r>
    </w:p>
    <w:p w14:paraId="3830E94D">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lang w:val="en-US" w:eastAsia="zh-CN"/>
        </w:rPr>
      </w:pPr>
      <w:r>
        <w:drawing>
          <wp:inline distT="0" distB="0" distL="114300" distR="114300">
            <wp:extent cx="5036185" cy="4443730"/>
            <wp:effectExtent l="0" t="0" r="5715" b="12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37"/>
                    <a:stretch>
                      <a:fillRect/>
                    </a:stretch>
                  </pic:blipFill>
                  <pic:spPr>
                    <a:xfrm>
                      <a:off x="0" y="0"/>
                      <a:ext cx="5036185" cy="4443730"/>
                    </a:xfrm>
                    <a:prstGeom prst="rect">
                      <a:avLst/>
                    </a:prstGeom>
                    <a:noFill/>
                    <a:ln>
                      <a:noFill/>
                    </a:ln>
                  </pic:spPr>
                </pic:pic>
              </a:graphicData>
            </a:graphic>
          </wp:inline>
        </w:drawing>
      </w:r>
      <w:bookmarkStart w:id="75" w:name="_GoBack"/>
      <w:bookmarkEnd w:id="75"/>
      <w:r>
        <w:rPr>
          <w:rFonts w:hint="eastAsia" w:ascii="宋体" w:hAnsi="宋体" w:eastAsia="宋体" w:cs="宋体"/>
          <w:lang w:val="en-US" w:eastAsia="zh-CN"/>
        </w:rPr>
        <w:t>-图6-1-</w:t>
      </w:r>
    </w:p>
    <w:p w14:paraId="21192430">
      <w:pPr>
        <w:pStyle w:val="3"/>
        <w:pageBreakBefore w:val="0"/>
        <w:kinsoku/>
        <w:wordWrap/>
        <w:overflowPunct/>
        <w:topLinePunct w:val="0"/>
        <w:autoSpaceDE/>
        <w:autoSpaceDN/>
        <w:bidi w:val="0"/>
        <w:adjustRightInd/>
        <w:spacing w:before="0" w:beforeLines="0" w:after="0" w:afterLines="0" w:line="360" w:lineRule="auto"/>
        <w:jc w:val="left"/>
        <w:textAlignment w:val="auto"/>
        <w:rPr>
          <w:rFonts w:hint="default"/>
          <w:lang w:val="en-US" w:eastAsia="zh-CN"/>
          <w:woUserID w:val="2"/>
        </w:rPr>
      </w:pPr>
      <w:r>
        <w:rPr>
          <w:rFonts w:hint="default"/>
          <w:lang w:val="en-US" w:eastAsia="zh-CN"/>
          <w:woUserID w:val="2"/>
        </w:rPr>
        <w:t>6.5 部署与运行</w:t>
      </w:r>
    </w:p>
    <w:p w14:paraId="7D6235A3">
      <w:pPr>
        <w:pStyle w:val="20"/>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kern w:val="2"/>
          <w:sz w:val="24"/>
          <w:szCs w:val="24"/>
          <w:lang w:val="en-US" w:eastAsia="zh" w:bidi="ar"/>
          <w:woUserID w:val="2"/>
        </w:rPr>
      </w:pPr>
      <w:r>
        <w:rPr>
          <w:rFonts w:hint="default" w:ascii="宋体" w:hAnsi="宋体" w:eastAsia="宋体" w:cs="宋体"/>
          <w:b w:val="0"/>
          <w:bCs w:val="0"/>
          <w:lang w:val="en-US" w:eastAsia="zh-CN"/>
        </w:rPr>
        <w:t>系统采用独立进程启动方案。后端通过 uvicorn 提供 API 服务，前端通过 Vite 构建开发环境。得益于 uv 包管理工具的高效支持，系统环境搭建可实现自动化部署。在性能方面，系统单样本预测端到端耗时在 550ms 以内（包含 SHAP 解释计算），足以满足实时估价的业务需求。该架构不仅支持本地开发运行，亦可通过 Docker 容器化或 Nginx 反向代理轻松迁移至生产环境。</w:t>
      </w:r>
    </w:p>
    <w:p w14:paraId="69604239">
      <w:pPr>
        <w:keepNext w:val="0"/>
        <w:keepLines w:val="0"/>
        <w:pageBreakBefore w:val="0"/>
        <w:widowControl w:val="0"/>
        <w:suppressLineNumbers w:val="0"/>
        <w:kinsoku/>
        <w:wordWrap/>
        <w:overflowPunct/>
        <w:topLinePunct w:val="0"/>
        <w:autoSpaceDE/>
        <w:autoSpaceDN/>
        <w:bidi w:val="0"/>
        <w:adjustRightInd/>
        <w:spacing w:before="0" w:beforeAutospacing="0" w:after="160" w:afterAutospacing="0" w:line="360" w:lineRule="auto"/>
        <w:ind w:left="0" w:right="0"/>
        <w:jc w:val="center"/>
        <w:textAlignment w:val="auto"/>
        <w:rPr>
          <w:rFonts w:hint="eastAsia" w:ascii="宋体" w:hAnsi="宋体" w:eastAsia="宋体" w:cs="宋体"/>
          <w:kern w:val="2"/>
          <w:sz w:val="24"/>
          <w:szCs w:val="24"/>
          <w:lang w:val="en-US" w:eastAsia="zh" w:bidi="ar"/>
          <w:woUserID w:val="2"/>
        </w:rPr>
      </w:pPr>
    </w:p>
    <w:p w14:paraId="7E62949E">
      <w:pPr>
        <w:pageBreakBefore w:val="0"/>
        <w:tabs>
          <w:tab w:val="left" w:pos="420"/>
        </w:tabs>
        <w:kinsoku/>
        <w:wordWrap/>
        <w:overflowPunct/>
        <w:topLinePunct w:val="0"/>
        <w:autoSpaceDE/>
        <w:autoSpaceDN/>
        <w:bidi w:val="0"/>
        <w:adjustRightInd/>
        <w:spacing w:before="163" w:beforeLines="50" w:after="163" w:afterLines="50" w:line="360" w:lineRule="auto"/>
        <w:jc w:val="center"/>
        <w:textAlignment w:val="auto"/>
        <w:outlineLvl w:val="0"/>
        <w:rPr>
          <w:rFonts w:ascii="Times New Roman" w:hAnsi="Times New Roman" w:eastAsia="宋体" w:cs="Times New Roman"/>
          <w:b/>
          <w:bCs/>
          <w:kern w:val="44"/>
          <w:sz w:val="30"/>
          <w:szCs w:val="44"/>
        </w:rPr>
      </w:pPr>
      <w:bookmarkStart w:id="64" w:name="_Toc28052"/>
      <w:r>
        <w:rPr>
          <w:rFonts w:ascii="Times New Roman" w:hAnsi="Times New Roman" w:eastAsia="宋体" w:cs="Times New Roman"/>
          <w:b/>
          <w:bCs/>
          <w:kern w:val="44"/>
          <w:sz w:val="30"/>
          <w:szCs w:val="44"/>
        </w:rPr>
        <w:t>参考文献</w:t>
      </w:r>
      <w:bookmarkEnd w:id="64"/>
    </w:p>
    <w:p w14:paraId="6A32BE18">
      <w:pPr>
        <w:pStyle w:val="34"/>
        <w:pageBreakBefore w:val="0"/>
        <w:widowControl/>
        <w:numPr>
          <w:ilvl w:val="0"/>
          <w:numId w:val="1"/>
        </w:numPr>
        <w:kinsoku/>
        <w:wordWrap/>
        <w:overflowPunct/>
        <w:topLinePunct w:val="0"/>
        <w:autoSpaceDE/>
        <w:autoSpaceDN/>
        <w:bidi w:val="0"/>
        <w:adjustRightInd/>
        <w:spacing w:line="360" w:lineRule="auto"/>
        <w:ind w:firstLineChars="0"/>
        <w:textAlignment w:val="auto"/>
        <w:rPr>
          <w:rFonts w:ascii="Times New Roman" w:hAnsi="Times New Roman"/>
          <w:sz w:val="21"/>
          <w:szCs w:val="21"/>
        </w:rPr>
      </w:pPr>
      <w:r>
        <w:rPr>
          <w:rFonts w:hint="eastAsia" w:ascii="宋体" w:hAnsi="宋体" w:eastAsia="宋体" w:cs="宋体"/>
          <w:sz w:val="21"/>
          <w:szCs w:val="21"/>
        </w:rPr>
        <w:t xml:space="preserve">Bishop, C. M. (2006). </w:t>
      </w:r>
      <w:r>
        <w:rPr>
          <w:rFonts w:hint="eastAsia" w:ascii="宋体" w:hAnsi="宋体" w:eastAsia="宋体" w:cs="宋体"/>
          <w:i/>
          <w:iCs/>
          <w:sz w:val="21"/>
          <w:szCs w:val="21"/>
        </w:rPr>
        <w:t>Pattern Recognition and Machine Learning</w:t>
      </w:r>
      <w:r>
        <w:rPr>
          <w:rFonts w:hint="eastAsia" w:ascii="宋体" w:hAnsi="宋体" w:eastAsia="宋体" w:cs="宋体"/>
          <w:sz w:val="21"/>
          <w:szCs w:val="21"/>
        </w:rPr>
        <w:t>. Springer.</w:t>
      </w:r>
    </w:p>
    <w:p w14:paraId="7085C4A3">
      <w:pPr>
        <w:pStyle w:val="34"/>
        <w:pageBreakBefore w:val="0"/>
        <w:widowControl/>
        <w:numPr>
          <w:ilvl w:val="0"/>
          <w:numId w:val="1"/>
        </w:numPr>
        <w:kinsoku/>
        <w:wordWrap/>
        <w:overflowPunct/>
        <w:topLinePunct w:val="0"/>
        <w:autoSpaceDE/>
        <w:autoSpaceDN/>
        <w:bidi w:val="0"/>
        <w:adjustRightInd/>
        <w:spacing w:line="360" w:lineRule="auto"/>
        <w:ind w:firstLineChars="0"/>
        <w:textAlignment w:val="auto"/>
        <w:rPr>
          <w:rFonts w:ascii="Times New Roman" w:hAnsi="Times New Roman"/>
          <w:sz w:val="21"/>
          <w:szCs w:val="21"/>
        </w:rPr>
      </w:pPr>
      <w:r>
        <w:rPr>
          <w:rFonts w:hint="eastAsia" w:ascii="宋体" w:hAnsi="宋体" w:eastAsia="宋体" w:cs="宋体"/>
          <w:sz w:val="21"/>
          <w:szCs w:val="21"/>
        </w:rPr>
        <w:t xml:space="preserve">Pedregosa, F., et al. (2011). Scikit-learn: Machine learning in Python. </w:t>
      </w:r>
      <w:r>
        <w:rPr>
          <w:rFonts w:hint="eastAsia" w:ascii="宋体" w:hAnsi="宋体" w:eastAsia="宋体" w:cs="宋体"/>
          <w:i/>
          <w:iCs/>
          <w:sz w:val="21"/>
          <w:szCs w:val="21"/>
        </w:rPr>
        <w:t>Journal of Machine Learning Research</w:t>
      </w:r>
      <w:r>
        <w:rPr>
          <w:rFonts w:hint="eastAsia" w:ascii="宋体" w:hAnsi="宋体" w:eastAsia="宋体" w:cs="宋体"/>
          <w:sz w:val="21"/>
          <w:szCs w:val="21"/>
        </w:rPr>
        <w:t>, 12, 2825-2830.</w:t>
      </w:r>
    </w:p>
    <w:p w14:paraId="1CE0B82C">
      <w:pPr>
        <w:pStyle w:val="34"/>
        <w:pageBreakBefore w:val="0"/>
        <w:widowControl/>
        <w:numPr>
          <w:ilvl w:val="0"/>
          <w:numId w:val="1"/>
        </w:numPr>
        <w:kinsoku/>
        <w:wordWrap/>
        <w:overflowPunct/>
        <w:topLinePunct w:val="0"/>
        <w:autoSpaceDE/>
        <w:autoSpaceDN/>
        <w:bidi w:val="0"/>
        <w:adjustRightInd/>
        <w:spacing w:line="360" w:lineRule="auto"/>
        <w:ind w:firstLineChars="0"/>
        <w:textAlignment w:val="auto"/>
        <w:rPr>
          <w:rFonts w:ascii="Times New Roman" w:hAnsi="Times New Roman"/>
          <w:szCs w:val="24"/>
        </w:rPr>
      </w:pPr>
      <w:r>
        <w:rPr>
          <w:rFonts w:hint="eastAsia" w:ascii="宋体" w:hAnsi="宋体" w:eastAsia="宋体" w:cs="宋体"/>
          <w:sz w:val="21"/>
          <w:szCs w:val="21"/>
        </w:rPr>
        <w:t xml:space="preserve">Prokhorenkova, L., et al. (2018). CatBoost: unbiased boosting with categorical features. </w:t>
      </w:r>
      <w:r>
        <w:rPr>
          <w:rFonts w:hint="eastAsia" w:ascii="宋体" w:hAnsi="宋体" w:eastAsia="宋体" w:cs="宋体"/>
          <w:i/>
          <w:iCs/>
          <w:sz w:val="21"/>
          <w:szCs w:val="21"/>
        </w:rPr>
        <w:t>Advances in Neural Information Processing Systems</w:t>
      </w:r>
      <w:r>
        <w:rPr>
          <w:rFonts w:hint="eastAsia" w:ascii="宋体" w:hAnsi="宋体" w:eastAsia="宋体" w:cs="宋体"/>
          <w:sz w:val="21"/>
          <w:szCs w:val="21"/>
        </w:rPr>
        <w:t>, 31.</w:t>
      </w:r>
      <w:r>
        <w:rPr>
          <w:sz w:val="21"/>
          <w:szCs w:val="21"/>
        </w:rPr>
        <w:t>.</w:t>
      </w:r>
      <w:r>
        <w:rPr>
          <w:rFonts w:ascii="Times New Roman" w:hAnsi="Times New Roman"/>
          <w:szCs w:val="24"/>
        </w:rPr>
        <w:br w:type="page"/>
      </w:r>
    </w:p>
    <w:p w14:paraId="74062089">
      <w:pPr>
        <w:pageBreakBefore w:val="0"/>
        <w:tabs>
          <w:tab w:val="left" w:pos="420"/>
        </w:tabs>
        <w:kinsoku/>
        <w:wordWrap/>
        <w:overflowPunct/>
        <w:topLinePunct w:val="0"/>
        <w:autoSpaceDE/>
        <w:autoSpaceDN/>
        <w:bidi w:val="0"/>
        <w:adjustRightInd/>
        <w:spacing w:before="163" w:beforeLines="50" w:after="163" w:afterLines="50" w:line="360" w:lineRule="auto"/>
        <w:jc w:val="center"/>
        <w:textAlignment w:val="auto"/>
        <w:outlineLvl w:val="0"/>
        <w:rPr>
          <w:rFonts w:ascii="Times New Roman" w:hAnsi="Times New Roman"/>
          <w:b/>
          <w:bCs/>
          <w:color w:val="000000"/>
          <w:sz w:val="30"/>
        </w:rPr>
      </w:pPr>
      <w:bookmarkStart w:id="65" w:name="_Toc18316"/>
      <w:bookmarkStart w:id="66" w:name="_Toc97230298"/>
      <w:bookmarkStart w:id="67" w:name="_Hlk101976733"/>
      <w:r>
        <w:rPr>
          <w:rFonts w:hint="eastAsia" w:ascii="Times New Roman" w:hAnsi="Times New Roman"/>
          <w:b/>
          <w:bCs/>
          <w:color w:val="000000"/>
          <w:sz w:val="30"/>
        </w:rPr>
        <w:t>附录</w:t>
      </w:r>
      <w:bookmarkEnd w:id="65"/>
    </w:p>
    <w:bookmarkEnd w:id="66"/>
    <w:bookmarkEnd w:id="67"/>
    <w:p w14:paraId="4E6B2ECB">
      <w:pPr>
        <w:pageBreakBefore w:val="0"/>
        <w:tabs>
          <w:tab w:val="left" w:pos="420"/>
        </w:tabs>
        <w:kinsoku/>
        <w:wordWrap/>
        <w:overflowPunct/>
        <w:topLinePunct w:val="0"/>
        <w:autoSpaceDE/>
        <w:autoSpaceDN/>
        <w:bidi w:val="0"/>
        <w:adjustRightInd/>
        <w:spacing w:before="163" w:beforeLines="50" w:after="163" w:afterLines="50" w:line="360" w:lineRule="auto"/>
        <w:jc w:val="left"/>
        <w:textAlignment w:val="auto"/>
        <w:outlineLvl w:val="0"/>
        <w:rPr>
          <w:rFonts w:hint="eastAsia" w:ascii="Times New Roman" w:hAnsi="Times New Roman"/>
          <w:b/>
          <w:bCs/>
          <w:color w:val="000000"/>
          <w:sz w:val="30"/>
        </w:rPr>
      </w:pPr>
    </w:p>
    <w:sectPr>
      <w:headerReference r:id="rId7" w:type="default"/>
      <w:footerReference r:id="rId8" w:type="default"/>
      <w:pgSz w:w="11906" w:h="16838"/>
      <w:pgMar w:top="1701" w:right="1701" w:bottom="1531" w:left="1701" w:header="1134" w:footer="1134" w:gutter="567"/>
      <w:pgNumType w:start="1"/>
      <w:cols w:space="425" w:num="1"/>
      <w:docGrid w:type="linesAndChar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黑体简体">
    <w:altName w:val="Arial Unicode MS"/>
    <w:panose1 w:val="020B0604020202020204"/>
    <w:charset w:val="86"/>
    <w:family w:val="script"/>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EBD6D0B">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9377561"/>
      <w:docPartObj>
        <w:docPartGallery w:val="autotext"/>
      </w:docPartObj>
    </w:sdtPr>
    <w:sdtContent>
      <w:p w14:paraId="5131AFB9">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1244139"/>
      <w:docPartObj>
        <w:docPartGallery w:val="autotext"/>
      </w:docPartObj>
    </w:sdtPr>
    <w:sdtEndPr>
      <w:rPr>
        <w:rFonts w:ascii="Times New Roman" w:hAnsi="Times New Roman" w:cs="Times New Roman"/>
      </w:rPr>
    </w:sdtEndPr>
    <w:sdtContent>
      <w:p w14:paraId="7C99E180">
        <w:pPr>
          <w:pStyle w:val="14"/>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E7601">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5D231">
    <w:pPr>
      <w:pStyle w:val="15"/>
      <w:pBdr>
        <w:bottom w:val="none" w:color="auto" w:sz="0" w:space="0"/>
      </w:pBdr>
      <w:jc w:val="both"/>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3BCE6">
    <w:pPr>
      <w:pBdr>
        <w:bottom w:val="single" w:color="auto" w:sz="4" w:space="1"/>
      </w:pBdr>
      <w:snapToGrid w:val="0"/>
      <w:jc w:val="center"/>
      <w:rPr>
        <w:rFonts w:ascii="Times New Roman" w:hAnsi="Times New Roman" w:eastAsia="宋体" w:cs="Times New Roman"/>
        <w:sz w:val="20"/>
        <w:szCs w:val="20"/>
      </w:rPr>
    </w:pPr>
    <w:bookmarkStart w:id="68" w:name="OLE_LINK2"/>
    <w:bookmarkStart w:id="69" w:name="_Hlk100912345"/>
    <w:bookmarkStart w:id="70" w:name="_Hlk100912344"/>
    <w:bookmarkStart w:id="71" w:name="OLE_LINK1"/>
    <w:bookmarkStart w:id="72" w:name="_Hlk100912386"/>
    <w:bookmarkStart w:id="73" w:name="_Hlk101956946"/>
    <w:bookmarkStart w:id="74" w:name="_Hlk100912387"/>
    <w:r>
      <w:rPr>
        <w:rFonts w:hint="eastAsia" w:ascii="Times New Roman" w:hAnsi="Times New Roman" w:eastAsia="宋体" w:cs="Times New Roman"/>
        <w:sz w:val="21"/>
        <w:szCs w:val="21"/>
      </w:rPr>
      <w:t>江西财经大学普通本科毕业论文</w:t>
    </w:r>
    <w:bookmarkEnd w:id="68"/>
    <w:bookmarkEnd w:id="69"/>
    <w:bookmarkEnd w:id="70"/>
    <w:bookmarkEnd w:id="71"/>
    <w:bookmarkEnd w:id="72"/>
    <w:bookmarkEnd w:id="73"/>
    <w:bookmarkEnd w:id="7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DA36ED"/>
    <w:multiLevelType w:val="multilevel"/>
    <w:tmpl w:val="1BDA36E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2MTA3MDgwYjI0NjI5MjhiNTNlMzFkY2NkNzA1M2MifQ=="/>
  </w:docVars>
  <w:rsids>
    <w:rsidRoot w:val="0094298D"/>
    <w:rsid w:val="00010E78"/>
    <w:rsid w:val="00021A39"/>
    <w:rsid w:val="00031B6C"/>
    <w:rsid w:val="00035178"/>
    <w:rsid w:val="00036C5E"/>
    <w:rsid w:val="000467AC"/>
    <w:rsid w:val="00054CCD"/>
    <w:rsid w:val="00055BD0"/>
    <w:rsid w:val="00064266"/>
    <w:rsid w:val="000657BD"/>
    <w:rsid w:val="000729F0"/>
    <w:rsid w:val="00075AC5"/>
    <w:rsid w:val="00077128"/>
    <w:rsid w:val="00086179"/>
    <w:rsid w:val="000870A3"/>
    <w:rsid w:val="000A3AB1"/>
    <w:rsid w:val="000A40CA"/>
    <w:rsid w:val="000E3953"/>
    <w:rsid w:val="000E7F6C"/>
    <w:rsid w:val="000F2FBC"/>
    <w:rsid w:val="000F77EE"/>
    <w:rsid w:val="00102945"/>
    <w:rsid w:val="00104710"/>
    <w:rsid w:val="00107AF5"/>
    <w:rsid w:val="0011593F"/>
    <w:rsid w:val="00116B0B"/>
    <w:rsid w:val="00126EED"/>
    <w:rsid w:val="0015794B"/>
    <w:rsid w:val="00161C7D"/>
    <w:rsid w:val="00164154"/>
    <w:rsid w:val="0016550C"/>
    <w:rsid w:val="001719A7"/>
    <w:rsid w:val="00174C65"/>
    <w:rsid w:val="001B4A2A"/>
    <w:rsid w:val="001B6539"/>
    <w:rsid w:val="001B708F"/>
    <w:rsid w:val="001C5924"/>
    <w:rsid w:val="001D3381"/>
    <w:rsid w:val="001E60B0"/>
    <w:rsid w:val="001E60EC"/>
    <w:rsid w:val="001E7CFA"/>
    <w:rsid w:val="002158E6"/>
    <w:rsid w:val="00222ECD"/>
    <w:rsid w:val="0022514C"/>
    <w:rsid w:val="00226885"/>
    <w:rsid w:val="00230812"/>
    <w:rsid w:val="00232C9C"/>
    <w:rsid w:val="0023633E"/>
    <w:rsid w:val="00240823"/>
    <w:rsid w:val="00240D81"/>
    <w:rsid w:val="002419B9"/>
    <w:rsid w:val="00250D6D"/>
    <w:rsid w:val="0025225F"/>
    <w:rsid w:val="0025683B"/>
    <w:rsid w:val="0026197E"/>
    <w:rsid w:val="0026311D"/>
    <w:rsid w:val="00266D9C"/>
    <w:rsid w:val="00276AEC"/>
    <w:rsid w:val="00277492"/>
    <w:rsid w:val="00280115"/>
    <w:rsid w:val="00280861"/>
    <w:rsid w:val="00283C63"/>
    <w:rsid w:val="00284ECB"/>
    <w:rsid w:val="002A0FBA"/>
    <w:rsid w:val="002A6B48"/>
    <w:rsid w:val="002B210E"/>
    <w:rsid w:val="002B4CC1"/>
    <w:rsid w:val="002C4BDA"/>
    <w:rsid w:val="002D0030"/>
    <w:rsid w:val="002D0CE4"/>
    <w:rsid w:val="002D58C1"/>
    <w:rsid w:val="002D5C65"/>
    <w:rsid w:val="002E0537"/>
    <w:rsid w:val="002E688D"/>
    <w:rsid w:val="002F6139"/>
    <w:rsid w:val="0030045A"/>
    <w:rsid w:val="0030338A"/>
    <w:rsid w:val="00305643"/>
    <w:rsid w:val="00306BD3"/>
    <w:rsid w:val="003128E1"/>
    <w:rsid w:val="003135E4"/>
    <w:rsid w:val="00320B8C"/>
    <w:rsid w:val="003253FA"/>
    <w:rsid w:val="0032585F"/>
    <w:rsid w:val="00325D32"/>
    <w:rsid w:val="00327CA1"/>
    <w:rsid w:val="003312CD"/>
    <w:rsid w:val="00332306"/>
    <w:rsid w:val="00344109"/>
    <w:rsid w:val="00354F6A"/>
    <w:rsid w:val="003615BE"/>
    <w:rsid w:val="00366BEA"/>
    <w:rsid w:val="0037162E"/>
    <w:rsid w:val="003803FC"/>
    <w:rsid w:val="00386CF4"/>
    <w:rsid w:val="00387130"/>
    <w:rsid w:val="00392BD7"/>
    <w:rsid w:val="003952E3"/>
    <w:rsid w:val="003A15A8"/>
    <w:rsid w:val="003C237F"/>
    <w:rsid w:val="003C624F"/>
    <w:rsid w:val="004002E8"/>
    <w:rsid w:val="0042083D"/>
    <w:rsid w:val="004255D7"/>
    <w:rsid w:val="00426BB5"/>
    <w:rsid w:val="004348C7"/>
    <w:rsid w:val="00440C2F"/>
    <w:rsid w:val="00445FAC"/>
    <w:rsid w:val="00447894"/>
    <w:rsid w:val="004520C7"/>
    <w:rsid w:val="00474663"/>
    <w:rsid w:val="00477797"/>
    <w:rsid w:val="0048774F"/>
    <w:rsid w:val="00487FFB"/>
    <w:rsid w:val="00490D4D"/>
    <w:rsid w:val="0049157D"/>
    <w:rsid w:val="00492700"/>
    <w:rsid w:val="00497AE4"/>
    <w:rsid w:val="004A115D"/>
    <w:rsid w:val="004A250F"/>
    <w:rsid w:val="004A7735"/>
    <w:rsid w:val="004B557B"/>
    <w:rsid w:val="004B767D"/>
    <w:rsid w:val="004B7B0F"/>
    <w:rsid w:val="004C243A"/>
    <w:rsid w:val="004C27BD"/>
    <w:rsid w:val="004D403D"/>
    <w:rsid w:val="004E09AA"/>
    <w:rsid w:val="004E2B1D"/>
    <w:rsid w:val="004E6E5E"/>
    <w:rsid w:val="004F43F4"/>
    <w:rsid w:val="004F5F65"/>
    <w:rsid w:val="0050162E"/>
    <w:rsid w:val="00503876"/>
    <w:rsid w:val="005038DF"/>
    <w:rsid w:val="00504F17"/>
    <w:rsid w:val="00516FA4"/>
    <w:rsid w:val="005206C0"/>
    <w:rsid w:val="00522F92"/>
    <w:rsid w:val="00530557"/>
    <w:rsid w:val="0053142C"/>
    <w:rsid w:val="0053371D"/>
    <w:rsid w:val="005376D1"/>
    <w:rsid w:val="005466E4"/>
    <w:rsid w:val="00550E61"/>
    <w:rsid w:val="0057553F"/>
    <w:rsid w:val="005765CE"/>
    <w:rsid w:val="00577AAC"/>
    <w:rsid w:val="00583663"/>
    <w:rsid w:val="00584B39"/>
    <w:rsid w:val="005864B6"/>
    <w:rsid w:val="005A6151"/>
    <w:rsid w:val="005A6481"/>
    <w:rsid w:val="005A70AD"/>
    <w:rsid w:val="005B6883"/>
    <w:rsid w:val="005B7D98"/>
    <w:rsid w:val="005C3F84"/>
    <w:rsid w:val="005C4FD9"/>
    <w:rsid w:val="005C65B1"/>
    <w:rsid w:val="005D0DF4"/>
    <w:rsid w:val="005D5B72"/>
    <w:rsid w:val="005E4D1B"/>
    <w:rsid w:val="005F5EFB"/>
    <w:rsid w:val="006048C0"/>
    <w:rsid w:val="00605626"/>
    <w:rsid w:val="0061025D"/>
    <w:rsid w:val="00610EBF"/>
    <w:rsid w:val="00622EF0"/>
    <w:rsid w:val="00626ABA"/>
    <w:rsid w:val="00641FA7"/>
    <w:rsid w:val="00667F95"/>
    <w:rsid w:val="006713AE"/>
    <w:rsid w:val="00671CEB"/>
    <w:rsid w:val="006745E3"/>
    <w:rsid w:val="00675155"/>
    <w:rsid w:val="00685065"/>
    <w:rsid w:val="006949B5"/>
    <w:rsid w:val="006A173F"/>
    <w:rsid w:val="006A26B3"/>
    <w:rsid w:val="006B11E0"/>
    <w:rsid w:val="006C3D9C"/>
    <w:rsid w:val="006C71D9"/>
    <w:rsid w:val="006C78C3"/>
    <w:rsid w:val="006D3D88"/>
    <w:rsid w:val="006D4B0B"/>
    <w:rsid w:val="006D4DF8"/>
    <w:rsid w:val="006E2156"/>
    <w:rsid w:val="006E5334"/>
    <w:rsid w:val="006F3412"/>
    <w:rsid w:val="006F7D09"/>
    <w:rsid w:val="0070487E"/>
    <w:rsid w:val="00704915"/>
    <w:rsid w:val="00705323"/>
    <w:rsid w:val="00706F20"/>
    <w:rsid w:val="00710F26"/>
    <w:rsid w:val="00716668"/>
    <w:rsid w:val="0072082C"/>
    <w:rsid w:val="0073018F"/>
    <w:rsid w:val="007321E0"/>
    <w:rsid w:val="007324E7"/>
    <w:rsid w:val="007430EA"/>
    <w:rsid w:val="00745371"/>
    <w:rsid w:val="0075561A"/>
    <w:rsid w:val="00757553"/>
    <w:rsid w:val="007712CB"/>
    <w:rsid w:val="00772353"/>
    <w:rsid w:val="007774DC"/>
    <w:rsid w:val="00785CEB"/>
    <w:rsid w:val="0079094A"/>
    <w:rsid w:val="007941CA"/>
    <w:rsid w:val="007948A3"/>
    <w:rsid w:val="007A1D01"/>
    <w:rsid w:val="007A3535"/>
    <w:rsid w:val="007A490F"/>
    <w:rsid w:val="007B4551"/>
    <w:rsid w:val="007B4833"/>
    <w:rsid w:val="007B61A9"/>
    <w:rsid w:val="007C4CD9"/>
    <w:rsid w:val="007D0B6B"/>
    <w:rsid w:val="007D1039"/>
    <w:rsid w:val="00800F8A"/>
    <w:rsid w:val="00814BF3"/>
    <w:rsid w:val="00814F16"/>
    <w:rsid w:val="00817231"/>
    <w:rsid w:val="00817D20"/>
    <w:rsid w:val="00823C76"/>
    <w:rsid w:val="00825C5E"/>
    <w:rsid w:val="008321AF"/>
    <w:rsid w:val="00852452"/>
    <w:rsid w:val="008548A6"/>
    <w:rsid w:val="008574CA"/>
    <w:rsid w:val="008610F1"/>
    <w:rsid w:val="00865DF3"/>
    <w:rsid w:val="0087027A"/>
    <w:rsid w:val="00873704"/>
    <w:rsid w:val="00873D18"/>
    <w:rsid w:val="00874035"/>
    <w:rsid w:val="00874AEA"/>
    <w:rsid w:val="008767E1"/>
    <w:rsid w:val="00880D7B"/>
    <w:rsid w:val="00881F4C"/>
    <w:rsid w:val="00882A0F"/>
    <w:rsid w:val="0088641F"/>
    <w:rsid w:val="00887854"/>
    <w:rsid w:val="00890F8A"/>
    <w:rsid w:val="00892731"/>
    <w:rsid w:val="00894FAA"/>
    <w:rsid w:val="008A3082"/>
    <w:rsid w:val="008A44F7"/>
    <w:rsid w:val="008A4869"/>
    <w:rsid w:val="008B07E0"/>
    <w:rsid w:val="008B0845"/>
    <w:rsid w:val="008B09BF"/>
    <w:rsid w:val="008B5CDB"/>
    <w:rsid w:val="008B74F3"/>
    <w:rsid w:val="008C10C3"/>
    <w:rsid w:val="008C1BDD"/>
    <w:rsid w:val="008D3333"/>
    <w:rsid w:val="008E294B"/>
    <w:rsid w:val="008E58C3"/>
    <w:rsid w:val="008F2524"/>
    <w:rsid w:val="009012CB"/>
    <w:rsid w:val="009012F2"/>
    <w:rsid w:val="009048CA"/>
    <w:rsid w:val="00911CE6"/>
    <w:rsid w:val="00920E9C"/>
    <w:rsid w:val="00924DAB"/>
    <w:rsid w:val="0092786B"/>
    <w:rsid w:val="00933682"/>
    <w:rsid w:val="0094298D"/>
    <w:rsid w:val="009449CF"/>
    <w:rsid w:val="00963BE6"/>
    <w:rsid w:val="00966DE0"/>
    <w:rsid w:val="00967BFA"/>
    <w:rsid w:val="00971ACE"/>
    <w:rsid w:val="00975AED"/>
    <w:rsid w:val="009873CD"/>
    <w:rsid w:val="00996DD1"/>
    <w:rsid w:val="009A0ADD"/>
    <w:rsid w:val="009A15F4"/>
    <w:rsid w:val="009A1C16"/>
    <w:rsid w:val="009A2068"/>
    <w:rsid w:val="009A6846"/>
    <w:rsid w:val="009A6883"/>
    <w:rsid w:val="009A6BF2"/>
    <w:rsid w:val="009A76E4"/>
    <w:rsid w:val="009B01DD"/>
    <w:rsid w:val="009C0A20"/>
    <w:rsid w:val="009C2C39"/>
    <w:rsid w:val="009C5303"/>
    <w:rsid w:val="009C6435"/>
    <w:rsid w:val="009C6C4C"/>
    <w:rsid w:val="009F47E1"/>
    <w:rsid w:val="009F5603"/>
    <w:rsid w:val="00A04949"/>
    <w:rsid w:val="00A14243"/>
    <w:rsid w:val="00A16938"/>
    <w:rsid w:val="00A22AD4"/>
    <w:rsid w:val="00A23CB3"/>
    <w:rsid w:val="00A30630"/>
    <w:rsid w:val="00A33FFE"/>
    <w:rsid w:val="00A44764"/>
    <w:rsid w:val="00A64AAD"/>
    <w:rsid w:val="00A676EA"/>
    <w:rsid w:val="00A73283"/>
    <w:rsid w:val="00A75563"/>
    <w:rsid w:val="00A86696"/>
    <w:rsid w:val="00A91C8F"/>
    <w:rsid w:val="00A93999"/>
    <w:rsid w:val="00A97789"/>
    <w:rsid w:val="00AA63FA"/>
    <w:rsid w:val="00AB38CC"/>
    <w:rsid w:val="00AB6AB8"/>
    <w:rsid w:val="00AE2BCE"/>
    <w:rsid w:val="00AE325F"/>
    <w:rsid w:val="00AF41B1"/>
    <w:rsid w:val="00B00B70"/>
    <w:rsid w:val="00B045F1"/>
    <w:rsid w:val="00B054B4"/>
    <w:rsid w:val="00B1195B"/>
    <w:rsid w:val="00B13920"/>
    <w:rsid w:val="00B21FC9"/>
    <w:rsid w:val="00B24CFD"/>
    <w:rsid w:val="00B257B3"/>
    <w:rsid w:val="00B271C1"/>
    <w:rsid w:val="00B27AC2"/>
    <w:rsid w:val="00B33839"/>
    <w:rsid w:val="00B37176"/>
    <w:rsid w:val="00B37ABA"/>
    <w:rsid w:val="00B476BB"/>
    <w:rsid w:val="00B53E2E"/>
    <w:rsid w:val="00B56F4F"/>
    <w:rsid w:val="00B57426"/>
    <w:rsid w:val="00B57DF5"/>
    <w:rsid w:val="00B70F18"/>
    <w:rsid w:val="00B83BF0"/>
    <w:rsid w:val="00B84ED2"/>
    <w:rsid w:val="00B962E3"/>
    <w:rsid w:val="00BA4003"/>
    <w:rsid w:val="00BA5059"/>
    <w:rsid w:val="00BA7A18"/>
    <w:rsid w:val="00BB02DE"/>
    <w:rsid w:val="00BB62EE"/>
    <w:rsid w:val="00BC007F"/>
    <w:rsid w:val="00BC0E05"/>
    <w:rsid w:val="00BD61F8"/>
    <w:rsid w:val="00BE03EF"/>
    <w:rsid w:val="00BE142E"/>
    <w:rsid w:val="00BE4BBD"/>
    <w:rsid w:val="00BE74A0"/>
    <w:rsid w:val="00BF5041"/>
    <w:rsid w:val="00C0221B"/>
    <w:rsid w:val="00C221F5"/>
    <w:rsid w:val="00C22715"/>
    <w:rsid w:val="00C2571E"/>
    <w:rsid w:val="00C3350F"/>
    <w:rsid w:val="00C406F9"/>
    <w:rsid w:val="00C514CC"/>
    <w:rsid w:val="00C54466"/>
    <w:rsid w:val="00C617CD"/>
    <w:rsid w:val="00C63511"/>
    <w:rsid w:val="00C81B39"/>
    <w:rsid w:val="00C84C84"/>
    <w:rsid w:val="00C9167B"/>
    <w:rsid w:val="00C967E1"/>
    <w:rsid w:val="00CA6278"/>
    <w:rsid w:val="00CC234C"/>
    <w:rsid w:val="00CC3D37"/>
    <w:rsid w:val="00CC4A4E"/>
    <w:rsid w:val="00CC6CEA"/>
    <w:rsid w:val="00CC7703"/>
    <w:rsid w:val="00CD0DD2"/>
    <w:rsid w:val="00CD2151"/>
    <w:rsid w:val="00CD35F0"/>
    <w:rsid w:val="00CE26E1"/>
    <w:rsid w:val="00CF4A82"/>
    <w:rsid w:val="00D00731"/>
    <w:rsid w:val="00D0275F"/>
    <w:rsid w:val="00D16571"/>
    <w:rsid w:val="00D21325"/>
    <w:rsid w:val="00D56A27"/>
    <w:rsid w:val="00D618E1"/>
    <w:rsid w:val="00D61DF0"/>
    <w:rsid w:val="00D630EF"/>
    <w:rsid w:val="00D66157"/>
    <w:rsid w:val="00D66D85"/>
    <w:rsid w:val="00D80265"/>
    <w:rsid w:val="00D92BF1"/>
    <w:rsid w:val="00DA74A5"/>
    <w:rsid w:val="00DB6961"/>
    <w:rsid w:val="00DB7BBD"/>
    <w:rsid w:val="00DC11CF"/>
    <w:rsid w:val="00DC2884"/>
    <w:rsid w:val="00DC2894"/>
    <w:rsid w:val="00DC4281"/>
    <w:rsid w:val="00DF3AC0"/>
    <w:rsid w:val="00DF597D"/>
    <w:rsid w:val="00DF7A7D"/>
    <w:rsid w:val="00E02359"/>
    <w:rsid w:val="00E247BA"/>
    <w:rsid w:val="00E25026"/>
    <w:rsid w:val="00E302F8"/>
    <w:rsid w:val="00E35065"/>
    <w:rsid w:val="00E4730E"/>
    <w:rsid w:val="00E618B3"/>
    <w:rsid w:val="00E61FA3"/>
    <w:rsid w:val="00E63F30"/>
    <w:rsid w:val="00E7100F"/>
    <w:rsid w:val="00E71EB6"/>
    <w:rsid w:val="00E73134"/>
    <w:rsid w:val="00E75F1F"/>
    <w:rsid w:val="00E764FE"/>
    <w:rsid w:val="00E811F4"/>
    <w:rsid w:val="00E81F3C"/>
    <w:rsid w:val="00E868C9"/>
    <w:rsid w:val="00E92B09"/>
    <w:rsid w:val="00EA19DB"/>
    <w:rsid w:val="00EA3C1B"/>
    <w:rsid w:val="00EB012E"/>
    <w:rsid w:val="00EC26A0"/>
    <w:rsid w:val="00ED239E"/>
    <w:rsid w:val="00ED715B"/>
    <w:rsid w:val="00ED73CE"/>
    <w:rsid w:val="00ED7962"/>
    <w:rsid w:val="00EE115C"/>
    <w:rsid w:val="00EE2EB7"/>
    <w:rsid w:val="00EE3B28"/>
    <w:rsid w:val="00EE7A03"/>
    <w:rsid w:val="00EE7B42"/>
    <w:rsid w:val="00F05F6C"/>
    <w:rsid w:val="00F071C1"/>
    <w:rsid w:val="00F136F6"/>
    <w:rsid w:val="00F14FE7"/>
    <w:rsid w:val="00F2173C"/>
    <w:rsid w:val="00F35B9D"/>
    <w:rsid w:val="00F368C2"/>
    <w:rsid w:val="00F513FF"/>
    <w:rsid w:val="00F65E22"/>
    <w:rsid w:val="00F66345"/>
    <w:rsid w:val="00F73CFD"/>
    <w:rsid w:val="00F80F5F"/>
    <w:rsid w:val="00F82DF0"/>
    <w:rsid w:val="00F96F25"/>
    <w:rsid w:val="00FA0CB8"/>
    <w:rsid w:val="00FB2122"/>
    <w:rsid w:val="00FB2FF7"/>
    <w:rsid w:val="00FC18C8"/>
    <w:rsid w:val="00FC1D51"/>
    <w:rsid w:val="00FC4DFE"/>
    <w:rsid w:val="00FD0CD2"/>
    <w:rsid w:val="00FD72E5"/>
    <w:rsid w:val="00FD7F29"/>
    <w:rsid w:val="00FE1D48"/>
    <w:rsid w:val="00FF32F8"/>
    <w:rsid w:val="00FF7E98"/>
    <w:rsid w:val="017B785A"/>
    <w:rsid w:val="02C65128"/>
    <w:rsid w:val="04D34972"/>
    <w:rsid w:val="056F3438"/>
    <w:rsid w:val="05913F06"/>
    <w:rsid w:val="05E266CE"/>
    <w:rsid w:val="07252E71"/>
    <w:rsid w:val="07AB2831"/>
    <w:rsid w:val="08575103"/>
    <w:rsid w:val="087F5BBC"/>
    <w:rsid w:val="08B53817"/>
    <w:rsid w:val="09267C87"/>
    <w:rsid w:val="0CB65789"/>
    <w:rsid w:val="0CD11792"/>
    <w:rsid w:val="0D957AD2"/>
    <w:rsid w:val="0E0C0298"/>
    <w:rsid w:val="0E312C43"/>
    <w:rsid w:val="0E7A1431"/>
    <w:rsid w:val="0EA05576"/>
    <w:rsid w:val="0F3A462E"/>
    <w:rsid w:val="0F6540D2"/>
    <w:rsid w:val="0FFF1A9C"/>
    <w:rsid w:val="107F794E"/>
    <w:rsid w:val="11313335"/>
    <w:rsid w:val="13FE4729"/>
    <w:rsid w:val="161B15A8"/>
    <w:rsid w:val="196E688D"/>
    <w:rsid w:val="19965D24"/>
    <w:rsid w:val="1A380E8F"/>
    <w:rsid w:val="1AF56ECA"/>
    <w:rsid w:val="1B743FAF"/>
    <w:rsid w:val="1B897949"/>
    <w:rsid w:val="1CC87D8B"/>
    <w:rsid w:val="1D0319E5"/>
    <w:rsid w:val="1E78742E"/>
    <w:rsid w:val="224B1443"/>
    <w:rsid w:val="2960297C"/>
    <w:rsid w:val="2A246376"/>
    <w:rsid w:val="2A6843A5"/>
    <w:rsid w:val="2BFF463C"/>
    <w:rsid w:val="2C0842E7"/>
    <w:rsid w:val="2CE13464"/>
    <w:rsid w:val="2D2E54C2"/>
    <w:rsid w:val="2DEC6E42"/>
    <w:rsid w:val="2DF31F05"/>
    <w:rsid w:val="2EA32F66"/>
    <w:rsid w:val="2FCF4C0F"/>
    <w:rsid w:val="307A6987"/>
    <w:rsid w:val="30CE049B"/>
    <w:rsid w:val="3207249C"/>
    <w:rsid w:val="32FDD7E9"/>
    <w:rsid w:val="33476CCE"/>
    <w:rsid w:val="33826206"/>
    <w:rsid w:val="33F149FD"/>
    <w:rsid w:val="373104CE"/>
    <w:rsid w:val="374B21BE"/>
    <w:rsid w:val="3987299A"/>
    <w:rsid w:val="3A2B7DD7"/>
    <w:rsid w:val="3AC12779"/>
    <w:rsid w:val="3C2970C2"/>
    <w:rsid w:val="3EEFF14A"/>
    <w:rsid w:val="3F26228A"/>
    <w:rsid w:val="3F5D0AB1"/>
    <w:rsid w:val="3F906B8C"/>
    <w:rsid w:val="3FCE45FA"/>
    <w:rsid w:val="40773786"/>
    <w:rsid w:val="422C5607"/>
    <w:rsid w:val="43895516"/>
    <w:rsid w:val="439A743F"/>
    <w:rsid w:val="44D2004C"/>
    <w:rsid w:val="466A54DE"/>
    <w:rsid w:val="46A6238B"/>
    <w:rsid w:val="47073508"/>
    <w:rsid w:val="470C2D79"/>
    <w:rsid w:val="47B5612D"/>
    <w:rsid w:val="494F4E21"/>
    <w:rsid w:val="4A2714D2"/>
    <w:rsid w:val="4BC53886"/>
    <w:rsid w:val="4BD258C2"/>
    <w:rsid w:val="4C1B609C"/>
    <w:rsid w:val="4D0B2089"/>
    <w:rsid w:val="4D0E6C1F"/>
    <w:rsid w:val="4D397A81"/>
    <w:rsid w:val="4F8A5242"/>
    <w:rsid w:val="4F987C34"/>
    <w:rsid w:val="4F9E0F0F"/>
    <w:rsid w:val="506645F3"/>
    <w:rsid w:val="50AA44A9"/>
    <w:rsid w:val="51265CE2"/>
    <w:rsid w:val="514603CA"/>
    <w:rsid w:val="51FE227C"/>
    <w:rsid w:val="52A6554B"/>
    <w:rsid w:val="5403553C"/>
    <w:rsid w:val="5504349B"/>
    <w:rsid w:val="55D93A99"/>
    <w:rsid w:val="56257D1E"/>
    <w:rsid w:val="563A6BDD"/>
    <w:rsid w:val="56F445AE"/>
    <w:rsid w:val="56FE5836"/>
    <w:rsid w:val="584B7A86"/>
    <w:rsid w:val="58C97C72"/>
    <w:rsid w:val="5906675A"/>
    <w:rsid w:val="59556671"/>
    <w:rsid w:val="598D38B0"/>
    <w:rsid w:val="5A2C7248"/>
    <w:rsid w:val="5BAE2208"/>
    <w:rsid w:val="5CBFA48B"/>
    <w:rsid w:val="5CCD5488"/>
    <w:rsid w:val="5EAE602D"/>
    <w:rsid w:val="5EEE69D8"/>
    <w:rsid w:val="62A46480"/>
    <w:rsid w:val="644F58B9"/>
    <w:rsid w:val="64DD2A65"/>
    <w:rsid w:val="6808604B"/>
    <w:rsid w:val="68BF7875"/>
    <w:rsid w:val="695A6C40"/>
    <w:rsid w:val="695B664F"/>
    <w:rsid w:val="696E1876"/>
    <w:rsid w:val="6B8A1171"/>
    <w:rsid w:val="6CA00F35"/>
    <w:rsid w:val="6D716F1A"/>
    <w:rsid w:val="6F060752"/>
    <w:rsid w:val="72B63C65"/>
    <w:rsid w:val="739F3D64"/>
    <w:rsid w:val="73A74DF8"/>
    <w:rsid w:val="73C84F39"/>
    <w:rsid w:val="744375F8"/>
    <w:rsid w:val="75812506"/>
    <w:rsid w:val="776F512C"/>
    <w:rsid w:val="7815301F"/>
    <w:rsid w:val="781E71C5"/>
    <w:rsid w:val="79BF10DD"/>
    <w:rsid w:val="7DCD6D50"/>
    <w:rsid w:val="7EEFFDDC"/>
    <w:rsid w:val="8F17B86F"/>
    <w:rsid w:val="8F9B72E0"/>
    <w:rsid w:val="CEDE6481"/>
    <w:rsid w:val="CFFE4251"/>
    <w:rsid w:val="D6F6F443"/>
    <w:rsid w:val="DDFCF11F"/>
    <w:rsid w:val="EFDF54A0"/>
    <w:rsid w:val="FCFF4A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35"/>
    <w:qFormat/>
    <w:uiPriority w:val="0"/>
    <w:pPr>
      <w:keepNext/>
      <w:keepLines/>
      <w:spacing w:before="50" w:beforeLines="50" w:after="50" w:afterLines="50" w:line="440" w:lineRule="exact"/>
      <w:outlineLvl w:val="0"/>
    </w:pPr>
    <w:rPr>
      <w:rFonts w:ascii="Times New Roman" w:hAnsi="Times New Roman" w:eastAsia="宋体"/>
      <w:b/>
      <w:bCs/>
      <w:kern w:val="44"/>
      <w:sz w:val="30"/>
      <w:szCs w:val="44"/>
    </w:rPr>
  </w:style>
  <w:style w:type="paragraph" w:styleId="3">
    <w:name w:val="heading 2"/>
    <w:basedOn w:val="1"/>
    <w:next w:val="1"/>
    <w:link w:val="36"/>
    <w:unhideWhenUsed/>
    <w:qFormat/>
    <w:uiPriority w:val="9"/>
    <w:pPr>
      <w:keepNext/>
      <w:keepLines/>
      <w:spacing w:before="50" w:beforeLines="50" w:after="50" w:afterLines="50" w:line="440" w:lineRule="exact"/>
      <w:outlineLvl w:val="1"/>
    </w:pPr>
    <w:rPr>
      <w:rFonts w:ascii="Times New Roman" w:hAnsi="Times New Roman" w:eastAsia="宋体" w:cstheme="majorBidi"/>
      <w:b/>
      <w:bCs/>
      <w:sz w:val="28"/>
      <w:szCs w:val="32"/>
    </w:rPr>
  </w:style>
  <w:style w:type="paragraph" w:styleId="4">
    <w:name w:val="heading 3"/>
    <w:basedOn w:val="1"/>
    <w:next w:val="1"/>
    <w:link w:val="37"/>
    <w:unhideWhenUsed/>
    <w:qFormat/>
    <w:uiPriority w:val="9"/>
    <w:pPr>
      <w:keepNext/>
      <w:keepLines/>
      <w:spacing w:before="50" w:beforeLines="50" w:after="50" w:afterLines="50" w:line="440" w:lineRule="exact"/>
      <w:outlineLvl w:val="2"/>
    </w:pPr>
    <w:rPr>
      <w:rFonts w:ascii="Times New Roman" w:hAnsi="Times New Roman" w:eastAsia="宋体"/>
      <w:b/>
      <w:bCs/>
      <w:szCs w:val="32"/>
    </w:rPr>
  </w:style>
  <w:style w:type="paragraph" w:styleId="5">
    <w:name w:val="heading 4"/>
    <w:basedOn w:val="1"/>
    <w:next w:val="1"/>
    <w:link w:val="39"/>
    <w:unhideWhenUsed/>
    <w:qFormat/>
    <w:uiPriority w:val="9"/>
    <w:pPr>
      <w:keepNext/>
      <w:keepLines/>
      <w:spacing w:before="280" w:after="290" w:line="376" w:lineRule="auto"/>
      <w:ind w:left="1006" w:hanging="864"/>
      <w:outlineLvl w:val="3"/>
    </w:pPr>
    <w:rPr>
      <w:rFonts w:asciiTheme="majorHAnsi" w:hAnsiTheme="majorHAnsi" w:eastAsiaTheme="majorEastAsia" w:cstheme="majorBidi"/>
      <w:b/>
      <w:bCs/>
      <w:sz w:val="28"/>
      <w:szCs w:val="28"/>
    </w:rPr>
  </w:style>
  <w:style w:type="paragraph" w:styleId="6">
    <w:name w:val="heading 5"/>
    <w:basedOn w:val="1"/>
    <w:next w:val="1"/>
    <w:link w:val="40"/>
    <w:semiHidden/>
    <w:unhideWhenUsed/>
    <w:qFormat/>
    <w:uiPriority w:val="9"/>
    <w:pPr>
      <w:keepNext/>
      <w:keepLines/>
      <w:spacing w:before="280" w:after="290" w:line="376" w:lineRule="auto"/>
      <w:ind w:left="1150" w:hanging="1008"/>
      <w:outlineLvl w:val="4"/>
    </w:pPr>
    <w:rPr>
      <w:b/>
      <w:bCs/>
      <w:sz w:val="28"/>
      <w:szCs w:val="28"/>
    </w:rPr>
  </w:style>
  <w:style w:type="paragraph" w:styleId="7">
    <w:name w:val="heading 6"/>
    <w:basedOn w:val="1"/>
    <w:next w:val="1"/>
    <w:link w:val="41"/>
    <w:semiHidden/>
    <w:unhideWhenUsed/>
    <w:qFormat/>
    <w:uiPriority w:val="9"/>
    <w:pPr>
      <w:keepNext/>
      <w:keepLines/>
      <w:spacing w:before="240" w:after="64" w:line="320" w:lineRule="auto"/>
      <w:ind w:left="1294" w:hanging="1152"/>
      <w:outlineLvl w:val="5"/>
    </w:pPr>
    <w:rPr>
      <w:rFonts w:asciiTheme="majorHAnsi" w:hAnsiTheme="majorHAnsi" w:eastAsiaTheme="majorEastAsia" w:cstheme="majorBidi"/>
      <w:b/>
      <w:bCs/>
      <w:szCs w:val="24"/>
    </w:rPr>
  </w:style>
  <w:style w:type="paragraph" w:styleId="8">
    <w:name w:val="heading 7"/>
    <w:basedOn w:val="1"/>
    <w:next w:val="1"/>
    <w:link w:val="42"/>
    <w:semiHidden/>
    <w:unhideWhenUsed/>
    <w:qFormat/>
    <w:uiPriority w:val="9"/>
    <w:pPr>
      <w:keepNext/>
      <w:keepLines/>
      <w:spacing w:before="240" w:after="64" w:line="320" w:lineRule="auto"/>
      <w:ind w:left="1438" w:hanging="1296"/>
      <w:outlineLvl w:val="6"/>
    </w:pPr>
    <w:rPr>
      <w:b/>
      <w:bCs/>
      <w:szCs w:val="24"/>
    </w:rPr>
  </w:style>
  <w:style w:type="paragraph" w:styleId="9">
    <w:name w:val="heading 8"/>
    <w:basedOn w:val="1"/>
    <w:next w:val="1"/>
    <w:link w:val="43"/>
    <w:semiHidden/>
    <w:unhideWhenUsed/>
    <w:qFormat/>
    <w:uiPriority w:val="9"/>
    <w:pPr>
      <w:keepNext/>
      <w:keepLines/>
      <w:spacing w:before="240" w:after="64" w:line="320" w:lineRule="auto"/>
      <w:ind w:left="1582" w:hanging="1440"/>
      <w:outlineLvl w:val="7"/>
    </w:pPr>
    <w:rPr>
      <w:rFonts w:asciiTheme="majorHAnsi" w:hAnsiTheme="majorHAnsi" w:eastAsiaTheme="majorEastAsia" w:cstheme="majorBidi"/>
      <w:szCs w:val="24"/>
    </w:rPr>
  </w:style>
  <w:style w:type="paragraph" w:styleId="10">
    <w:name w:val="heading 9"/>
    <w:basedOn w:val="1"/>
    <w:next w:val="1"/>
    <w:link w:val="44"/>
    <w:semiHidden/>
    <w:unhideWhenUsed/>
    <w:qFormat/>
    <w:uiPriority w:val="9"/>
    <w:pPr>
      <w:keepNext/>
      <w:keepLines/>
      <w:spacing w:before="240" w:after="64" w:line="320" w:lineRule="auto"/>
      <w:ind w:left="1726" w:hanging="1584"/>
      <w:outlineLvl w:val="8"/>
    </w:pPr>
    <w:rPr>
      <w:rFonts w:asciiTheme="majorHAnsi" w:hAnsiTheme="majorHAnsi" w:eastAsiaTheme="majorEastAsia" w:cstheme="majorBidi"/>
      <w:sz w:val="21"/>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11">
    <w:name w:val="annotation text"/>
    <w:basedOn w:val="1"/>
    <w:link w:val="48"/>
    <w:semiHidden/>
    <w:unhideWhenUsed/>
    <w:qFormat/>
    <w:uiPriority w:val="99"/>
    <w:pPr>
      <w:jc w:val="left"/>
    </w:pPr>
  </w:style>
  <w:style w:type="paragraph" w:styleId="12">
    <w:name w:val="toc 3"/>
    <w:basedOn w:val="1"/>
    <w:next w:val="1"/>
    <w:autoRedefine/>
    <w:unhideWhenUsed/>
    <w:qFormat/>
    <w:uiPriority w:val="39"/>
    <w:pPr>
      <w:ind w:left="840" w:leftChars="400"/>
    </w:pPr>
  </w:style>
  <w:style w:type="paragraph" w:styleId="13">
    <w:name w:val="Balloon Text"/>
    <w:basedOn w:val="1"/>
    <w:link w:val="47"/>
    <w:semiHidden/>
    <w:unhideWhenUsed/>
    <w:qFormat/>
    <w:uiPriority w:val="99"/>
    <w:rPr>
      <w:sz w:val="18"/>
      <w:szCs w:val="18"/>
    </w:rPr>
  </w:style>
  <w:style w:type="paragraph" w:styleId="14">
    <w:name w:val="footer"/>
    <w:basedOn w:val="1"/>
    <w:link w:val="32"/>
    <w:unhideWhenUsed/>
    <w:qFormat/>
    <w:uiPriority w:val="99"/>
    <w:pPr>
      <w:tabs>
        <w:tab w:val="center" w:pos="4153"/>
        <w:tab w:val="right" w:pos="8306"/>
      </w:tabs>
      <w:snapToGrid w:val="0"/>
      <w:jc w:val="left"/>
    </w:pPr>
    <w:rPr>
      <w:sz w:val="18"/>
      <w:szCs w:val="18"/>
    </w:rPr>
  </w:style>
  <w:style w:type="paragraph" w:styleId="15">
    <w:name w:val="header"/>
    <w:basedOn w:val="1"/>
    <w:link w:val="31"/>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tabs>
        <w:tab w:val="right" w:leader="dot" w:pos="7927"/>
      </w:tabs>
    </w:pPr>
    <w:rPr>
      <w:rFonts w:cs="Times New Roman" w:asciiTheme="majorEastAsia" w:hAnsiTheme="majorEastAsia" w:eastAsiaTheme="majorEastAsia"/>
      <w:b/>
      <w:bCs/>
      <w:kern w:val="44"/>
      <w:sz w:val="28"/>
      <w:szCs w:val="28"/>
    </w:rPr>
  </w:style>
  <w:style w:type="paragraph" w:styleId="17">
    <w:name w:val="footnote text"/>
    <w:basedOn w:val="1"/>
    <w:link w:val="45"/>
    <w:semiHidden/>
    <w:unhideWhenUsed/>
    <w:qFormat/>
    <w:uiPriority w:val="99"/>
    <w:pPr>
      <w:snapToGrid w:val="0"/>
      <w:jc w:val="left"/>
    </w:pPr>
    <w:rPr>
      <w:sz w:val="18"/>
      <w:szCs w:val="18"/>
    </w:rPr>
  </w:style>
  <w:style w:type="paragraph" w:styleId="18">
    <w:name w:val="toc 2"/>
    <w:basedOn w:val="1"/>
    <w:next w:val="1"/>
    <w:autoRedefine/>
    <w:unhideWhenUsed/>
    <w:qFormat/>
    <w:uiPriority w:val="39"/>
    <w:pPr>
      <w:ind w:left="420" w:leftChars="200"/>
    </w:pPr>
  </w:style>
  <w:style w:type="paragraph" w:styleId="19">
    <w:name w:val="HTML Preformatted"/>
    <w:basedOn w:val="1"/>
    <w:link w:val="46"/>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atLeast"/>
      <w:jc w:val="left"/>
    </w:pPr>
    <w:rPr>
      <w:rFonts w:eastAsia="黑体" w:cs="Courier New"/>
      <w:kern w:val="0"/>
      <w:szCs w:val="24"/>
    </w:rPr>
  </w:style>
  <w:style w:type="paragraph" w:styleId="2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21">
    <w:name w:val="annotation subject"/>
    <w:basedOn w:val="11"/>
    <w:next w:val="11"/>
    <w:link w:val="49"/>
    <w:semiHidden/>
    <w:unhideWhenUsed/>
    <w:qFormat/>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rPr>
  </w:style>
  <w:style w:type="character" w:styleId="26">
    <w:name w:val="FollowedHyperlink"/>
    <w:basedOn w:val="24"/>
    <w:semiHidden/>
    <w:unhideWhenUsed/>
    <w:qFormat/>
    <w:uiPriority w:val="99"/>
    <w:rPr>
      <w:color w:val="954F72" w:themeColor="followedHyperlink"/>
      <w:u w:val="single"/>
      <w14:textFill>
        <w14:solidFill>
          <w14:schemeClr w14:val="folHlink"/>
        </w14:solidFill>
      </w14:textFill>
    </w:rPr>
  </w:style>
  <w:style w:type="character" w:styleId="27">
    <w:name w:val="Hyperlink"/>
    <w:basedOn w:val="24"/>
    <w:unhideWhenUsed/>
    <w:qFormat/>
    <w:uiPriority w:val="99"/>
    <w:rPr>
      <w:color w:val="0563C1" w:themeColor="hyperlink"/>
      <w:u w:val="single"/>
      <w14:textFill>
        <w14:solidFill>
          <w14:schemeClr w14:val="hlink"/>
        </w14:solidFill>
      </w14:textFill>
    </w:rPr>
  </w:style>
  <w:style w:type="character" w:styleId="28">
    <w:name w:val="HTML Code"/>
    <w:basedOn w:val="24"/>
    <w:semiHidden/>
    <w:unhideWhenUsed/>
    <w:qFormat/>
    <w:uiPriority w:val="99"/>
    <w:rPr>
      <w:rFonts w:ascii="Courier New" w:hAnsi="Courier New"/>
      <w:sz w:val="20"/>
    </w:rPr>
  </w:style>
  <w:style w:type="character" w:styleId="29">
    <w:name w:val="annotation reference"/>
    <w:basedOn w:val="24"/>
    <w:semiHidden/>
    <w:unhideWhenUsed/>
    <w:qFormat/>
    <w:uiPriority w:val="99"/>
    <w:rPr>
      <w:sz w:val="21"/>
      <w:szCs w:val="21"/>
    </w:rPr>
  </w:style>
  <w:style w:type="character" w:styleId="30">
    <w:name w:val="footnote reference"/>
    <w:basedOn w:val="24"/>
    <w:semiHidden/>
    <w:unhideWhenUsed/>
    <w:qFormat/>
    <w:uiPriority w:val="99"/>
    <w:rPr>
      <w:vertAlign w:val="superscript"/>
    </w:rPr>
  </w:style>
  <w:style w:type="character" w:customStyle="1" w:styleId="31">
    <w:name w:val="页眉 字符"/>
    <w:basedOn w:val="24"/>
    <w:link w:val="15"/>
    <w:qFormat/>
    <w:uiPriority w:val="99"/>
    <w:rPr>
      <w:sz w:val="18"/>
      <w:szCs w:val="18"/>
    </w:rPr>
  </w:style>
  <w:style w:type="character" w:customStyle="1" w:styleId="32">
    <w:name w:val="页脚 字符"/>
    <w:basedOn w:val="24"/>
    <w:link w:val="14"/>
    <w:qFormat/>
    <w:uiPriority w:val="99"/>
    <w:rPr>
      <w:sz w:val="18"/>
      <w:szCs w:val="18"/>
    </w:rPr>
  </w:style>
  <w:style w:type="table" w:customStyle="1" w:styleId="33">
    <w:name w:val="样式1"/>
    <w:basedOn w:val="22"/>
    <w:qFormat/>
    <w:uiPriority w:val="99"/>
    <w:pPr>
      <w:spacing w:line="400" w:lineRule="exact"/>
    </w:p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styleId="34">
    <w:name w:val="List Paragraph"/>
    <w:basedOn w:val="1"/>
    <w:qFormat/>
    <w:uiPriority w:val="34"/>
    <w:pPr>
      <w:spacing w:line="440" w:lineRule="exact"/>
      <w:ind w:firstLine="200" w:firstLineChars="200"/>
    </w:pPr>
    <w:rPr>
      <w:rFonts w:ascii="Times New Roman" w:hAnsi="Times New Roman"/>
    </w:rPr>
  </w:style>
  <w:style w:type="character" w:customStyle="1" w:styleId="35">
    <w:name w:val="标题 1 字符"/>
    <w:basedOn w:val="24"/>
    <w:link w:val="2"/>
    <w:qFormat/>
    <w:uiPriority w:val="9"/>
    <w:rPr>
      <w:rFonts w:ascii="Times New Roman" w:hAnsi="Times New Roman" w:eastAsia="宋体"/>
      <w:b/>
      <w:bCs/>
      <w:kern w:val="44"/>
      <w:sz w:val="30"/>
      <w:szCs w:val="44"/>
    </w:rPr>
  </w:style>
  <w:style w:type="character" w:customStyle="1" w:styleId="36">
    <w:name w:val="标题 2 字符"/>
    <w:basedOn w:val="24"/>
    <w:link w:val="3"/>
    <w:qFormat/>
    <w:uiPriority w:val="9"/>
    <w:rPr>
      <w:rFonts w:ascii="Times New Roman" w:hAnsi="Times New Roman" w:eastAsia="宋体" w:cstheme="majorBidi"/>
      <w:b/>
      <w:bCs/>
      <w:sz w:val="28"/>
      <w:szCs w:val="32"/>
    </w:rPr>
  </w:style>
  <w:style w:type="character" w:customStyle="1" w:styleId="37">
    <w:name w:val="标题 3 字符"/>
    <w:basedOn w:val="24"/>
    <w:link w:val="4"/>
    <w:qFormat/>
    <w:uiPriority w:val="9"/>
    <w:rPr>
      <w:rFonts w:ascii="Times New Roman" w:hAnsi="Times New Roman" w:eastAsia="宋体"/>
      <w:b/>
      <w:bCs/>
      <w:sz w:val="24"/>
      <w:szCs w:val="32"/>
    </w:rPr>
  </w:style>
  <w:style w:type="paragraph" w:customStyle="1" w:styleId="38">
    <w:name w:val="TOC 标题1"/>
    <w:basedOn w:val="2"/>
    <w:next w:val="1"/>
    <w:unhideWhenUsed/>
    <w:qFormat/>
    <w:uiPriority w:val="39"/>
    <w:pPr>
      <w:widowControl/>
      <w:spacing w:before="240" w:beforeLines="0" w:after="0" w:afterLines="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9">
    <w:name w:val="标题 4 字符"/>
    <w:basedOn w:val="24"/>
    <w:link w:val="5"/>
    <w:semiHidden/>
    <w:qFormat/>
    <w:uiPriority w:val="9"/>
    <w:rPr>
      <w:rFonts w:asciiTheme="majorHAnsi" w:hAnsiTheme="majorHAnsi" w:eastAsiaTheme="majorEastAsia" w:cstheme="majorBidi"/>
      <w:b/>
      <w:bCs/>
      <w:sz w:val="28"/>
      <w:szCs w:val="28"/>
    </w:rPr>
  </w:style>
  <w:style w:type="character" w:customStyle="1" w:styleId="40">
    <w:name w:val="标题 5 字符"/>
    <w:basedOn w:val="24"/>
    <w:link w:val="6"/>
    <w:semiHidden/>
    <w:qFormat/>
    <w:uiPriority w:val="9"/>
    <w:rPr>
      <w:b/>
      <w:bCs/>
      <w:sz w:val="28"/>
      <w:szCs w:val="28"/>
    </w:rPr>
  </w:style>
  <w:style w:type="character" w:customStyle="1" w:styleId="41">
    <w:name w:val="标题 6 字符"/>
    <w:basedOn w:val="24"/>
    <w:link w:val="7"/>
    <w:semiHidden/>
    <w:qFormat/>
    <w:uiPriority w:val="9"/>
    <w:rPr>
      <w:rFonts w:asciiTheme="majorHAnsi" w:hAnsiTheme="majorHAnsi" w:eastAsiaTheme="majorEastAsia" w:cstheme="majorBidi"/>
      <w:b/>
      <w:bCs/>
      <w:sz w:val="24"/>
      <w:szCs w:val="24"/>
    </w:rPr>
  </w:style>
  <w:style w:type="character" w:customStyle="1" w:styleId="42">
    <w:name w:val="标题 7 字符"/>
    <w:basedOn w:val="24"/>
    <w:link w:val="8"/>
    <w:semiHidden/>
    <w:qFormat/>
    <w:uiPriority w:val="9"/>
    <w:rPr>
      <w:b/>
      <w:bCs/>
      <w:sz w:val="24"/>
      <w:szCs w:val="24"/>
    </w:rPr>
  </w:style>
  <w:style w:type="character" w:customStyle="1" w:styleId="43">
    <w:name w:val="标题 8 字符"/>
    <w:basedOn w:val="24"/>
    <w:link w:val="9"/>
    <w:semiHidden/>
    <w:qFormat/>
    <w:uiPriority w:val="9"/>
    <w:rPr>
      <w:rFonts w:asciiTheme="majorHAnsi" w:hAnsiTheme="majorHAnsi" w:eastAsiaTheme="majorEastAsia" w:cstheme="majorBidi"/>
      <w:sz w:val="24"/>
      <w:szCs w:val="24"/>
    </w:rPr>
  </w:style>
  <w:style w:type="character" w:customStyle="1" w:styleId="44">
    <w:name w:val="标题 9 字符"/>
    <w:basedOn w:val="24"/>
    <w:link w:val="10"/>
    <w:semiHidden/>
    <w:qFormat/>
    <w:uiPriority w:val="9"/>
    <w:rPr>
      <w:rFonts w:asciiTheme="majorHAnsi" w:hAnsiTheme="majorHAnsi" w:eastAsiaTheme="majorEastAsia" w:cstheme="majorBidi"/>
      <w:szCs w:val="21"/>
    </w:rPr>
  </w:style>
  <w:style w:type="character" w:customStyle="1" w:styleId="45">
    <w:name w:val="脚注文本 字符"/>
    <w:basedOn w:val="24"/>
    <w:link w:val="17"/>
    <w:semiHidden/>
    <w:qFormat/>
    <w:uiPriority w:val="99"/>
    <w:rPr>
      <w:sz w:val="18"/>
      <w:szCs w:val="18"/>
    </w:rPr>
  </w:style>
  <w:style w:type="character" w:customStyle="1" w:styleId="46">
    <w:name w:val="HTML 预设格式 字符"/>
    <w:basedOn w:val="24"/>
    <w:link w:val="19"/>
    <w:qFormat/>
    <w:uiPriority w:val="0"/>
    <w:rPr>
      <w:rFonts w:eastAsia="黑体" w:cs="Courier New"/>
      <w:kern w:val="0"/>
      <w:sz w:val="24"/>
      <w:szCs w:val="24"/>
    </w:rPr>
  </w:style>
  <w:style w:type="character" w:customStyle="1" w:styleId="47">
    <w:name w:val="批注框文本 字符"/>
    <w:basedOn w:val="24"/>
    <w:link w:val="13"/>
    <w:semiHidden/>
    <w:qFormat/>
    <w:uiPriority w:val="99"/>
    <w:rPr>
      <w:sz w:val="18"/>
      <w:szCs w:val="18"/>
    </w:rPr>
  </w:style>
  <w:style w:type="character" w:customStyle="1" w:styleId="48">
    <w:name w:val="批注文字 字符"/>
    <w:basedOn w:val="24"/>
    <w:link w:val="11"/>
    <w:semiHidden/>
    <w:qFormat/>
    <w:uiPriority w:val="99"/>
    <w:rPr>
      <w:sz w:val="24"/>
    </w:rPr>
  </w:style>
  <w:style w:type="character" w:customStyle="1" w:styleId="49">
    <w:name w:val="批注主题 字符"/>
    <w:basedOn w:val="48"/>
    <w:link w:val="21"/>
    <w:semiHidden/>
    <w:qFormat/>
    <w:uiPriority w:val="99"/>
    <w:rPr>
      <w:b/>
      <w:bCs/>
      <w:sz w:val="24"/>
    </w:rPr>
  </w:style>
  <w:style w:type="paragraph" w:customStyle="1" w:styleId="50">
    <w:name w:val="修订1"/>
    <w:hidden/>
    <w:semiHidden/>
    <w:qFormat/>
    <w:uiPriority w:val="99"/>
    <w:rPr>
      <w:rFonts w:asciiTheme="minorHAnsi" w:hAnsiTheme="minorHAnsi" w:eastAsiaTheme="minorEastAsia" w:cstheme="minorBidi"/>
      <w:kern w:val="2"/>
      <w:sz w:val="24"/>
      <w:szCs w:val="22"/>
      <w:lang w:val="en-US" w:eastAsia="zh-CN" w:bidi="ar-SA"/>
    </w:rPr>
  </w:style>
  <w:style w:type="paragraph" w:customStyle="1" w:styleId="51">
    <w:name w:val="Revision"/>
    <w:hidden/>
    <w:unhideWhenUsed/>
    <w:qFormat/>
    <w:uiPriority w:val="99"/>
    <w:rPr>
      <w:rFonts w:asciiTheme="minorHAnsi" w:hAnsiTheme="minorHAnsi" w:eastAsiaTheme="minorEastAsia"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http://www.jxufe.edu.cn/Files/2013626/273217691996.jpg" TargetMode="Externa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FF6DFBD6-37DC-446C-9609-351FB1E2BA99}">
  <ds:schemaRefs/>
</ds:datastoreItem>
</file>

<file path=docProps/app.xml><?xml version="1.0" encoding="utf-8"?>
<Properties xmlns="http://schemas.openxmlformats.org/officeDocument/2006/extended-properties" xmlns:vt="http://schemas.openxmlformats.org/officeDocument/2006/docPropsVTypes">
  <Pages>60</Pages>
  <Words>8072</Words>
  <Characters>9907</Characters>
  <Lines>74</Lines>
  <Paragraphs>21</Paragraphs>
  <TotalTime>51</TotalTime>
  <ScaleCrop>false</ScaleCrop>
  <LinksUpToDate>false</LinksUpToDate>
  <CharactersWithSpaces>10410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2023-10-12T07:28:00Z</dcterms:created>
  <dc:creator>Administrator</dc:creator>
  <cp:lastModifiedBy>桉</cp:lastModifiedBy>
  <dcterms:modified xsi:type="dcterms:W3CDTF">2026-06-04T08:09:28Z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85D5E97B38953E11A38A4E69E78A54C8_43</vt:lpwstr>
  </property>
  <property fmtid="{D5CDD505-2E9C-101B-9397-08002B2CF9AE}" pid="4" name="KSOTemplateDocerSaveRecord">
    <vt:lpwstr>eyJoZGlkIjoiNjIzYTA3ZjgzYjBkNjc2MmY4ODA0MjEwYWUwNGJhOTkiLCJ1c2VySWQiOiIxNTQ1MjI0MTg4In0=</vt:lpwstr>
  </property>
</Properties>
</file>