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sample_transcript</w:t>
      </w:r>
    </w:p>
    <w:p>
      <w:pPr>
        <w:pStyle w:val="Heading1"/>
      </w:pPr>
      <w:r>
        <w:t>1. Interview Content</w:t>
      </w:r>
    </w:p>
    <w:p>
      <w:pPr>
        <w:pStyle w:val="Heading2"/>
      </w:pPr>
      <w:r>
        <w:t>[studies / phase / more]</w:t>
      </w:r>
    </w:p>
    <w:p>
      <w:pPr>
        <w:pStyle w:val="ListBullet"/>
      </w:pPr>
      <w:r>
        <w:t>Please introduce the overall study footprint in China and globally.</w:t>
      </w:r>
    </w:p>
    <w:p>
      <w:pPr>
        <w:pStyle w:val="ListBullet"/>
      </w:pPr>
      <w:r>
        <w:t>We currently run both China-only studies and global studies, with phase III and IV more likely to be multinational.</w:t>
      </w:r>
    </w:p>
    <w:p>
      <w:pPr>
        <w:pStyle w:val="ListBullet"/>
      </w:pPr>
      <w:r>
        <w:t>For smaller phase I work, the workflow is usually more localized, and randomization tooling is not always required.</w:t>
      </w:r>
    </w:p>
    <w:p>
      <w:pPr>
        <w:pStyle w:val="ListBullet"/>
      </w:pPr>
      <w:r>
        <w:t>How do you think about vendor selection?</w:t>
      </w:r>
    </w:p>
    <w:p>
      <w:pPr>
        <w:pStyle w:val="Heading2"/>
      </w:pPr>
      <w:r>
        <w:t>[time / whether / vendor]</w:t>
      </w:r>
    </w:p>
    <w:p>
      <w:pPr>
        <w:pStyle w:val="ListBullet"/>
      </w:pPr>
      <w:r>
        <w:t>Ease of use is still the top criterion. If a site has to learn a new system every time, that becomes operationally expensive.</w:t>
      </w:r>
    </w:p>
    <w:p>
      <w:pPr>
        <w:pStyle w:val="ListBullet"/>
      </w:pPr>
      <w:r>
        <w:t>We also look at build time, update speed, and whether the vendor can support global trials around the clock.</w:t>
      </w:r>
    </w:p>
    <w:p>
      <w:pPr>
        <w:pStyle w:val="ListBullet"/>
      </w:pPr>
      <w:r>
        <w:t>Do you keep the same vendor across phases?</w:t>
      </w:r>
    </w:p>
    <w:p>
      <w:pPr>
        <w:pStyle w:val="ListBullet"/>
      </w:pPr>
      <w:r>
        <w:t>Not necessarily. It depends on continuity of sites, prior quality issues, and whether the study scope expands from local to multinational.</w:t>
      </w:r>
    </w:p>
    <w:p>
      <w:pPr>
        <w:pStyle w:val="Heading2"/>
      </w:pPr>
      <w:r>
        <w:t>[license-in / asset / comes]</w:t>
      </w:r>
    </w:p>
    <w:p>
      <w:pPr>
        <w:pStyle w:val="ListBullet"/>
      </w:pPr>
      <w:r>
        <w:t>If a license-in asset comes from another company, we often re-evaluate and may switch to our preferred vendor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