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9.png" ContentType="image/png"/>
  <Override PartName="/word/media/rId209.png" ContentType="image/png"/>
  <Override PartName="/word/media/rId160.png" ContentType="image/png"/>
  <Override PartName="/word/media/rId276.png" ContentType="image/png"/>
  <Override PartName="/word/media/rId231.png" ContentType="image/png"/>
  <Override PartName="/word/media/rId135.png" ContentType="image/png"/>
  <Override PartName="/word/media/rId265.png" ContentType="image/png"/>
  <Override PartName="/word/media/rId246.png" ContentType="image/png"/>
  <Override PartName="/word/media/rId269.png" ContentType="image/png"/>
  <Override PartName="/word/media/rId55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Anatomy-Guided Masking for I-JEPA Representation Learning on Retinal OCT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Anatomy-guided masking is motivated by concentrating representation learning</w:t>
      </w:r>
      <w:r>
        <w:t xml:space="preserve"> </w:t>
      </w:r>
      <w:r>
        <w:t xml:space="preserve">on informative tissue, but prediction also requires useful visible context.</w:t>
      </w:r>
      <w:r>
        <w:t xml:space="preserve"> </w:t>
      </w:r>
      <w:r>
        <w:t xml:space="preserve">We study six I-JEPA masking-policy implementations on volumetric retinal OCT,</w:t>
      </w:r>
      <w:r>
        <w:t xml:space="preserve"> </w:t>
      </w:r>
      <w:r>
        <w:t xml:space="preserve">using a 2D B-scan encoder and a frozen volume-level linear probe for glaucoma</w:t>
      </w:r>
      <w:r>
        <w:t xml:space="preserve"> </w:t>
      </w:r>
      <w:r>
        <w:t xml:space="preserve">classification (FairVision,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3000</m:t>
        </m:r>
      </m:oMath>
      <w:r>
        <w:t xml:space="preserve">). The encoders descend from a shared</w:t>
      </w:r>
      <w:r>
        <w:t xml:space="preserve"> </w:t>
      </w:r>
      <w:r>
        <w:t xml:space="preserve">checkpoint, with one continuation per policy. Segmenter-guided rectangular</w:t>
      </w:r>
      <w:r>
        <w:t xml:space="preserve"> </w:t>
      </w:r>
      <w:r>
        <w:t xml:space="preserve">target placement improves AUC over uniform placement by</w:t>
      </w:r>
      <w:r>
        <w:t xml:space="preserve"> </w:t>
      </w:r>
      <m:oMath>
        <m:r>
          <m:rPr>
            <m:sty m:val="p"/>
          </m:rPr>
          <m:t>+</m:t>
        </m:r>
        <m:r>
          <m:t>0.0120</m:t>
        </m:r>
      </m:oMath>
      <w:r>
        <w:t xml:space="preserve"> </w:t>
      </w:r>
      <w:r>
        <w:t xml:space="preserve">at epoch 50. A segmentation-free intensity-centroid</w:t>
      </w:r>
      <w:r>
        <w:t xml:space="preserve"> </w:t>
      </w:r>
      <w:r>
        <w:t xml:space="preserve">policy improves it by</w:t>
      </w:r>
      <w:r>
        <w:t xml:space="preserve"> </w:t>
      </w:r>
      <m:oMath>
        <m:r>
          <m:rPr>
            <m:sty m:val="p"/>
          </m:rPr>
          <m:t>+</m:t>
        </m:r>
        <m:r>
          <m:t>0.0109</m:t>
        </m:r>
      </m:oMath>
      <w:r>
        <w:t xml:space="preserve"> </w:t>
      </w:r>
      <w:r>
        <w:t xml:space="preserve">at epoch 100.</w:t>
      </w:r>
      <w:r>
        <w:t xml:space="preserve"> </w:t>
      </w:r>
      <w:r>
        <w:t xml:space="preserve">Both policies have positive paired differences from uniform placement at all</w:t>
      </w:r>
      <w:r>
        <w:t xml:space="preserve"> </w:t>
      </w:r>
      <w:r>
        <w:t xml:space="preserve">three evaluated epochs. Their difference is unresolved at epochs 50 and 75;</w:t>
      </w:r>
      <w:r>
        <w:t xml:space="preserve"> </w:t>
      </w:r>
      <w:r>
        <w:t xml:space="preserve">the centroid policy is higher at epoch 100, which does not establish</w:t>
      </w:r>
      <w:r>
        <w:t xml:space="preserve"> </w:t>
      </w:r>
      <w:r>
        <w:t xml:space="preserve">equivalence between the methods. Greater tissue purity or coverage is not</w:t>
      </w:r>
      <w:r>
        <w:t xml:space="preserve"> </w:t>
      </w:r>
      <w:r>
        <w:t xml:space="preserve">consistently beneficial across the other implementations: an early,</w:t>
      </w:r>
      <w:r>
        <w:t xml:space="preserve"> </w:t>
      </w:r>
      <w:r>
        <w:t xml:space="preserve">incompletely documented anatomy-shaped continuation has higher AUC than its</w:t>
      </w:r>
      <w:r>
        <w:t xml:space="preserve"> </w:t>
      </w:r>
      <w:r>
        <w:t xml:space="preserve">rectangle comparator, whereas later shaped and</w:t>
      </w:r>
      <w:r>
        <w:t xml:space="preserve"> </w:t>
      </w:r>
      <w:r>
        <w:t xml:space="preserve">coverage-constrained policies do not consistently improve the uniform baseline.</w:t>
      </w:r>
      <w:r>
        <w:t xml:space="preserve"> </w:t>
      </w:r>
      <w:r>
        <w:t xml:space="preserve">Auditing delivered masks reveals changes in visible context, target area and</w:t>
      </w:r>
      <w:r>
        <w:t xml:space="preserve"> </w:t>
      </w:r>
      <w:r>
        <w:t xml:space="preserve">loss weighting, including target truncation after coverage-based placement.</w:t>
      </w:r>
      <w:r>
        <w:t xml:space="preserve"> </w:t>
      </w:r>
      <w:r>
        <w:t xml:space="preserve">These comparisons therefore do not isolate the effect of anatomical coverage.</w:t>
      </w:r>
      <w:r>
        <w:t xml:space="preserve"> </w:t>
      </w:r>
      <w:r>
        <w:t xml:space="preserve">Background-feature diagnostics further motivate distinguishing target content</w:t>
      </w:r>
      <w:r>
        <w:t xml:space="preserve"> </w:t>
      </w:r>
      <w:r>
        <w:t xml:space="preserve">from information retained in context, without establishing a causal mechanism.</w:t>
      </w:r>
      <w:r>
        <w:t xml:space="preserve"> </w:t>
      </w:r>
      <w:r>
        <w:t xml:space="preserve">The results support tissue-directed placement in these runs, not a ranking</w:t>
      </w:r>
      <w:r>
        <w:t xml:space="preserve"> </w:t>
      </w:r>
      <w:r>
        <w:t xml:space="preserve">over retrainings: the test split was repeatedly inspected, and subgroup and</w:t>
      </w:r>
      <w:r>
        <w:t xml:space="preserve"> </w:t>
      </w:r>
      <w:r>
        <w:t xml:space="preserve">low-label analyses remain exploratory.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Working copy for comment and editing.</w:t>
      </w:r>
      <w:r>
        <w:br/>
      </w:r>
      <w:r>
        <w:t xml:space="preserve">The LaTeX source is authoritative. Generated 2026-09-05 03:32 UTC. Numeric evidence coverage is recorded separately; conversion is not scientific validation. Please raise numeric changes as comments.</w:t>
      </w:r>
    </w:p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Self-supervised learning has become the default route to representation quality</w:t>
      </w:r>
      <w:r>
        <w:t xml:space="preserve"> </w:t>
      </w:r>
      <w:r>
        <w:t xml:space="preserve">in medical imaging, where expert annotation is expensive and pathology is</w:t>
      </w:r>
      <w:r>
        <w:t xml:space="preserve"> </w:t>
      </w:r>
      <w:r>
        <w:t xml:space="preserve">rare </w:t>
      </w:r>
      <w:r>
        <w:t xml:space="preserve">(</w:t>
      </w:r>
      <w:r>
        <w:t xml:space="preserve">Azizi et al.</w:t>
      </w:r>
      <w:r>
        <w:t xml:space="preserve"> </w:t>
      </w:r>
      <w:r>
        <w:t xml:space="preserve">2021;</w:t>
      </w:r>
      <w:r>
        <w:t xml:space="preserve"> </w:t>
      </w:r>
      <w:r>
        <w:t xml:space="preserve">Zhou et al.</w:t>
      </w:r>
      <w:r>
        <w:t xml:space="preserve"> </w:t>
      </w:r>
      <w:r>
        <w:t xml:space="preserve">2023; Qiu et al. 2024)</w:t>
      </w:r>
      <w:r>
        <w:t xml:space="preserve">. Joint-embedding</w:t>
      </w:r>
      <w:r>
        <w:t xml:space="preserve"> </w:t>
      </w:r>
      <w:r>
        <w:t xml:space="preserve">predictive architectures such as I-JEPA </w:t>
      </w:r>
      <w:r>
        <w:t xml:space="preserve">(Assran et al. 2023)</w:t>
      </w:r>
      <w:r>
        <w:t xml:space="preserve"> </w:t>
      </w:r>
      <w:r>
        <w:t xml:space="preserve">learn by</w:t>
      </w:r>
      <w:r>
        <w:t xml:space="preserve"> </w:t>
      </w:r>
      <w:r>
        <w:t xml:space="preserve">predicting the</w:t>
      </w:r>
      <w:r>
        <w:t xml:space="preserve"> </w:t>
      </w:r>
      <w:r>
        <w:rPr>
          <w:i/>
          <w:iCs/>
        </w:rPr>
        <w:t xml:space="preserve">representation</w:t>
      </w:r>
      <w:r>
        <w:t xml:space="preserve"> </w:t>
      </w:r>
      <w:r>
        <w:t xml:space="preserve">of masked target blocks from a visible</w:t>
      </w:r>
      <w:r>
        <w:t xml:space="preserve"> </w:t>
      </w:r>
      <w:r>
        <w:t xml:space="preserve">context block, avoiding pixel reconstruction and its bias toward high-frequency</w:t>
      </w:r>
      <w:r>
        <w:t xml:space="preserve"> </w:t>
      </w:r>
      <w:r>
        <w:t xml:space="preserve">detail </w:t>
      </w:r>
      <w:r>
        <w:t xml:space="preserve">(He et al. 2022; Xie et al. 2022)</w:t>
      </w:r>
      <w:r>
        <w:t xml:space="preserve">.</w:t>
      </w:r>
    </w:p>
    <w:p>
      <w:pPr>
        <w:pStyle w:val="BodyText"/>
      </w:pPr>
      <w:r>
        <w:t xml:space="preserve">I-JEPA samples its targets geometrically: rectangles placed uniformly at random.</w:t>
      </w:r>
      <w:r>
        <w:t xml:space="preserve"> </w:t>
      </w:r>
      <w:r>
        <w:t xml:space="preserve">In natural images this is defensible, since informative content is spread</w:t>
      </w:r>
      <w:r>
        <w:t xml:space="preserve"> </w:t>
      </w:r>
      <w:r>
        <w:t xml:space="preserve">broadly across the frame. In a retinal OCT B-scan it is not obviously so. A</w:t>
      </w:r>
      <w:r>
        <w:t xml:space="preserve"> </w:t>
      </w:r>
      <w:r>
        <w:t xml:space="preserve">large fraction of the image is dark vitreous and background. The diagnostic</w:t>
      </w:r>
      <w:r>
        <w:t xml:space="preserve"> </w:t>
      </w:r>
      <w:r>
        <w:t xml:space="preserve">signal for glaucoma is concentrated in a thin band of retinal tissue. This</w:t>
      </w:r>
      <w:r>
        <w:t xml:space="preserve"> </w:t>
      </w:r>
      <w:r>
        <w:t xml:space="preserve">motivates an intuitive hypothesis, one that several recent methods</w:t>
      </w:r>
      <w:r>
        <w:t xml:space="preserve"> </w:t>
      </w:r>
      <w:r>
        <w:t xml:space="preserve">adopt </w:t>
      </w:r>
      <w:r>
        <w:t xml:space="preserve">(Li et al. 2022; Li et al. 2024; Wang et al. 2025; Shi et al. 2022)</w:t>
      </w:r>
      <w:r>
        <w:t xml:space="preserve">:</w:t>
      </w:r>
      <w:r>
        <w:t xml:space="preserve"> </w:t>
      </w:r>
      <w:r>
        <w:rPr>
          <w:i/>
          <w:iCs/>
        </w:rPr>
        <w:t xml:space="preserve">direct the predictive objective at clinically meaningful anatomy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at arbitrary image regions.</w:t>
      </w:r>
    </w:p>
    <w:p>
      <w:pPr>
        <w:pStyle w:val="BodyText"/>
      </w:pPr>
      <w:r>
        <w:t xml:space="preserve">Selecting targets and retaining context are coupled decisions. Hiding more</w:t>
      </w:r>
      <w:r>
        <w:t xml:space="preserve"> </w:t>
      </w:r>
      <w:r>
        <w:t xml:space="preserve">tissue can increase the amount to predict while removing the evidence needed</w:t>
      </w:r>
      <w:r>
        <w:t xml:space="preserve"> </w:t>
      </w:r>
      <w:r>
        <w:t xml:space="preserve">to predict it. Random targets can also include background whose latent features</w:t>
      </w:r>
      <w:r>
        <w:t xml:space="preserve"> </w:t>
      </w:r>
      <w:r>
        <w:t xml:space="preserve">depend on surrounding tissue. We therefore examine anatomy-directed target</w:t>
      </w:r>
      <w:r>
        <w:t xml:space="preserve"> </w:t>
      </w:r>
      <w:r>
        <w:t xml:space="preserve">selection, encoder-visible context and background supervision jointly, rather</w:t>
      </w:r>
      <w:r>
        <w:t xml:space="preserve"> </w:t>
      </w:r>
      <w:r>
        <w:t xml:space="preserve">than assume that increasing anatomical coverage must help.</w:t>
      </w:r>
    </w:p>
    <w:p>
      <w:pPr>
        <w:pStyle w:val="BodyText"/>
      </w:pPr>
      <w:r>
        <w:t xml:space="preserve">We compare six masking-policy implementations, from uniformly placed rectangles</w:t>
      </w:r>
      <w:r>
        <w:t xml:space="preserve"> </w:t>
      </w:r>
      <w:r>
        <w:t xml:space="preserve">to tissue-directed rectangles and anatomy-shaped targets. The encoders descend</w:t>
      </w:r>
      <w:r>
        <w:t xml:space="preserve"> </w:t>
      </w:r>
      <w:r>
        <w:t xml:space="preserve">from a shared pretrained checkpoint, but implementation, collation and historical</w:t>
      </w:r>
      <w:r>
        <w:t xml:space="preserve"> </w:t>
      </w:r>
      <w:r>
        <w:t xml:space="preserve">continuation details differ. We use matched frozen-probe comparisons where</w:t>
      </w:r>
      <w:r>
        <w:t xml:space="preserve"> </w:t>
      </w:r>
      <w:r>
        <w:t xml:space="preserve">available and measure the masks delivered to the model, rather than infer them</w:t>
      </w:r>
      <w:r>
        <w:t xml:space="preserve"> </w:t>
      </w:r>
      <w:r>
        <w:t xml:space="preserve">from configuration names.</w:t>
      </w:r>
    </w:p>
    <w:p>
      <w:pPr>
        <w:pStyle w:val="BodyText"/>
      </w:pPr>
      <w:r>
        <w:t xml:space="preserve">The tissue-directed rectangle policies outperform uniform placement in the</w:t>
      </w:r>
      <w:r>
        <w:t xml:space="preserve"> </w:t>
      </w:r>
      <w:r>
        <w:t xml:space="preserve">observed continuations. The centroid policy uses image intensity rather than</w:t>
      </w:r>
      <w:r>
        <w:t xml:space="preserve"> </w:t>
      </w:r>
      <w:r>
        <w:t xml:space="preserve">a segmentation model and has the highest epoch-100 point estimate.</w:t>
      </w:r>
      <w:r>
        <w:t xml:space="preserve"> </w:t>
      </w:r>
      <w:r>
        <w:t xml:space="preserve">The anatomy-shaped results are mixed, including a positive early comparison.</w:t>
      </w:r>
      <w:r>
        <w:t xml:space="preserve"> </w:t>
      </w:r>
      <w:r>
        <w:t xml:space="preserve">Neither these outcomes nor the coverage-constrained arm isolates how much</w:t>
      </w:r>
      <w:r>
        <w:t xml:space="preserve"> </w:t>
      </w:r>
      <w:r>
        <w:t xml:space="preserve">anatomy should be hidden: target area, retained context and the number of</w:t>
      </w:r>
      <w:r>
        <w:t xml:space="preserve"> </w:t>
      </w:r>
      <w:r>
        <w:t xml:space="preserve">supervised target tokens also change. This motivates an implementation audit</w:t>
      </w:r>
      <w:r>
        <w:t xml:space="preserve"> </w:t>
      </w:r>
      <w:r>
        <w:t xml:space="preserve">before a stronger claim about the masking mechanism.</w:t>
      </w:r>
    </w:p>
    <w:bookmarkStart w:id="10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A six-policy study of target selection for OCT representation learning,</w:t>
      </w:r>
      <w:r>
        <w:t xml:space="preserve"> </w:t>
      </w:r>
      <w:r>
        <w:t xml:space="preserve">with a shared encoder ancestry and matched frozen-probe comparisons (every probe</w:t>
      </w:r>
      <w:r>
        <w:t xml:space="preserve"> </w:t>
      </w:r>
      <w:r>
        <w:t xml:space="preserve">fitted is listed in Appendix </w:t>
      </w:r>
      <w:bookmarkStart w:id="9" w:name="jeparef0000"/>
      <w:r>
        <w:t xml:space="preserve">A</w:t>
      </w:r>
      <w:bookmarkEnd w:id="9"/>
      <w:r>
        <w:t xml:space="preserve">).</w:t>
      </w:r>
    </w:p>
    <w:p>
      <w:pPr>
        <w:numPr>
          <w:ilvl w:val="0"/>
          <w:numId w:val="1001"/>
        </w:numPr>
      </w:pPr>
      <w:r>
        <w:t xml:space="preserve">Positive run-level results for segmenter-guided and segmentation-free</w:t>
      </w:r>
      <w:r>
        <w:t xml:space="preserve"> </w:t>
      </w:r>
      <w:r>
        <w:t xml:space="preserve">rectangle placement, with mixed outcomes for more anatomically specific</w:t>
      </w:r>
      <w:r>
        <w:t xml:space="preserve"> </w:t>
      </w:r>
      <w:r>
        <w:t xml:space="preserve">implementations.</w:t>
      </w:r>
    </w:p>
    <w:p>
      <w:pPr>
        <w:numPr>
          <w:ilvl w:val="0"/>
          <w:numId w:val="1001"/>
        </w:numPr>
      </w:pPr>
      <w:r>
        <w:t xml:space="preserve">An audit of delivered target and context geometry that identifies why</w:t>
      </w:r>
      <w:r>
        <w:t xml:space="preserve"> </w:t>
      </w:r>
      <w:r>
        <w:t xml:space="preserve">the tested implementations do not isolate anatomical coverage. Additional</w:t>
      </w:r>
      <w:r>
        <w:t xml:space="preserve"> </w:t>
      </w:r>
      <w:r>
        <w:t xml:space="preserve">background, low-label and subgroup analyses delimit the interpretation.</w:t>
      </w:r>
    </w:p>
    <w:bookmarkEnd w:id="10"/>
    <w:bookmarkEnd w:id="11"/>
    <w:bookmarkStart w:id="18" w:name="related-work"/>
    <w:p>
      <w:pPr>
        <w:pStyle w:val="Heading1"/>
      </w:pPr>
      <w:r>
        <w:t xml:space="preserve">Related work</w:t>
      </w:r>
    </w:p>
    <w:bookmarkStart w:id="12" w:name="masked-image-modelling-and-jepas."/>
    <w:p>
      <w:pPr>
        <w:pStyle w:val="Heading4"/>
      </w:pPr>
      <w:r>
        <w:t xml:space="preserve">Masked image modelling and JEPAs.</w:t>
      </w:r>
    </w:p>
    <w:p>
      <w:pPr>
        <w:pStyle w:val="FirstParagraph"/>
      </w:pPr>
      <w:r>
        <w:t xml:space="preserve">Masked autoencoders reconstruct pixels </w:t>
      </w:r>
      <w:r>
        <w:t xml:space="preserve">(He et al. 2022; Xie et al. 2022)</w:t>
      </w:r>
      <w:r>
        <w:t xml:space="preserve">;</w:t>
      </w:r>
      <w:r>
        <w:t xml:space="preserve"> </w:t>
      </w:r>
      <w:r>
        <w:t xml:space="preserve">BEiT </w:t>
      </w:r>
      <w:r>
        <w:t xml:space="preserve">(Bao et al. 2022)</w:t>
      </w:r>
      <w:r>
        <w:t xml:space="preserve"> </w:t>
      </w:r>
      <w:r>
        <w:t xml:space="preserve">and iBOT </w:t>
      </w:r>
      <w:r>
        <w:t xml:space="preserve">(Zhou et al. 2022)</w:t>
      </w:r>
      <w:r>
        <w:t xml:space="preserve"> </w:t>
      </w:r>
      <w:r>
        <w:t xml:space="preserve">predict discrete tokens;</w:t>
      </w:r>
      <w:r>
        <w:t xml:space="preserve"> </w:t>
      </w:r>
      <w:r>
        <w:t xml:space="preserve">data2vec </w:t>
      </w:r>
      <w:r>
        <w:t xml:space="preserve">(Baevski et al. 2022)</w:t>
      </w:r>
      <w:r>
        <w:t xml:space="preserve"> </w:t>
      </w:r>
      <w:r>
        <w:t xml:space="preserve">and I-JEPA </w:t>
      </w:r>
      <w:r>
        <w:t xml:space="preserve">(Assran et al. 2023)</w:t>
      </w:r>
      <w:r>
        <w:t xml:space="preserve"> </w:t>
      </w:r>
      <w:r>
        <w:t xml:space="preserve">predict</w:t>
      </w:r>
      <w:r>
        <w:t xml:space="preserve"> </w:t>
      </w:r>
      <w:r>
        <w:t xml:space="preserve">latent representations. Video and 3D extensions follow the same</w:t>
      </w:r>
      <w:r>
        <w:t xml:space="preserve"> </w:t>
      </w:r>
      <w:r>
        <w:t xml:space="preserve">template </w:t>
      </w:r>
      <w:r>
        <w:t xml:space="preserve">(Bardes et al. 2024; Z. Chen et al. 2023; Taleb et al. 2020)</w:t>
      </w:r>
      <w:r>
        <w:t xml:space="preserve">. Other JEPA</w:t>
      </w:r>
      <w:r>
        <w:t xml:space="preserve"> </w:t>
      </w:r>
      <w:r>
        <w:t xml:space="preserve">formulations also change the training objective or prediction structure</w:t>
      </w:r>
      <w:r>
        <w:t xml:space="preserve"> </w:t>
      </w:r>
      <w:r>
        <w:t xml:space="preserve">rather than only the masking distribution </w:t>
      </w:r>
      <w:r>
        <w:t xml:space="preserve">(Balestriero and LeCun 2025; He et al. 2025)</w:t>
      </w:r>
      <w:r>
        <w:t xml:space="preserve">.</w:t>
      </w:r>
    </w:p>
    <w:bookmarkEnd w:id="12"/>
    <w:bookmarkStart w:id="13" w:name="Xc9323e1a70356ce434b6755e25b2e60d34ff638"/>
    <w:p>
      <w:pPr>
        <w:pStyle w:val="Heading4"/>
      </w:pPr>
      <w:r>
        <w:t xml:space="preserve">Region selection and prediction structure.</w:t>
      </w:r>
    </w:p>
    <w:p>
      <w:pPr>
        <w:pStyle w:val="FirstParagraph"/>
      </w:pPr>
      <w:r>
        <w:t xml:space="preserve">DSeq-JEPA </w:t>
      </w:r>
      <w:r>
        <w:t xml:space="preserve">(He et al. 2025)</w:t>
      </w:r>
      <w:r>
        <w:t xml:space="preserve"> </w:t>
      </w:r>
      <w:r>
        <w:t xml:space="preserve">combines attention-derived region selection</w:t>
      </w:r>
      <w:r>
        <w:t xml:space="preserve"> </w:t>
      </w:r>
      <w:r>
        <w:t xml:space="preserve">with sequential prediction from more salient regions to less salient regions.</w:t>
      </w:r>
      <w:r>
        <w:t xml:space="preserve"> </w:t>
      </w:r>
      <w:r>
        <w:t xml:space="preserve">Its most salient region supplies context rather than being the first prediction</w:t>
      </w:r>
      <w:r>
        <w:t xml:space="preserve"> </w:t>
      </w:r>
      <w:r>
        <w:t xml:space="preserve">target. In its reported factorial ablation, discriminative selection with a</w:t>
      </w:r>
      <w:r>
        <w:t xml:space="preserve"> </w:t>
      </w:r>
      <w:r>
        <w:t xml:space="preserve">flat predictor does not improve on uniform I-JEPA in the reported single-run</w:t>
      </w:r>
      <w:r>
        <w:t xml:space="preserve"> </w:t>
      </w:r>
      <w:r>
        <w:t xml:space="preserve">point estimates, without a significance inference,</w:t>
      </w:r>
      <w:r>
        <w:t xml:space="preserve"> </w:t>
      </w:r>
      <w:r>
        <w:t xml:space="preserve">whereas their joint sequential design does. The regions, saliency source,</w:t>
      </w:r>
      <w:r>
        <w:t xml:space="preserve"> </w:t>
      </w:r>
      <w:r>
        <w:t xml:space="preserve">conditioning and datasets differ from ours; this is not a direct test of</w:t>
      </w:r>
      <w:r>
        <w:t xml:space="preserve"> </w:t>
      </w:r>
      <w:r>
        <w:t xml:space="preserve">retinal anatomy guidance. It demonstrates why successful guided prediction</w:t>
      </w:r>
      <w:r>
        <w:t xml:space="preserve"> </w:t>
      </w:r>
      <w:r>
        <w:t xml:space="preserve">cannot be reduced to the rule</w:t>
      </w:r>
      <w:r>
        <w:t xml:space="preserve"> </w:t>
      </w:r>
      <w:r>
        <w:t xml:space="preserve">“hide more important tissue.”</w:t>
      </w:r>
      <w:r>
        <w:t xml:space="preserve"> </w:t>
      </w:r>
      <w:r>
        <w:t xml:space="preserve">I-JEPA’s own</w:t>
      </w:r>
      <w:r>
        <w:t xml:space="preserve"> </w:t>
      </w:r>
      <w:r>
        <w:t xml:space="preserve">context-scale ablation likewise motivates retaining informative context</w:t>
      </w:r>
      <w:r>
        <w:t xml:space="preserve"> </w:t>
      </w:r>
      <w:r>
        <w:t xml:space="preserve">alongside sufficiently large prediction targets </w:t>
      </w:r>
      <w:r>
        <w:t xml:space="preserve">(Assran et al. 2023)</w:t>
      </w:r>
      <w:r>
        <w:t xml:space="preserve">.</w:t>
      </w:r>
    </w:p>
    <w:bookmarkEnd w:id="13"/>
    <w:bookmarkStart w:id="14" w:name="informed-masking."/>
    <w:p>
      <w:pPr>
        <w:pStyle w:val="Heading4"/>
      </w:pPr>
      <w:r>
        <w:t xml:space="preserve">Informed masking.</w:t>
      </w:r>
    </w:p>
    <w:p>
      <w:pPr>
        <w:pStyle w:val="FirstParagraph"/>
      </w:pPr>
      <w:r>
        <w:t xml:space="preserve">A substantial line of work argues that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masked matters.</w:t>
      </w:r>
      <w:r>
        <w:t xml:space="preserve"> </w:t>
      </w:r>
      <w:r>
        <w:t xml:space="preserve">ADIOS </w:t>
      </w:r>
      <w:r>
        <w:t xml:space="preserve">(Shi et al. 2022)</w:t>
      </w:r>
      <w:r>
        <w:t xml:space="preserve"> </w:t>
      </w:r>
      <w:r>
        <w:t xml:space="preserve">learns an adversarial masking model;</w:t>
      </w:r>
      <w:r>
        <w:t xml:space="preserve"> </w:t>
      </w:r>
      <w:r>
        <w:t xml:space="preserve">SemMAE </w:t>
      </w:r>
      <w:r>
        <w:t xml:space="preserve">(Li et al. 2022)</w:t>
      </w:r>
      <w:r>
        <w:t xml:space="preserve"> </w:t>
      </w:r>
      <w:r>
        <w:t xml:space="preserve">uses learned semantic parts;</w:t>
      </w:r>
      <w:r>
        <w:t xml:space="preserve"> </w:t>
      </w:r>
      <w:r>
        <w:t xml:space="preserve">AttMask </w:t>
      </w:r>
      <w:r>
        <w:t xml:space="preserve">(Kakogeorgiou et al. 2022)</w:t>
      </w:r>
      <w:r>
        <w:t xml:space="preserve"> </w:t>
      </w:r>
      <w:r>
        <w:t xml:space="preserve">masks by attention;</w:t>
      </w:r>
      <w:r>
        <w:t xml:space="preserve"> </w:t>
      </w:r>
      <w:r>
        <w:t xml:space="preserve">HardPatches </w:t>
      </w:r>
      <w:r>
        <w:t xml:space="preserve">(Wang et al. 2023)</w:t>
      </w:r>
      <w:r>
        <w:t xml:space="preserve"> </w:t>
      </w:r>
      <w:r>
        <w:t xml:space="preserve">and AutoMAE </w:t>
      </w:r>
      <w:r>
        <w:t xml:space="preserve">(H. Chen et al. 2023)</w:t>
      </w:r>
      <w:r>
        <w:t xml:space="preserve"> </w:t>
      </w:r>
      <w:r>
        <w:t xml:space="preserve">target difficulty. In the medical domain, AnatoMask </w:t>
      </w:r>
      <w:r>
        <w:t xml:space="preserve">(Li et al. 2024)</w:t>
      </w:r>
      <w:r>
        <w:t xml:space="preserve">,</w:t>
      </w:r>
      <w:r>
        <w:t xml:space="preserve"> </w:t>
      </w:r>
      <w:r>
        <w:t xml:space="preserve">AnatomyMAE </w:t>
      </w:r>
      <w:r>
        <w:t xml:space="preserve">(Ceballos Arroyo et al. 2026)</w:t>
      </w:r>
      <w:r>
        <w:t xml:space="preserve">,</w:t>
      </w:r>
      <w:r>
        <w:t xml:space="preserve"> </w:t>
      </w:r>
      <w:r>
        <w:t xml:space="preserve">MSMAE </w:t>
      </w:r>
      <w:r>
        <w:t xml:space="preserve">(Mao et al. 2023)</w:t>
      </w:r>
      <w:r>
        <w:t xml:space="preserve">, and VasoMIM </w:t>
      </w:r>
      <w:r>
        <w:t xml:space="preserve">(Huang et al. 2026)</w:t>
      </w:r>
      <w:r>
        <w:t xml:space="preserve"> </w:t>
      </w:r>
      <w:r>
        <w:t xml:space="preserve">explicitly</w:t>
      </w:r>
      <w:r>
        <w:t xml:space="preserve"> </w:t>
      </w:r>
      <w:r>
        <w:t xml:space="preserve">steer masking toward anatomy, and</w:t>
      </w:r>
      <w:r>
        <w:t xml:space="preserve"> </w:t>
      </w:r>
      <w:r>
        <w:t xml:space="preserve">Wang et al. (2025)</w:t>
      </w:r>
      <w:r>
        <w:t xml:space="preserve"> </w:t>
      </w:r>
      <w:r>
        <w:t xml:space="preserve">argue directly</w:t>
      </w:r>
      <w:r>
        <w:t xml:space="preserve"> </w:t>
      </w:r>
      <w:r>
        <w:t xml:space="preserve">for masking clinically relevant regions. Our study examines that premise</w:t>
      </w:r>
      <w:r>
        <w:t xml:space="preserve"> </w:t>
      </w:r>
      <w:r>
        <w:t xml:space="preserve">through run-level comparisons and a delivered-task audit on one task.</w:t>
      </w:r>
    </w:p>
    <w:bookmarkEnd w:id="14"/>
    <w:bookmarkStart w:id="16" w:name="X1a2f17cbd568f7b2911e44e0a45b6bbb05cc98e"/>
    <w:p>
      <w:pPr>
        <w:pStyle w:val="Heading4"/>
      </w:pPr>
      <w:r>
        <w:t xml:space="preserve">Evidence that informed masking is not uniformly better.</w:t>
      </w:r>
    </w:p>
    <w:p>
      <w:pPr>
        <w:pStyle w:val="FirstParagraph"/>
      </w:pPr>
      <w:r>
        <w:t xml:space="preserve">The effect depends on the objective and masking construction. Original MAE</w:t>
      </w:r>
      <w:r>
        <w:t xml:space="preserve"> </w:t>
      </w:r>
      <w:r>
        <w:t xml:space="preserve">uses random patches and reports better performance than its block and grid</w:t>
      </w:r>
      <w:r>
        <w:t xml:space="preserve"> </w:t>
      </w:r>
      <w:r>
        <w:t xml:space="preserve">alternatives </w:t>
      </w:r>
      <w:r>
        <w:t xml:space="preserve">(He et al. 2022)</w:t>
      </w:r>
      <w:r>
        <w:t xml:space="preserve">. SemMAE’s scheduled part-based masking improves</w:t>
      </w:r>
      <w:r>
        <w:t xml:space="preserve"> </w:t>
      </w:r>
      <w:r>
        <w:t xml:space="preserve">its reported linear-probe result, while masking whole parts throughout training</w:t>
      </w:r>
      <w:r>
        <w:t xml:space="preserve"> </w:t>
      </w:r>
      <w:r>
        <w:t xml:space="preserve">does not; its part-map ablation also shows sensitivity to the guide</w:t>
      </w:r>
      <w:r>
        <w:t xml:space="preserve"> </w:t>
      </w:r>
      <w:r>
        <w:t xml:space="preserve">source </w:t>
      </w:r>
      <w:r>
        <w:t xml:space="preserve">(Li et al. 2022)</w:t>
      </w:r>
      <w:r>
        <w:t xml:space="preserve">. Conversely, anatomy-biased masking helps in a</w:t>
      </w:r>
      <w:r>
        <w:t xml:space="preserve"> </w:t>
      </w:r>
      <w:r>
        <w:t xml:space="preserve">fine-tuned CT aneurysm-detection pipeline that also studies crop selection and</w:t>
      </w:r>
      <w:r>
        <w:t xml:space="preserve"> </w:t>
      </w:r>
      <w:r>
        <w:t xml:space="preserve">distance-map reconstruction </w:t>
      </w:r>
      <w:r>
        <w:t xml:space="preserve">(Ceballos Arroyo et al. 2026)</w:t>
      </w:r>
      <w:r>
        <w:t xml:space="preserve">. These are</w:t>
      </w:r>
      <w:r>
        <w:t xml:space="preserve"> </w:t>
      </w:r>
      <w:r>
        <w:t xml:space="preserve">different tasks and interventions, not evidence for a universal masking rule.</w:t>
      </w:r>
      <w:r>
        <w:t xml:space="preserve"> </w:t>
      </w:r>
      <w:r>
        <w:t xml:space="preserve">Our OCT comparison asks which conclusions survive a direct audit of target</w:t>
      </w:r>
      <w:r>
        <w:t xml:space="preserve"> </w:t>
      </w:r>
      <w:r>
        <w:t xml:space="preserve">selection and retained context under latent prediction. Additional contextual</w:t>
      </w:r>
      <w:r>
        <w:t xml:space="preserve"> </w:t>
      </w:r>
      <w:r>
        <w:t xml:space="preserve">comparisons are recorded in Appendix </w:t>
      </w:r>
      <w:bookmarkStart w:id="15" w:name="jeparef0001"/>
      <w:r>
        <w:t xml:space="preserve">N</w:t>
      </w:r>
      <w:bookmarkEnd w:id="15"/>
      <w:r>
        <w:t xml:space="preserve">.</w:t>
      </w:r>
    </w:p>
    <w:bookmarkEnd w:id="16"/>
    <w:bookmarkStart w:id="17" w:name="X287af06990e9ae97dcc467ea717815858a83f66"/>
    <w:p>
      <w:pPr>
        <w:pStyle w:val="Heading4"/>
      </w:pPr>
      <w:r>
        <w:t xml:space="preserve">Retinal foundation models, OCT, and fairness.</w:t>
      </w:r>
    </w:p>
    <w:p>
      <w:pPr>
        <w:pStyle w:val="FirstParagraph"/>
      </w:pPr>
      <w:r>
        <w:t xml:space="preserve">RETFound </w:t>
      </w:r>
      <w:r>
        <w:t xml:space="preserve">(</w:t>
      </w:r>
      <w:r>
        <w:t xml:space="preserve">Zhou et al.</w:t>
      </w:r>
      <w:r>
        <w:t xml:space="preserve"> </w:t>
      </w:r>
      <w:r>
        <w:t xml:space="preserve">2023)</w:t>
      </w:r>
      <w:r>
        <w:t xml:space="preserve">, VisionFM </w:t>
      </w:r>
      <w:r>
        <w:t xml:space="preserve">(Qiu et al. 2024)</w:t>
      </w:r>
      <w:r>
        <w:t xml:space="preserve">,</w:t>
      </w:r>
      <w:r>
        <w:t xml:space="preserve"> </w:t>
      </w:r>
      <w:r>
        <w:t xml:space="preserve">URFound </w:t>
      </w:r>
      <w:r>
        <w:t xml:space="preserve">(Yu et al. 2024)</w:t>
      </w:r>
      <w:r>
        <w:t xml:space="preserve">, and OCTCube </w:t>
      </w:r>
      <w:r>
        <w:t xml:space="preserve">(Liu et al. 2026)</w:t>
      </w:r>
      <w:r>
        <w:t xml:space="preserve"> </w:t>
      </w:r>
      <w:r>
        <w:t xml:space="preserve">pretrain on</w:t>
      </w:r>
      <w:r>
        <w:t xml:space="preserve"> </w:t>
      </w:r>
      <w:r>
        <w:t xml:space="preserve">large retinal corpora. OCT-specific masked modelling is explored by</w:t>
      </w:r>
      <w:r>
        <w:t xml:space="preserve"> </w:t>
      </w:r>
      <w:r>
        <w:t xml:space="preserve">Pissas et al. (2024)</w:t>
      </w:r>
      <w:r>
        <w:t xml:space="preserve">. MIRAGE </w:t>
      </w:r>
      <w:r>
        <w:t xml:space="preserve">(Morano et al. 2025)</w:t>
      </w:r>
      <w:r>
        <w:t xml:space="preserve"> </w:t>
      </w:r>
      <w:r>
        <w:t xml:space="preserve">provides multimodal</w:t>
      </w:r>
      <w:r>
        <w:t xml:space="preserve"> </w:t>
      </w:r>
      <w:r>
        <w:t xml:space="preserve">OCT segmentation and supplies the anatomical guidance used by several of our</w:t>
      </w:r>
      <w:r>
        <w:t xml:space="preserve"> </w:t>
      </w:r>
      <w:r>
        <w:t xml:space="preserve">arms, and deep glaucoma detection from OCT is</w:t>
      </w:r>
      <w:r>
        <w:t xml:space="preserve"> </w:t>
      </w:r>
      <w:r>
        <w:t xml:space="preserve">established </w:t>
      </w:r>
      <w:r>
        <w:t xml:space="preserve">(Maetschke et al. 2019; Ran et al. 2019; Noury et al. 2022)</w:t>
      </w:r>
      <w:r>
        <w:t xml:space="preserve">.</w:t>
      </w:r>
      <w:r>
        <w:t xml:space="preserve"> </w:t>
      </w:r>
      <w:r>
        <w:t xml:space="preserve">Performance disparities across demographic groups are widely</w:t>
      </w:r>
      <w:r>
        <w:t xml:space="preserve"> </w:t>
      </w:r>
      <w:r>
        <w:t xml:space="preserve">documented </w:t>
      </w:r>
      <w:r>
        <w:t xml:space="preserve">(Seyyed-Kalantari et al. 2021; Larrazabal et al. 2020; Gichoya et al. 2022)</w:t>
      </w:r>
      <w:r>
        <w:t xml:space="preserve">.</w:t>
      </w:r>
      <w:r>
        <w:t xml:space="preserve"> </w:t>
      </w:r>
      <w:r>
        <w:t xml:space="preserve">FairVision </w:t>
      </w:r>
      <w:r>
        <w:t xml:space="preserve">(Luo, Khan, et al. 2024)</w:t>
      </w:r>
      <w:r>
        <w:t xml:space="preserve"> </w:t>
      </w:r>
      <w:r>
        <w:t xml:space="preserve">and Harvard-GF </w:t>
      </w:r>
      <w:r>
        <w:t xml:space="preserve">(Luo, Tian, et al. 2024)</w:t>
      </w:r>
      <w:r>
        <w:t xml:space="preserve"> </w:t>
      </w:r>
      <w:r>
        <w:t xml:space="preserve">provide OCT data with demographic attributes, and</w:t>
      </w:r>
      <w:r>
        <w:t xml:space="preserve"> </w:t>
      </w:r>
      <w:r>
        <w:t xml:space="preserve">FairMedFM </w:t>
      </w:r>
      <w:r>
        <w:t xml:space="preserve">(Jin et al. 2024)</w:t>
      </w:r>
      <w:r>
        <w:t xml:space="preserve"> </w:t>
      </w:r>
      <w:r>
        <w:t xml:space="preserve">and</w:t>
      </w:r>
      <w:r>
        <w:t xml:space="preserve"> </w:t>
      </w:r>
      <w:r>
        <w:t xml:space="preserve">Shi et al. (2025)</w:t>
      </w:r>
      <w:r>
        <w:t xml:space="preserve"> </w:t>
      </w:r>
      <w:r>
        <w:t xml:space="preserve">benchmark</w:t>
      </w:r>
      <w:r>
        <w:t xml:space="preserve"> </w:t>
      </w:r>
      <w:r>
        <w:t xml:space="preserve">fairness for medical foundation models.</w:t>
      </w:r>
    </w:p>
    <w:bookmarkEnd w:id="17"/>
    <w:bookmarkEnd w:id="18"/>
    <w:bookmarkStart w:id="30" w:name="sec:policies"/>
    <w:p>
      <w:pPr>
        <w:pStyle w:val="Heading1"/>
      </w:pPr>
      <w:r>
        <w:t xml:space="preserve">Method: anatomy-guided target selection</w:t>
      </w:r>
    </w:p>
    <w:p>
      <w:pPr>
        <w:pStyle w:val="FirstParagraph"/>
      </w:pPr>
      <w:r>
        <w:t xml:space="preserve">We compare five policy families, represented by six historical implementations,</w:t>
      </w:r>
      <w:r>
        <w:t xml:space="preserve"> </w:t>
      </w:r>
      <w:r>
        <w:t xml:space="preserve">with a shared encoder ancestry and a common</w:t>
      </w:r>
      <w:r>
        <w:t xml:space="preserve"> </w:t>
      </w:r>
      <w:r>
        <w:t xml:space="preserve">frozen-probe protocol. The intended intervention is target selection; differences</w:t>
      </w:r>
      <w:r>
        <w:t xml:space="preserve"> </w:t>
      </w:r>
      <w:r>
        <w:t xml:space="preserve">in delivered geometry and historical continuation are reported separately.</w:t>
      </w:r>
    </w:p>
    <w:bookmarkStart w:id="2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I-JEPA samples from the token grid of an image a context block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target</w:t>
      </w:r>
      <w:r>
        <w:t xml:space="preserve"> </w:t>
      </w:r>
      <w:r>
        <w:t xml:space="preserve">blocks, which need not cover it. A context encoder embeds the visible tokens. A predictor maps that</w:t>
      </w:r>
      <w:r>
        <w:t xml:space="preserve"> </w:t>
      </w:r>
      <w:r>
        <w:t xml:space="preserve">embedding plus positional queries to predicted representations of the target</w:t>
      </w:r>
      <w:r>
        <w:t xml:space="preserve"> </w:t>
      </w:r>
      <w:r>
        <w:t xml:space="preserve">tokens. An exponential-moving-average target encoder supplies the regression</w:t>
      </w:r>
      <w:r>
        <w:t xml:space="preserve"> </w:t>
      </w:r>
      <w:r>
        <w:t xml:space="preserve">targets. With a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token grid the design choice we vary is which of</w:t>
      </w:r>
      <w:r>
        <w:t xml:space="preserve"> </w:t>
      </w:r>
      <w:r>
        <w:t xml:space="preserve">the 256 cells become targets. Figure </w:t>
      </w:r>
      <w:bookmarkStart w:id="19" w:name="jeparef0002"/>
      <w:r>
        <w:t xml:space="preserve">1</w:t>
      </w:r>
      <w:bookmarkEnd w:id="19"/>
      <w:r>
        <w:t xml:space="preserve"> </w:t>
      </w:r>
      <w:r>
        <w:t xml:space="preserve">shows the pipeline.</w:t>
      </w:r>
      <w:r>
        <w:t xml:space="preserve"> </w:t>
      </w:r>
      <w:r>
        <w:t xml:space="preserve">Target blocks are predicted in parallel from the supplied context, with no</w:t>
      </w:r>
      <w:r>
        <w:t xml:space="preserve"> </w:t>
      </w:r>
      <w:r>
        <w:t xml:space="preserve">sequential or causal conditioning on earlier predicted regions.</w:t>
      </w:r>
    </w:p>
    <w:p>
      <w:pPr>
        <w:pStyle w:val="BodyText"/>
      </w:pPr>
      <w:r>
        <w:t xml:space="preserve">We distinguish three sets: the patches outside the target union, the candidate</w:t>
      </w:r>
      <w:r>
        <w:t xml:space="preserve"> </w:t>
      </w:r>
      <w:r>
        <w:t xml:space="preserve">context block after target exclusion, and the context tokens retained after</w:t>
      </w:r>
      <w:r>
        <w:t xml:space="preserve"> </w:t>
      </w:r>
      <w:r>
        <w:t xml:space="preserve">collation. Only the last set enters the online encoder. In the geometry tables,</w:t>
      </w:r>
      <w:r>
        <w:t xml:space="preserve"> </w:t>
      </w:r>
      <w:r>
        <w:t xml:space="preserve">mask ratio denotes target-union area divided by grid area, not one minus the</w:t>
      </w:r>
      <w:r>
        <w:t xml:space="preserve"> </w:t>
      </w:r>
      <w:r>
        <w:t xml:space="preserve">fraction of tokens finally visible to the encoder.</w:t>
      </w:r>
    </w:p>
    <w:bookmarkEnd w:id="20"/>
    <w:bookmarkStart w:id="28" w:name="the-masking-policy-implementations"/>
    <w:p>
      <w:pPr>
        <w:pStyle w:val="Heading2"/>
      </w:pPr>
      <w:r>
        <w:t xml:space="preserve">The masking-policy implementations</w:t>
      </w:r>
    </w:p>
    <w:p>
      <w:pPr>
        <w:pStyle w:val="FirstParagraph"/>
      </w:pPr>
      <w:r>
        <w:t xml:space="preserve">All policies request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target blocks and one context block. Rectangle</w:t>
      </w:r>
      <w:r>
        <w:t xml:space="preserve"> </w:t>
      </w:r>
      <w:r>
        <w:t xml:space="preserve">policies share nominal scale and aspect-ratio ranges, but placement and</w:t>
      </w:r>
      <w:r>
        <w:t xml:space="preserve"> </w:t>
      </w:r>
      <w:r>
        <w:t xml:space="preserve">collation can change unique target area and encoder-visible context.</w:t>
      </w:r>
    </w:p>
    <w:p>
      <w:pPr>
        <w:pStyle w:val="BodyText"/>
      </w:pPr>
      <w:r>
        <w:t xml:space="preserve">Stock I-JEPA multiblock. Four rectangles placed</w:t>
      </w:r>
      <w:r>
        <w:t xml:space="preserve"> </w:t>
      </w:r>
      <w:r>
        <w:t xml:space="preserve">uniformly at random anywhere in the grid. No image content is consulted.</w:t>
      </w:r>
    </w:p>
    <w:p>
      <w:pPr>
        <w:pStyle w:val="BodyText"/>
      </w:pPr>
      <w:r>
        <w:t xml:space="preserve">The same nominal rectangle</w:t>
      </w:r>
      <w:r>
        <w:t xml:space="preserve"> </w:t>
      </w:r>
      <w:r>
        <w:t xml:space="preserve">count, scale and aspect-ratio distributions as</w:t>
      </w:r>
      <w:r>
        <w:t xml:space="preserve"> </w:t>
      </w:r>
      <w:r>
        <w:rPr>
          <w:smallCaps/>
        </w:rPr>
        <w:t xml:space="preserve">random</w:t>
      </w:r>
      <w:r>
        <w:t xml:space="preserve">, but</w:t>
      </w:r>
      <w:r>
        <w:t xml:space="preserve"> </w:t>
      </w:r>
      <w:r>
        <w:t xml:space="preserve">rejection-sampled onto the MIRAGE-derived repaired retinal</w:t>
      </w:r>
      <w:r>
        <w:t xml:space="preserve"> </w:t>
      </w:r>
      <w:r>
        <w:t xml:space="preserve">envelope </w:t>
      </w:r>
      <w:r>
        <w:t xml:space="preserve">(Morano et al. 2025)</w:t>
      </w:r>
      <w:r>
        <w:t xml:space="preserve">. The predicted inner-retina and choroid union</w:t>
      </w:r>
      <w:r>
        <w:t xml:space="preserve"> </w:t>
      </w:r>
      <w:r>
        <w:t xml:space="preserve">is repaired across the unlabeled middle-retina gap in native label space,</w:t>
      </w:r>
      <w:r>
        <w:t xml:space="preserve"> </w:t>
      </w:r>
      <w:r>
        <w:t xml:space="preserve">then transformed jointly with the image. This</w:t>
      </w:r>
      <w:r>
        <w:t xml:space="preserve"> </w:t>
      </w:r>
      <w:r>
        <w:t xml:space="preserve">changes the placement policy, not target shape. Overlap and delivered context</w:t>
      </w:r>
      <w:r>
        <w:t xml:space="preserve"> </w:t>
      </w:r>
      <w:r>
        <w:t xml:space="preserve">are consequences of that intervention, not independently matched controls.</w:t>
      </w:r>
    </w:p>
    <w:p>
      <w:pPr>
        <w:pStyle w:val="BodyText"/>
      </w:pPr>
      <w:r>
        <w:t xml:space="preserve">A band whose vertical position is</w:t>
      </w:r>
      <w:r>
        <w:t xml:space="preserve"> </w:t>
      </w:r>
      <w:r>
        <w:t xml:space="preserve">located per slice by a per-column intensity-weighted row centroid, smoothed</w:t>
      </w:r>
      <w:r>
        <w:t xml:space="preserve"> </w:t>
      </w:r>
      <w:r>
        <w:t xml:space="preserve">across columns, with no segmentation model and no ground-truth</w:t>
      </w:r>
      <w:r>
        <w:t xml:space="preserve"> </w:t>
      </w:r>
      <w:r>
        <w:t xml:space="preserve">annotation of any kind.</w:t>
      </w:r>
    </w:p>
    <w:p>
      <w:pPr>
        <w:pStyle w:val="BodyText"/>
      </w:pPr>
      <w:r>
        <w:t xml:space="preserve">Ragged connected components</w:t>
      </w:r>
      <w:r>
        <w:t xml:space="preserve"> </w:t>
      </w:r>
      <w:r>
        <w:t xml:space="preserve">grown on the MIRAGE score map, so target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follows tissue rather</w:t>
      </w:r>
      <w:r>
        <w:t xml:space="preserve"> </w:t>
      </w:r>
      <w:r>
        <w:t xml:space="preserve">than being rectangular. v2 also bridges diagonal adjacencies.</w:t>
      </w:r>
    </w:p>
    <w:p>
      <w:pPr>
        <w:pStyle w:val="BodyText"/>
      </w:pPr>
      <w:r>
        <w:t xml:space="preserve">Targets chosen greedily to cover anatomy while</w:t>
      </w:r>
      <w:r>
        <w:t xml:space="preserve"> </w:t>
      </w:r>
      <w:r>
        <w:t xml:space="preserve">leaving a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outside the target union. The historical run uses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0.21</m:t>
        </m:r>
      </m:oMath>
      <w:r>
        <w:t xml:space="preserve">. This condition does not guarantee the same fraction survives</w:t>
      </w:r>
      <w:r>
        <w:t xml:space="preserve"> </w:t>
      </w:r>
      <w:r>
        <w:t xml:space="preserve">final encoder-context collation, and post-placement target truncation changes</w:t>
      </w:r>
      <w:r>
        <w:t xml:space="preserve"> </w:t>
      </w:r>
      <w:r>
        <w:t xml:space="preserve">the intended coverage (Appendix </w:t>
      </w:r>
      <w:bookmarkStart w:id="21" w:name="jeparef0003"/>
      <w:r>
        <w:t xml:space="preserve">G</w:t>
      </w:r>
      <w:bookmarkEnd w:id="21"/>
      <w:r>
        <w:t xml:space="preserve">).</w:t>
      </w:r>
    </w:p>
    <w:p>
      <w:pPr>
        <w:pStyle w:val="BodyText"/>
      </w:pPr>
      <w:r>
        <w:t xml:space="preserve">Figure </w:t>
      </w:r>
      <w:bookmarkStart w:id="22" w:name="jeparef0004"/>
      <w:r>
        <w:t xml:space="preserve">4</w:t>
      </w:r>
      <w:bookmarkEnd w:id="22"/>
      <w:r>
        <w:t xml:space="preserve"> </w:t>
      </w:r>
      <w:r>
        <w:t xml:space="preserve">shows delivered token sets for the five policy</w:t>
      </w:r>
      <w:r>
        <w:t xml:space="preserve"> </w:t>
      </w:r>
      <w:r>
        <w:t xml:space="preserve">families on one shared view, using</w:t>
      </w:r>
      <w:r>
        <w:t xml:space="preserve"> </w:t>
      </w:r>
      <w:r>
        <w:rPr>
          <w:smallCaps/>
        </w:rPr>
        <w:t xml:space="preserve">anatomy-v2</w:t>
      </w:r>
      <w:r>
        <w:t xml:space="preserve"> </w:t>
      </w:r>
      <w:r>
        <w:t xml:space="preserve">as the shaped-family</w:t>
      </w:r>
      <w:r>
        <w:t xml:space="preserve"> </w:t>
      </w:r>
      <w:r>
        <w:t xml:space="preserve">representative.</w:t>
      </w:r>
    </w:p>
    <w:bookmarkStart w:id="27" w:name="fig:policies"/>
    <w:p>
      <w:pPr>
        <w:pStyle w:val="CaptionedFigure"/>
      </w:pPr>
      <w:r>
        <w:drawing>
          <wp:inline>
            <wp:extent cx="4532243" cy="227835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schematic_0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243" cy="2278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I-JEPA pretraining and frozen-encoder evaluation. The grid is schematic:</w:t>
      </w:r>
      <w:r>
        <w:t xml:space="preserve"> </w:t>
      </w:r>
      <w:r>
        <w:t xml:space="preserve">dark cells are target positions and light cells the candidate context. After</w:t>
      </w:r>
      <w:r>
        <w:t xml:space="preserve"> </w:t>
      </w:r>
      <w:r>
        <w:t xml:space="preserve">exclusion and collation, retained context tokens enter the online encoder.</w:t>
      </w:r>
      <w:r>
        <w:t xml:space="preserve"> </w:t>
      </w:r>
      <w:r>
        <w:t xml:space="preserve">The predictor uses target positions to regress features from the full-image</w:t>
      </w:r>
      <w:r>
        <w:t xml:space="preserve"> </w:t>
      </w:r>
      <w:r>
        <w:t xml:space="preserve">EMA target encoder; target-encoder gradients are stopped. Below the dashed</w:t>
      </w:r>
      <w:r>
        <w:t xml:space="preserve"> </w:t>
      </w:r>
      <w:r>
        <w:t xml:space="preserve">line, the frozen target encoder supplies patch features pooled into one</w:t>
      </w:r>
      <w:r>
        <w:t xml:space="preserve"> </w:t>
      </w:r>
      <w:r>
        <w:t xml:space="preserve">volume-level classification input. Source-verified token-map examples are</w:t>
      </w:r>
      <w:r>
        <w:t xml:space="preserve"> </w:t>
      </w:r>
      <w:r>
        <w:t xml:space="preserve">shown in Figure </w:t>
      </w:r>
      <w:bookmarkStart w:id="26" w:name="jeparef0005"/>
      <w:r>
        <w:t xml:space="preserve">4</w:t>
      </w:r>
      <w:bookmarkEnd w:id="26"/>
      <w:r>
        <w:t xml:space="preserve">.</w:t>
      </w:r>
    </w:p>
    <w:bookmarkEnd w:id="27"/>
    <w:bookmarkEnd w:id="28"/>
    <w:bookmarkStart w:id="29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We distinguish three hypotheses, the third of which requires stronger controls</w:t>
      </w:r>
      <w:r>
        <w:t xml:space="preserve"> </w:t>
      </w:r>
      <w:r>
        <w:t xml:space="preserve">than the present policy comparisons provide:</w:t>
      </w:r>
    </w:p>
    <w:p>
      <w:pPr>
        <w:pStyle w:val="BodyText"/>
      </w:pPr>
      <w:r>
        <w:rPr>
          <w:i/>
          <w:iCs/>
        </w:rPr>
        <w:t xml:space="preserve">Tissue-directed placement helps.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smallCaps/>
        </w:rPr>
        <w:t xml:space="preserve">random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Anatomical precision helps further.</w:t>
      </w:r>
      <w:r>
        <w:t xml:space="preserve"> </w:t>
      </w:r>
      <w:r>
        <w:t xml:space="preserve">anatomy arms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smallCaps/>
        </w:rPr>
        <w:t xml:space="preserve">envelope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Any benefit is due to anatomical targeting, not to incidental</w:t>
      </w:r>
      <w:r>
        <w:rPr>
          <w:i/>
          <w:iCs/>
        </w:rPr>
        <w:t xml:space="preserve"> </w:t>
      </w:r>
      <w:r>
        <w:rPr>
          <w:i/>
          <w:iCs/>
        </w:rPr>
        <w:t xml:space="preserve">changes in mask area, target count, or context size.</w:t>
      </w:r>
    </w:p>
    <w:bookmarkEnd w:id="29"/>
    <w:bookmarkEnd w:id="30"/>
    <w:bookmarkStart w:id="43" w:name="sec:setup"/>
    <w:p>
      <w:pPr>
        <w:pStyle w:val="Heading1"/>
      </w:pPr>
      <w:r>
        <w:t xml:space="preserve">Experimental setup</w:t>
      </w:r>
    </w:p>
    <w:bookmarkStart w:id="33" w:name="data."/>
    <w:p>
      <w:pPr>
        <w:pStyle w:val="Heading4"/>
      </w:pPr>
      <w:r>
        <w:t xml:space="preserve">Data.</w:t>
      </w:r>
    </w:p>
    <w:p>
      <w:pPr>
        <w:pStyle w:val="FirstParagraph"/>
      </w:pPr>
      <w:r>
        <w:t xml:space="preserve">FairVision </w:t>
      </w:r>
      <w:r>
        <w:t xml:space="preserve">(Luo, Khan, et al. 2024)</w:t>
      </w:r>
      <w:r>
        <w:t xml:space="preserve"> </w:t>
      </w:r>
      <w:r>
        <w:t xml:space="preserve">glaucoma OCT volumes.</w:t>
      </w:r>
      <w:r>
        <w:t xml:space="preserve"> </w:t>
      </w:r>
      <w:r>
        <w:t xml:space="preserve">Each volume is a 3D scan resampled to 100 B-scans of</w:t>
      </w:r>
      <w: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</m:oMath>
      <w:r>
        <w:t xml:space="preserve"> </w:t>
      </w:r>
      <w:r>
        <w:t xml:space="preserve">after</w:t>
      </w:r>
      <w:r>
        <w:t xml:space="preserve"> </w:t>
      </w:r>
      <w:r>
        <w:t xml:space="preserve">transform. The label is a binary glaucoma diagnosis. Splits are fixed and</w:t>
      </w:r>
      <w:r>
        <w:t xml:space="preserve"> </w:t>
      </w:r>
      <w:r>
        <w:t xml:space="preserve">patient-disjoint as released. Downstream evaluation uses a held-out test split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3000</m:t>
        </m:r>
      </m:oMath>
      <w:r>
        <w:t xml:space="preserve"> </w:t>
      </w:r>
      <w:r>
        <w:t xml:space="preserve">volumes (1466 positive / 1534 negative), seed 42, fixed loader order.</w:t>
      </w:r>
      <w:r>
        <w:t xml:space="preserve"> </w:t>
      </w:r>
      <w:r>
        <w:t xml:space="preserve">No test volume is used to fit or select the probe head, which is selected on a</w:t>
      </w:r>
      <w:r>
        <w:t xml:space="preserve"> </w:t>
      </w:r>
      <w:r>
        <w:t xml:space="preserve">separate validation split. The study’s choices of policy, checkpoint, analysis</w:t>
      </w:r>
      <w:r>
        <w:t xml:space="preserve"> </w:t>
      </w:r>
      <w:r>
        <w:t xml:space="preserve">and stopping horizon were made after repeated inspection of that same test split</w:t>
      </w:r>
      <w:r>
        <w:t xml:space="preserve"> </w:t>
      </w:r>
      <w:r>
        <w:t xml:space="preserve">(Section </w:t>
      </w:r>
      <w:bookmarkStart w:id="31" w:name="jeparef0006"/>
      <w:r>
        <w:t xml:space="preserve">6</w:t>
      </w:r>
      <w:bookmarkEnd w:id="31"/>
      <w:r>
        <w:t xml:space="preserve">). Test files are read in deterministic sorted order.</w:t>
      </w:r>
      <w:r>
        <w:t xml:space="preserve"> </w:t>
      </w:r>
      <w:r>
        <w:t xml:space="preserve">The saved label vectors agree across arms, but those vectors alone do not prove</w:t>
      </w:r>
      <w:r>
        <w:t xml:space="preserve"> </w:t>
      </w:r>
      <w:r>
        <w:t xml:space="preserve">case identity because the historical prediction files omit subject identifiers.</w:t>
      </w:r>
      <w:r>
        <w:t xml:space="preserve"> </w:t>
      </w:r>
      <w:r>
        <w:t xml:space="preserve">Paired analyses rely on the documented shared split and loader ordering.</w:t>
      </w:r>
      <w:r>
        <w:t xml:space="preserve"> </w:t>
      </w:r>
      <w:r>
        <w:t xml:space="preserve">Demographic attributes are used only for the subgroup</w:t>
      </w:r>
      <w:r>
        <w:t xml:space="preserve"> </w:t>
      </w:r>
      <w:r>
        <w:t xml:space="preserve">analysis in Section </w:t>
      </w:r>
      <w:bookmarkStart w:id="32" w:name="jeparef0007"/>
      <w:r>
        <w:t xml:space="preserve">5.5</w:t>
      </w:r>
      <w:bookmarkEnd w:id="32"/>
      <w:r>
        <w:t xml:space="preserve"> </w:t>
      </w:r>
      <w:r>
        <w:t xml:space="preserve">and never as model inputs.</w:t>
      </w:r>
    </w:p>
    <w:bookmarkEnd w:id="33"/>
    <w:bookmarkStart w:id="37" w:name="pretraining."/>
    <w:p>
      <w:pPr>
        <w:pStyle w:val="Heading4"/>
      </w:pPr>
      <w:r>
        <w:t xml:space="preserve">Pretraining.</w:t>
      </w:r>
    </w:p>
    <w:p>
      <w:pPr>
        <w:pStyle w:val="FirstParagraph"/>
      </w:pPr>
      <w:r>
        <w:t xml:space="preserve">Patch-level I-JEPA, ViT-Base,</w:t>
      </w:r>
      <w: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</m:oMath>
      <w:r>
        <w:t xml:space="preserve"> </w:t>
      </w:r>
      <w:r>
        <w:t xml:space="preserve">crops,</w:t>
      </w:r>
      <w:r>
        <w:t xml:space="preserve"> </w:t>
      </w:r>
      <w:r>
        <w:t xml:space="preserve">patch size 16, predictor depth 6, EMA target encoder. The reference fork is the</w:t>
      </w:r>
      <w:r>
        <w:t xml:space="preserve"> </w:t>
      </w:r>
      <w:r>
        <w:t xml:space="preserve">epoch-25 checkpoint, with matched nominal optimiser, learning-rate and</w:t>
      </w:r>
      <w:r>
        <w:t xml:space="preserve"> </w:t>
      </w:r>
      <w:r>
        <w:t xml:space="preserve">weight-decay schedules and effective batch size (512).</w:t>
      </w:r>
      <w:r>
        <w:t xml:space="preserve"> </w:t>
      </w:r>
      <w:r>
        <w:t xml:space="preserve">The checked-in</w:t>
      </w:r>
      <w:r>
        <w:t xml:space="preserve"> </w:t>
      </w:r>
      <w:r>
        <w:rPr>
          <w:smallCaps/>
        </w:rPr>
        <w:t xml:space="preserve">anatomy-v1</w:t>
      </w:r>
      <w:r>
        <w:t xml:space="preserve"> </w:t>
      </w:r>
      <w:r>
        <w:t xml:space="preserve">configuration instead resumes an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epoch-27 checkpoint; its exact historical launch record is</w:t>
      </w:r>
      <w:r>
        <w:t xml:space="preserve"> </w:t>
      </w:r>
      <w:r>
        <w:t xml:space="preserve">not retained, so a direct epoch-25 fork is not independently established for</w:t>
      </w:r>
      <w:r>
        <w:t xml:space="preserve"> </w:t>
      </w:r>
      <w:r>
        <w:t xml:space="preserve">that early result. Guidance is ramped linearly from epoch 25 to 30 and held at full strength</w:t>
      </w:r>
      <w:r>
        <w:t xml:space="preserve"> </w:t>
      </w:r>
      <w:r>
        <w:t xml:space="preserve">thereafter. Within the rectangle family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difference between arms</w:t>
      </w:r>
      <w:r>
        <w:t xml:space="preserve"> </w:t>
      </w:r>
      <w:r>
        <w:t xml:space="preserve">is the mask sampler (Section </w:t>
      </w:r>
      <w:bookmarkStart w:id="34" w:name="jeparef0008"/>
      <w:r>
        <w:t xml:space="preserve">3</w:t>
      </w:r>
      <w:bookmarkEnd w:id="34"/>
      <w:r>
        <w:t xml:space="preserve">). The anatomy family</w:t>
      </w:r>
      <w:r>
        <w:t xml:space="preserve"> </w:t>
      </w:r>
      <w:r>
        <w:t xml:space="preserve">also differs in collation, and</w:t>
      </w:r>
      <w:r>
        <w:t xml:space="preserve"> </w:t>
      </w:r>
      <w:r>
        <w:t xml:space="preserve">we quantify that in Section </w:t>
      </w:r>
      <w:bookmarkStart w:id="35" w:name="jeparef0009"/>
      <w:r>
        <w:t xml:space="preserve">5</w:t>
      </w:r>
      <w:bookmarkEnd w:id="35"/>
      <w:r>
        <w:t xml:space="preserve">.</w:t>
      </w:r>
    </w:p>
    <w:p>
      <w:pPr>
        <w:pStyle w:val="BodyText"/>
      </w:pPr>
      <w:r>
        <w:t xml:space="preserve">Arms differ in how far they were carried.</w:t>
      </w:r>
      <w:r>
        <w:t xml:space="preserve"> </w:t>
      </w:r>
      <w:r>
        <w:rPr>
          <w:smallCaps/>
        </w:rPr>
        <w:t xml:space="preserve">random</w:t>
      </w:r>
      <w:r>
        <w:t xml:space="preserve">,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reach epoch 100.</w:t>
      </w:r>
      <w:r>
        <w:t xml:space="preserve"> </w:t>
      </w:r>
      <w:r>
        <w:rPr>
          <w:smallCaps/>
        </w:rPr>
        <w:t xml:space="preserve">anatomy-v2</w:t>
      </w:r>
      <w:r>
        <w:t xml:space="preserve"> </w:t>
      </w:r>
      <w:r>
        <w:t xml:space="preserve">reaches epoch 75 (its epoch-75 and epoch-92 probes under an</w:t>
      </w:r>
      <w:r>
        <w:t xml:space="preserve"> </w:t>
      </w:r>
      <w:r>
        <w:t xml:space="preserve">earlier target-precision splice are excluded and replaced by a clean fp32</w:t>
      </w:r>
      <w:r>
        <w:t xml:space="preserve"> </w:t>
      </w:r>
      <w:r>
        <w:t xml:space="preserve">continuation, Appendix </w:t>
      </w:r>
      <w:bookmarkStart w:id="36" w:name="jeparef0010"/>
      <w:r>
        <w:t xml:space="preserve">F</w:t>
      </w:r>
      <w:bookmarkEnd w:id="36"/>
      <w:r>
        <w:t xml:space="preserve">). We stopped that arm having seen its</w:t>
      </w:r>
      <w:r>
        <w:t xml:space="preserve"> </w:t>
      </w:r>
      <w:r>
        <w:t xml:space="preserve">epoch-75 deficit, which is a selective stopping horizon and a real weakness:</w:t>
      </w:r>
      <w:r>
        <w:t xml:space="preserve"> </w:t>
      </w:r>
      <w:r>
        <w:t xml:space="preserve">a trajectory can recover, and its epoch-100 value is unmeasured, not known to be</w:t>
      </w:r>
      <w:r>
        <w:t xml:space="preserve"> </w:t>
      </w:r>
      <w:r>
        <w:t xml:space="preserve">worse.</w:t>
      </w:r>
      <w:r>
        <w:t xml:space="preserve"> </w:t>
      </w:r>
      <w:r>
        <w:rPr>
          <w:smallCaps/>
        </w:rPr>
        <w:t xml:space="preserve">anatomy-v1</w:t>
      </w:r>
      <w:r>
        <w:t xml:space="preserve"> </w:t>
      </w:r>
      <w:r>
        <w:t xml:space="preserve">has only epoch 30.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reaches epoch</w:t>
      </w:r>
      <w:r>
        <w:t xml:space="preserve"> </w:t>
      </w:r>
      <w:r>
        <w:t xml:space="preserve">100, with an extra probe at its epoch-73 peak. Epoch 50 is therefore the only</w:t>
      </w:r>
      <w:r>
        <w:t xml:space="preserve"> </w:t>
      </w:r>
      <w:r>
        <w:t xml:space="preserve">epoch at which</w:t>
      </w:r>
      <w:r>
        <w:t xml:space="preserve"> </w:t>
      </w:r>
      <w:r>
        <w:t xml:space="preserve">five policies are simultaneously available, and it carries every cross-policy</w:t>
      </w:r>
      <w:r>
        <w:t xml:space="preserve"> </w:t>
      </w:r>
      <w:r>
        <w:t xml:space="preserve">comparison that involves the anatomy or coverage arms.</w:t>
      </w:r>
    </w:p>
    <w:bookmarkEnd w:id="37"/>
    <w:bookmarkStart w:id="39" w:name="evaluation."/>
    <w:p>
      <w:pPr>
        <w:pStyle w:val="Heading4"/>
      </w:pPr>
      <w:r>
        <w:t xml:space="preserve">Evaluation.</w:t>
      </w:r>
    </w:p>
    <w:p>
      <w:pPr>
        <w:pStyle w:val="FirstParagraph"/>
      </w:pPr>
      <w:r>
        <w:t xml:space="preserve">The frozen encoder is the EMA target branch, not the</w:t>
      </w:r>
      <w:r>
        <w:t xml:space="preserve"> </w:t>
      </w:r>
      <w:r>
        <w:t xml:space="preserve">online context encoder. Per-slice features are</w:t>
      </w:r>
      <w:r>
        <w:t xml:space="preserve"> </w:t>
      </w:r>
      <w:r>
        <w:t xml:space="preserve">mean-pooled over the volume, followed by LayerNorm and a linear head. The head is</w:t>
      </w:r>
      <w:r>
        <w:t xml:space="preserve"> </w:t>
      </w:r>
      <w:r>
        <w:t xml:space="preserve">selected by validation AUC and reported on the held-out test split. We report</w:t>
      </w:r>
      <w:r>
        <w:t xml:space="preserve"> </w:t>
      </w:r>
      <w:r>
        <w:t xml:space="preserve">percentile bootstrap intervals for primary AUCs and paired deltas (10</w:t>
      </w:r>
      <w:r>
        <w:t xml:space="preserve">,</w:t>
      </w:r>
      <w:r>
        <w:t xml:space="preserve">000</w:t>
      </w:r>
      <w:r>
        <w:t xml:space="preserve"> </w:t>
      </w:r>
      <w:r>
        <w:t xml:space="preserve">class-stratified subject resamples; fitted heads fixed and each draw shared across arms) and</w:t>
      </w:r>
      <w:r>
        <w:t xml:space="preserve"> </w:t>
      </w:r>
      <w:r>
        <w:t xml:space="preserve">DeLong tests for correlated ROC curves </w:t>
      </w:r>
      <w:r>
        <w:t xml:space="preserve">(DeLong et al. 1988)</w:t>
      </w:r>
      <w:r>
        <w:t xml:space="preserve">, both of which are</w:t>
      </w:r>
      <w:r>
        <w:t xml:space="preserve"> </w:t>
      </w:r>
      <w:r>
        <w:t xml:space="preserve">conditional on the shared case ordering of the documented evaluation loaders.</w:t>
      </w:r>
      <w:r>
        <w:t xml:space="preserve"> </w:t>
      </w:r>
      <w:r>
        <w:t xml:space="preserve">The historical archives contain matching labels but no independent case-ID</w:t>
      </w:r>
      <w:r>
        <w:t xml:space="preserve"> </w:t>
      </w:r>
      <w:r>
        <w:t xml:space="preserve">manifest, as noted above.</w:t>
      </w:r>
      <w:r>
        <w:t xml:space="preserve"> </w:t>
      </w:r>
      <w:r>
        <w:t xml:space="preserve">Each test volume is a distinct subject, so case-level resampling is already</w:t>
      </w:r>
      <w:r>
        <w:t xml:space="preserve"> </w:t>
      </w:r>
      <w:r>
        <w:t xml:space="preserve">subject-level and no cluster correction is</w:t>
      </w:r>
      <w:r>
        <w:t xml:space="preserve"> </w:t>
      </w:r>
      <w:r>
        <w:t xml:space="preserve">required </w:t>
      </w:r>
      <w:r>
        <w:t xml:space="preserve">(Obuchowski 1997; Rutter 2000)</w:t>
      </w:r>
      <w:r>
        <w:t xml:space="preserve">. We follow</w:t>
      </w:r>
      <w:r>
        <w:t xml:space="preserve"> </w:t>
      </w:r>
      <w:r>
        <w:t xml:space="preserve">Maier-Hein et al. (2024)</w:t>
      </w:r>
      <w:r>
        <w:t xml:space="preserve"> </w:t>
      </w:r>
      <w:r>
        <w:t xml:space="preserve">in reporting the operating-point metrics</w:t>
      </w:r>
      <w:r>
        <w:t xml:space="preserve"> </w:t>
      </w:r>
      <w:r>
        <w:t xml:space="preserve">alongside AUC rather than AUC alone (Appendix </w:t>
      </w:r>
      <w:bookmarkStart w:id="38" w:name="jeparef0011"/>
      <w:r>
        <w:t xml:space="preserve">L</w:t>
      </w:r>
      <w:bookmarkEnd w:id="38"/>
      <w:r>
        <w:t xml:space="preserve">).</w:t>
      </w:r>
    </w:p>
    <w:bookmarkEnd w:id="39"/>
    <w:bookmarkStart w:id="42" w:name="numerical-precision."/>
    <w:p>
      <w:pPr>
        <w:pStyle w:val="Heading4"/>
      </w:pPr>
      <w:r>
        <w:t xml:space="preserve">Numerical precision.</w:t>
      </w:r>
    </w:p>
    <w:p>
      <w:pPr>
        <w:pStyle w:val="FirstParagraph"/>
      </w:pPr>
      <w:r>
        <w:t xml:space="preserve">The probe harness</w:t>
      </w:r>
      <w:r>
        <w:t xml:space="preserve"> </w:t>
      </w:r>
      <w:r>
        <w:t xml:space="preserve">defaults to mixed precision. The</w:t>
      </w:r>
      <w:r>
        <w:t xml:space="preserve"> </w:t>
      </w:r>
      <w:r>
        <w:rPr>
          <w:smallCaps/>
        </w:rPr>
        <w:t xml:space="preserve">random</w:t>
      </w:r>
      <w:r>
        <w:t xml:space="preserve">,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long-horizon probes were fitted under that default (fp16).</w:t>
      </w:r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anatomy-v1</w:t>
      </w:r>
      <w:r>
        <w:t xml:space="preserve">,</w:t>
      </w:r>
      <w:r>
        <w:t xml:space="preserve"> </w:t>
      </w:r>
      <w:r>
        <w:rPr>
          <w:smallCaps/>
        </w:rPr>
        <w:t xml:space="preserve">anatomy-v2</w:t>
      </w:r>
      <w:r>
        <w:t xml:space="preserve">,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and ancestor probes</w:t>
      </w:r>
      <w:r>
        <w:t xml:space="preserve"> </w:t>
      </w:r>
      <w:r>
        <w:t xml:space="preserve">were fitted with autocast explicitly disabled (fp32). Protocol is therefore not</w:t>
      </w:r>
      <w:r>
        <w:t xml:space="preserve"> </w:t>
      </w:r>
      <w:r>
        <w:t xml:space="preserve">uniform across probes, so we partition the comparisons: all headline contrasts in</w:t>
      </w:r>
      <w:r>
        <w:t xml:space="preserve"> </w:t>
      </w:r>
      <w:r>
        <w:t xml:space="preserve">Table </w:t>
      </w:r>
      <w:bookmarkStart w:id="40" w:name="jeparef0012"/>
      <w:r>
        <w:t xml:space="preserve">1</w:t>
      </w:r>
      <w:bookmarkEnd w:id="40"/>
      <w:r>
        <w:t xml:space="preserve"> </w:t>
      </w:r>
      <w:r>
        <w:t xml:space="preserve">are drawn from arms sharing both epoch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precision, and any contrast that would cross the precision boundary is marked</w:t>
      </w:r>
      <w:r>
        <w:t xml:space="preserve"> </w:t>
      </w:r>
      <w:r>
        <w:t xml:space="preserve">as such and excluded from headline claims. Section </w:t>
      </w:r>
      <w:bookmarkStart w:id="41" w:name="jeparef0013"/>
      <w:r>
        <w:t xml:space="preserve">5.6</w:t>
      </w:r>
      <w:bookmarkEnd w:id="41"/>
      <w:r>
        <w:t xml:space="preserve"> </w:t>
      </w:r>
      <w:r>
        <w:t xml:space="preserve">measures</w:t>
      </w:r>
      <w:r>
        <w:t xml:space="preserve"> </w:t>
      </w:r>
      <w:r>
        <w:t xml:space="preserve">the precision effect.</w:t>
      </w:r>
    </w:p>
    <w:bookmarkEnd w:id="42"/>
    <w:bookmarkEnd w:id="43"/>
    <w:bookmarkStart w:id="98" w:name="sec: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tissue-directed rectangle policies improve AUC in these runs. The causal</w:t>
      </w:r>
      <w:r>
        <w:t xml:space="preserve"> </w:t>
      </w:r>
      <w:r>
        <w:t xml:space="preserve">effect of anatomical coverage is not identified here. Each policy was pretrained once, so the</w:t>
      </w:r>
      <w:r>
        <w:t xml:space="preserve"> </w:t>
      </w:r>
      <w:r>
        <w:t xml:space="preserve">intervals below are sampling error over test subjects, not seed-to-seed</w:t>
      </w:r>
      <w:r>
        <w:t xml:space="preserve"> </w:t>
      </w:r>
      <w:r>
        <w:t xml:space="preserve">variance (Section </w:t>
      </w:r>
      <w:bookmarkStart w:id="44" w:name="jeparef0014"/>
      <w:r>
        <w:t xml:space="preserve">6</w:t>
      </w:r>
      <w:bookmarkEnd w:id="44"/>
      <w:r>
        <w:t xml:space="preserve">).</w:t>
      </w:r>
    </w:p>
    <w:bookmarkStart w:id="68" w:name="X71dd65c109f943eafdecc2071032160c7821f41"/>
    <w:p>
      <w:pPr>
        <w:pStyle w:val="Heading2"/>
      </w:pPr>
      <w:r>
        <w:t xml:space="preserve">Tissue-directed rectangle placement improves the observed AUC</w:t>
      </w:r>
    </w:p>
    <w:bookmarkStart w:id="47" w:name="tab:main"/>
    <w:p>
      <w:pPr>
        <w:pStyle w:val="TableCaption"/>
      </w:pPr>
      <w:r>
        <w:t xml:space="preserve">Frozen MeanPool probe, FairVision test (</w:t>
      </w:r>
      <m:oMath>
        <m:r>
          <m:t>N</m:t>
        </m:r>
        <m:r>
          <m:rPr>
            <m:sty m:val="p"/>
          </m:rPr>
          <m:t>=</m:t>
        </m:r>
        <m:r>
          <m:t>3000</m:t>
        </m:r>
      </m:oMath>
      <w:r>
        <w:t xml:space="preserve">, 1466 positive).</w:t>
      </w:r>
      <w:r>
        <w:t xml:space="preserve"> </w:t>
      </w:r>
      <w:r>
        <w:t xml:space="preserve">The reference ancestor is epoch 25 (AUC</w:t>
      </w:r>
      <w:r>
        <w:t xml:space="preserve"> </w:t>
      </w:r>
      <m:oMath>
        <m:r>
          <m:t>0.8487</m:t>
        </m:r>
      </m:oMath>
      <w:r>
        <w:t xml:space="preserve">); continuation provenance</w:t>
      </w:r>
      <w:r>
        <w:t xml:space="preserve"> </w:t>
      </w:r>
      <w:r>
        <w:t xml:space="preserve">is described in Section </w:t>
      </w:r>
      <w:bookmarkStart w:id="45" w:name="jeparef0015"/>
      <w:r>
        <w:t xml:space="preserve">4</w:t>
      </w:r>
      <w:bookmarkEnd w:id="45"/>
      <w:r>
        <w:t xml:space="preserve">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versus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matched</w:t>
      </w:r>
      <w:r>
        <w:t xml:space="preserve"> </w:t>
      </w:r>
      <w:r>
        <w:t xml:space="preserve">epoch. The upper block is</w:t>
      </w:r>
      <w:r>
        <w:t xml:space="preserve"> </w:t>
      </w:r>
      <w:r>
        <w:t xml:space="preserve">precision-matched (fp16 throughout) and carries every headline claim; the lower</w:t>
      </w:r>
      <w:r>
        <w:t xml:space="preserve"> </w:t>
      </w:r>
      <w:r>
        <w:t xml:space="preserve">block is fp32,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taken against an fp32 null re-probed at the same</w:t>
      </w:r>
      <w:r>
        <w:t xml:space="preserve"> </w:t>
      </w:r>
      <w:r>
        <w:t xml:space="preserve">epoch. The measured fp16/fp32</w:t>
      </w:r>
      <w:r>
        <w:t xml:space="preserve"> </w:t>
      </w:r>
      <w:r>
        <w:t xml:space="preserve">gap is at most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(Appendix </w:t>
      </w:r>
      <w:bookmarkStart w:id="46" w:name="jeparef0016"/>
      <w:r>
        <w:t xml:space="preserve">P</w:t>
      </w:r>
      <w:bookmarkEnd w:id="46"/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MeanPool probe, FairVision test (N{=}3000, 1466 positive). The reference ancestor is epoch 25 (AUC 0.8487); continuation provenance is described in Section 4. \Delta is versus random at the matched epoch. The upper block is precision-matched (fp16 throughout) and carries every headline claim; the lower block is fp32, each \Delta taken against an fp32 null re-probed at the same epoch. The measured fp16/fp32 gap is at most 2\times10^{-4} (Appendix P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epoch 50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epoch 75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epoch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3-4</w:t>
            </w:r>
            <w:r>
              <w:t xml:space="preserve">(lr)</w:t>
            </w:r>
            <w:r>
              <w:t xml:space="preserve">5-6</w:t>
            </w:r>
            <w:r>
              <w:t xml:space="preserve">(lr)</w:t>
            </w:r>
            <w:r>
              <w:t xml:space="preserve">7-8</w:t>
            </w:r>
            <w:r>
              <w:t xml:space="preserve"> </w:t>
            </w: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guidance signal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(null)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segmenter (location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0.8761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0.0120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0.8803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0.0080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0.8807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0.0062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intensity centroid, no segmenter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0.0099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0.8836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0.0113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0.8855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0.0109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anatomy-v2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segmenter (target shape)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0.8654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0.0013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0.8612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0.0111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cover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.21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segmenter (coverage)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0.0002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0.8639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0.0084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0.8577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0.0168</m:t>
              </m:r>
            </m:oMath>
          </w:p>
        </w:tc>
      </w:tr>
    </w:tbl>
    <w:bookmarkEnd w:id="47"/>
    <w:p>
      <w:pPr>
        <w:pStyle w:val="BodyText"/>
      </w:pPr>
      <w:r>
        <w:rPr>
          <w:b/>
          <w:bCs/>
        </w:rPr>
        <w:t xml:space="preserve">The observed comparisons are consistent with H1 in these continuations.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changes rectangle placement relative to the unguided</w:t>
      </w:r>
      <w:r>
        <w:t xml:space="preserve"> </w:t>
      </w:r>
      <w:r>
        <w:t xml:space="preserve">baseline (Section </w:t>
      </w:r>
      <w:bookmarkStart w:id="48" w:name="jeparef0017"/>
      <w:r>
        <w:t xml:space="preserve">3</w:t>
      </w:r>
      <w:bookmarkEnd w:id="48"/>
      <w:r>
        <w:t xml:space="preserve">). Delivered context also changes</w:t>
      </w:r>
      <w:r>
        <w:t xml:space="preserve"> </w:t>
      </w:r>
      <w:r>
        <w:t xml:space="preserve">(</w:t>
      </w:r>
      <m:oMath>
        <m:r>
          <m:t>24.7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30.7</m:t>
        </m:r>
        <m:r>
          <m:rPr>
            <m:sty m:val="p"/>
          </m:rPr>
          <m:t>%</m:t>
        </m:r>
      </m:oMath>
      <w:r>
        <w:t xml:space="preserve">, Table </w:t>
      </w:r>
      <w:bookmarkStart w:id="49" w:name="jeparef0018"/>
      <w:r>
        <w:t xml:space="preserve">5</w:t>
      </w:r>
      <w:bookmarkEnd w:id="49"/>
      <w:r>
        <w:t xml:space="preserve">), so this comparison does</w:t>
      </w:r>
      <w:r>
        <w:t xml:space="preserve"> </w:t>
      </w:r>
      <w:r>
        <w:t xml:space="preserve">not isolate location from its consequences for the prediction task.</w:t>
      </w:r>
      <w:r>
        <w:t xml:space="preserve"> </w:t>
      </w:r>
      <w:r>
        <w:t xml:space="preserve">The AUC difference is</w:t>
      </w:r>
      <w:r>
        <w:t xml:space="preserve"> </w:t>
      </w:r>
      <m:oMath>
        <m:r>
          <m:rPr>
            <m:sty m:val="p"/>
          </m:rPr>
          <m:t>+</m:t>
        </m:r>
        <m:r>
          <m:t>0.0120</m:t>
        </m:r>
      </m:oMath>
      <w:r>
        <w:t xml:space="preserve"> </w:t>
      </w:r>
      <w:r>
        <w:t xml:space="preserve">AUC at epoch 50, and</w:t>
      </w:r>
      <w:r>
        <w:t xml:space="preserve"> </w:t>
      </w:r>
      <w:r>
        <w:rPr>
          <w:smallCaps/>
        </w:rPr>
        <w:t xml:space="preserve">centroid</w:t>
      </w:r>
      <w:r>
        <w:t xml:space="preserve">, a band located from</w:t>
      </w:r>
      <w:r>
        <w:t xml:space="preserve"> </w:t>
      </w:r>
      <w:r>
        <w:t xml:space="preserve">a first-order intensity statistic with no segmentation model anywhere, is worth</w:t>
      </w:r>
      <w:r>
        <w:t xml:space="preserve"> </w:t>
      </w:r>
      <m:oMath>
        <m:r>
          <m:rPr>
            <m:sty m:val="p"/>
          </m:rPr>
          <m:t>+</m:t>
        </m:r>
        <m:r>
          <m:t>0.0109</m:t>
        </m:r>
      </m:oMath>
      <w:r>
        <w:t xml:space="preserve"> </w:t>
      </w:r>
      <w:r>
        <w:t xml:space="preserve">at epoch 100. Every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interval excludes zero at all three epochs, and all six contrasts survive</w:t>
      </w:r>
      <w:r>
        <w:t xml:space="preserve"> </w:t>
      </w:r>
      <w:r>
        <w:t xml:space="preserve">Benjamini–Hochberg correction over that family of nine (</w:t>
      </w:r>
      <m:oMath>
        <m:r>
          <m:t>q</m:t>
        </m:r>
        <m:r>
          <m:rPr>
            <m:sty m:val="p"/>
          </m:rPr>
          <m:t>≤</m:t>
        </m:r>
        <m:r>
          <m:t>0.0299</m:t>
        </m:r>
      </m:oMath>
      <w:r>
        <w:t xml:space="preserve">; Figure </w:t>
      </w:r>
      <w:bookmarkStart w:id="50" w:name="jeparef0019"/>
      <w:r>
        <w:t xml:space="preserve">2</w:t>
      </w:r>
      <w:bookmarkEnd w:id="50"/>
      <w:r>
        <w:t xml:space="preserve">b, with the full paired</w:t>
      </w:r>
      <w:r>
        <w:t xml:space="preserve"> </w:t>
      </w:r>
      <w:r>
        <w:t xml:space="preserve">inference on all nine precision-matched contrasts in</w:t>
      </w:r>
      <w:r>
        <w:t xml:space="preserve"> </w:t>
      </w:r>
      <w:r>
        <w:t xml:space="preserve">Table </w:t>
      </w:r>
      <w:bookmarkStart w:id="51" w:name="jeparef0020"/>
      <w:r>
        <w:t xml:space="preserve">15</w:t>
      </w:r>
      <w:bookmarkEnd w:id="51"/>
      <w:r>
        <w:t xml:space="preserve">, Appendix </w:t>
      </w:r>
      <w:bookmarkStart w:id="52" w:name="jeparef0021"/>
      <w:r>
        <w:t xml:space="preserve">O</w:t>
      </w:r>
      <w:bookmarkEnd w:id="52"/>
      <w:r>
        <w:t xml:space="preserve">).</w:t>
      </w:r>
    </w:p>
    <w:p>
      <w:pPr>
        <w:pStyle w:val="BodyText"/>
      </w:pPr>
      <w:r>
        <w:t xml:space="preserve">Aiming is not containment: the rectangles are large, so fewer than half of</w:t>
      </w:r>
      <w:r>
        <w:t xml:space="preserve"> </w:t>
      </w:r>
      <w:r>
        <w:rPr>
          <w:smallCaps/>
        </w:rPr>
        <w:t xml:space="preserve">envelope</w:t>
      </w:r>
      <w:r>
        <w:t xml:space="preserve">’s masked cells land on tissue (Table </w:t>
      </w:r>
      <w:bookmarkStart w:id="53" w:name="jeparef0022"/>
      <w:r>
        <w:t xml:space="preserve">2</w:t>
      </w:r>
      <w:bookmarkEnd w:id="53"/>
      <w:r>
        <w:t xml:space="preserve">). Guidance</w:t>
      </w:r>
      <w:r>
        <w:t xml:space="preserve"> </w:t>
      </w:r>
      <w:r>
        <w:t xml:space="preserve">changes where the predictor is repeatedly sent, not what it is forbidden to see.</w:t>
      </w:r>
      <w:r>
        <w:t xml:space="preserve"> </w:t>
      </w:r>
      <w:r>
        <w:t xml:space="preserve">Background diagnostics provide a complementary view of the prediction task,</w:t>
      </w:r>
      <w:r>
        <w:t xml:space="preserve"> </w:t>
      </w:r>
      <w:r>
        <w:t xml:space="preserve">not an identified explanation of the AUC differences (Section </w:t>
      </w:r>
      <w:bookmarkStart w:id="54" w:name="jeparef0023"/>
      <w:r>
        <w:t xml:space="preserve">5.3</w:t>
      </w:r>
      <w:bookmarkEnd w:id="54"/>
      <w:r>
        <w:t xml:space="preserve">).</w:t>
      </w:r>
    </w:p>
    <w:bookmarkStart w:id="58" w:name="fig:traj"/>
    <w:p>
      <w:pPr>
        <w:pStyle w:val="CaptionedFigure"/>
      </w:pPr>
      <w:r>
        <w:drawing>
          <wp:inline>
            <wp:extent cx="3787140" cy="1560175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_trajectories_c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140" cy="1560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(a)</w:t>
      </w:r>
      <w:r>
        <w:t xml:space="preserve"> </w:t>
      </w:r>
      <w:r>
        <w:t xml:space="preserve">Frozen-probe test AUC against pretraining epoch; note the</w:t>
      </w:r>
      <w:r>
        <w:t xml:space="preserve"> </w:t>
      </w:r>
      <w:r>
        <w:t xml:space="preserve">truncated AUC axis. The open star marks the shared epoch-25 ancestor.</w:t>
      </w:r>
      <w:r>
        <w:t xml:space="preserve"> </w:t>
      </w:r>
      <w:r>
        <w:t xml:space="preserve">Solid lines are the</w:t>
      </w:r>
      <w:r>
        <w:t xml:space="preserve"> </w:t>
      </w:r>
      <w:r>
        <w:t xml:space="preserve">precision-matched fp16 family; dashed lines are fp32</w:t>
      </w:r>
      <w:r>
        <w:t xml:space="preserve"> </w:t>
      </w:r>
      <w:r>
        <w:t xml:space="preserve">arms and must not be compared vertically against the solid lines.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actual inference: paired differences against the unguided null</w:t>
      </w:r>
      <w:r>
        <w:t xml:space="preserve"> </w:t>
      </w:r>
      <w:r>
        <w:t xml:space="preserve">on identical test cases, 10</w:t>
      </w:r>
      <w:r>
        <w:t xml:space="preserve">,</w:t>
      </w:r>
      <w:r>
        <w:t xml:space="preserve">000-resample percentile bootstrap intervals. Every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interval excludes zero;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straddles</w:t>
      </w:r>
      <w:r>
        <w:t xml:space="preserve"> </w:t>
      </w:r>
      <w:r>
        <w:t xml:space="preserve">zero at epoch 50 and is negative thereafter. Paired differences account for</w:t>
      </w:r>
      <w:r>
        <w:t xml:space="preserve"> </w:t>
      </w:r>
      <w:r>
        <w:t xml:space="preserve">the covariance of predictions on shared test cases; individual-arm intervals</w:t>
      </w:r>
      <w:r>
        <w:t xml:space="preserve"> </w:t>
      </w:r>
      <w:r>
        <w:t xml:space="preserve">answer a different question.</w:t>
      </w:r>
    </w:p>
    <w:bookmarkEnd w:id="58"/>
    <w:p>
      <w:pPr>
        <w:pStyle w:val="BodyText"/>
      </w:pPr>
      <w:r>
        <w:rPr>
          <w:b/>
          <w:bCs/>
        </w:rPr>
        <w:t xml:space="preserve">The anatomy-shaped results are mixed.</w:t>
      </w:r>
      <w:r>
        <w:t xml:space="preserve"> </w:t>
      </w:r>
      <w:r>
        <w:t xml:space="preserve">H2 predicts that the anatomy arms exceed</w:t>
      </w:r>
      <w:r>
        <w:t xml:space="preserve"> </w:t>
      </w:r>
      <w:r>
        <w:rPr>
          <w:smallCaps/>
        </w:rPr>
        <w:t xml:space="preserve">envelope</w:t>
      </w:r>
      <w:r>
        <w:t xml:space="preserve">. Tested directly at the matched epoch 50,</w:t>
      </w:r>
      <w:r>
        <w:t xml:space="preserve"> </w:t>
      </w:r>
      <w:r>
        <w:rPr>
          <w:smallCaps/>
        </w:rPr>
        <w:t xml:space="preserve">anatomy-v2</w:t>
      </w:r>
      <w:r>
        <w:t xml:space="preserve"> </w:t>
      </w:r>
      <w:r>
        <w:t xml:space="preserve">sits</w:t>
      </w:r>
      <w:r>
        <w:t xml:space="preserve"> </w:t>
      </w:r>
      <m:oMath>
        <m:r>
          <m:rPr>
            <m:sty m:val="p"/>
          </m:rPr>
          <m:t>−</m:t>
        </m:r>
        <m:r>
          <m:t>0.0107</m:t>
        </m:r>
      </m:oMath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(CI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0.0167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−</m:t>
        </m:r>
        <m:r>
          <m:t>0.0046</m:t>
        </m:r>
        <m:r>
          <m:rPr>
            <m:sty m:val="p"/>
          </m:rPr>
          <m:t>]</m:t>
        </m:r>
      </m:oMath>
      <w:r>
        <w:t xml:space="preserve">). At epoch 30, however,</w:t>
      </w:r>
      <w:r>
        <w:t xml:space="preserve"> </w:t>
      </w:r>
      <w:r>
        <w:rPr>
          <w:smallCaps/>
        </w:rPr>
        <w:t xml:space="preserve">anatomy-v1</w:t>
      </w:r>
      <w:r>
        <w:t xml:space="preserve"> </w:t>
      </w:r>
      <w:r>
        <w:t xml:space="preserve">sits</w:t>
      </w:r>
      <w:r>
        <w:t xml:space="preserve"> </w:t>
      </w:r>
      <m:oMath>
        <m:r>
          <m:rPr>
            <m:sty m:val="p"/>
          </m:rPr>
          <m:t>+</m:t>
        </m:r>
        <m:r>
          <m:t>0.0044</m:t>
        </m:r>
      </m:oMath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it (CI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0.0009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+</m:t>
        </m:r>
        <m:r>
          <m:t>0.0078</m:t>
        </m:r>
        <m:r>
          <m:rPr>
            <m:sty m:val="p"/>
          </m:rPr>
          <m:t>]</m:t>
        </m:r>
      </m:oMath>
      <w:r>
        <w:t xml:space="preserve">), with the early continuation’s lineage</w:t>
      </w:r>
      <w:r>
        <w:t xml:space="preserve"> </w:t>
      </w:r>
      <w:r>
        <w:t xml:space="preserve">uncertainty described in Section </w:t>
      </w:r>
      <w:bookmarkStart w:id="59" w:name="jeparef0024"/>
      <w:r>
        <w:t xml:space="preserve">4</w:t>
      </w:r>
      <w:bookmarkEnd w:id="59"/>
      <w:r>
        <w:t xml:space="preserve">. These are different implementations at</w:t>
      </w:r>
      <w:r>
        <w:t xml:space="preserve"> </w:t>
      </w:r>
      <w:r>
        <w:t xml:space="preserve">different epochs, so we do not read either as settling H2. What the pair rules</w:t>
      </w:r>
      <w:r>
        <w:t xml:space="preserve"> </w:t>
      </w:r>
      <w:r>
        <w:t xml:space="preserve">out is a uniform observed ordering across these implementations, not a causal</w:t>
      </w:r>
      <w:r>
        <w:t xml:space="preserve"> </w:t>
      </w:r>
      <w:r>
        <w:t xml:space="preserve">effect of target shape. Neither</w:t>
      </w:r>
      <w:r>
        <w:t xml:space="preserve"> </w:t>
      </w:r>
      <w:r>
        <w:rPr>
          <w:smallCaps/>
        </w:rPr>
        <w:t xml:space="preserve">anatomy-v2</w:t>
      </w:r>
      <w:r>
        <w:t xml:space="preserve"> </w:t>
      </w:r>
      <w:r>
        <w:t xml:space="preserve">nor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is resolved as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the null at the</w:t>
      </w:r>
      <w:r>
        <w:t xml:space="preserve"> </w:t>
      </w:r>
      <w:r>
        <w:t xml:space="preserve">matched epoch: both sit within a paired interval that comfortably contains zero</w:t>
      </w:r>
      <w:r>
        <w:t xml:space="preserve"> </w:t>
      </w:r>
      <w:r>
        <w:t xml:space="preserve">(Figure </w:t>
      </w:r>
      <w:bookmarkStart w:id="60" w:name="jeparef0025"/>
      <w:r>
        <w:t xml:space="preserve">2</w:t>
      </w:r>
      <w:bookmarkEnd w:id="60"/>
      <w:r>
        <w:t xml:space="preserve">b). Intervals containing zero do not establish equality</w:t>
      </w:r>
      <w:r>
        <w:t xml:space="preserve"> </w:t>
      </w:r>
      <w:r>
        <w:t xml:space="preserve">or exclude smaller beneficial or adverse effects.</w:t>
      </w:r>
    </w:p>
    <w:bookmarkStart w:id="67" w:name="X06a5318c944888221745e9912f95e66e2dd3d5c"/>
    <w:p>
      <w:pPr>
        <w:pStyle w:val="Heading4"/>
      </w:pPr>
      <w:r>
        <w:t xml:space="preserve">Carried to epoch 100 the coverage arm degrades.</w:t>
      </w:r>
    </w:p>
    <w:p>
      <w:pPr>
        <w:pStyle w:val="FirstParagraph"/>
      </w:pPr>
      <w:r>
        <w:rPr>
          <w:smallCaps/>
        </w:rPr>
        <w:t xml:space="preserve">cover</w:t>
      </w:r>
      <w:r>
        <w:t xml:space="preserve"> </w:t>
      </w:r>
      <w:r>
        <w:t xml:space="preserve">is the only policy that uses the segmenter to choose</w:t>
      </w:r>
      <w:r>
        <w:t xml:space="preserve"> </w:t>
      </w:r>
      <w:r>
        <w:rPr>
          <w:i/>
          <w:iCs/>
        </w:rPr>
        <w:t xml:space="preserve">how</w:t>
      </w:r>
      <w:r>
        <w:rPr>
          <w:i/>
          <w:iCs/>
        </w:rPr>
        <w:t xml:space="preserve"> </w:t>
      </w:r>
      <w:r>
        <w:rPr>
          <w:i/>
          <w:iCs/>
        </w:rPr>
        <w:t xml:space="preserve">much</w:t>
      </w:r>
      <w:r>
        <w:t xml:space="preserve"> </w:t>
      </w:r>
      <w:r>
        <w:t xml:space="preserve">to hide, and carried to the full horizon it produces the study’s one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result. It climbs normally to epoch 50, peaks at epoch</w:t>
      </w:r>
      <w:r>
        <w:t xml:space="preserve"> </w:t>
      </w:r>
      <m:oMath>
        <m:r>
          <m:t>73</m:t>
        </m:r>
      </m:oMath>
      <w:r>
        <w:t xml:space="preserve">, then</w:t>
      </w:r>
      <w:r>
        <w:t xml:space="preserve"> </w:t>
      </w:r>
      <w:r>
        <w:rPr>
          <w:i/>
          <w:iCs/>
        </w:rPr>
        <w:t xml:space="preserve">falls</w:t>
      </w:r>
      <w:r>
        <w:t xml:space="preserve">, losing</w:t>
      </w:r>
      <w:r>
        <w:t xml:space="preserve"> </w:t>
      </w:r>
      <m:oMath>
        <m:r>
          <m:rPr>
            <m:sty m:val="p"/>
          </m:rPr>
          <m:t>−</m:t>
        </m:r>
        <m:r>
          <m:t>0.0071</m:t>
        </m:r>
      </m:oMath>
      <w:r>
        <w:t xml:space="preserve"> </w:t>
      </w:r>
      <w:r>
        <w:t xml:space="preserve">from its own</w:t>
      </w:r>
      <w:r>
        <w:t xml:space="preserve"> </w:t>
      </w:r>
      <w:r>
        <w:t xml:space="preserve">peak (</w:t>
      </w:r>
      <m:oMath>
        <m:r>
          <m:t>p</m:t>
        </m:r>
        <m:r>
          <m:t> </m:t>
        </m:r>
      </m:oMath>
      <w:r>
        <w:t xml:space="preserve">&lt;</w:t>
      </w:r>
      <m:oMath>
        <m:r>
          <m:t>0.0001</m:t>
        </m:r>
      </m:oMath>
      <w:r>
        <w:t xml:space="preserve">) while the unguided null keeps improving</w:t>
      </w:r>
      <w:r>
        <w:t xml:space="preserve"> </w:t>
      </w:r>
      <w:r>
        <w:t xml:space="preserve">(Figure </w:t>
      </w:r>
      <w:bookmarkStart w:id="61" w:name="jeparef0026"/>
      <w:r>
        <w:t xml:space="preserve">2</w:t>
      </w:r>
      <w:bookmarkEnd w:id="61"/>
      <w:r>
        <w:t xml:space="preserve">). Its gap against the null widens monotonically across the</w:t>
      </w:r>
      <w:r>
        <w:t xml:space="preserve"> </w:t>
      </w:r>
      <w:r>
        <w:t xml:space="preserve">three matched epochs (Table </w:t>
      </w:r>
      <w:bookmarkStart w:id="62" w:name="jeparef0027"/>
      <w:r>
        <w:t xml:space="preserve">1</w:t>
      </w:r>
      <w:bookmarkEnd w:id="62"/>
      <w:r>
        <w:t xml:space="preserve">).</w:t>
      </w:r>
    </w:p>
    <w:p>
      <w:pPr>
        <w:pStyle w:val="BodyText"/>
      </w:pPr>
      <w:r>
        <w:t xml:space="preserve">We cannot read this as evidence that high coverage is harmful. An audit found</w:t>
      </w:r>
      <w:r>
        <w:t xml:space="preserve"> </w:t>
      </w:r>
      <w:r>
        <w:t xml:space="preserve">that the collator shortens predictor targets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chooses</w:t>
      </w:r>
      <w:r>
        <w:t xml:space="preserve"> </w:t>
      </w:r>
      <w:r>
        <w:t xml:space="preserve">its placement, so its delivered masks hide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anatomy than</w:t>
      </w:r>
      <w:r>
        <w:t xml:space="preserve"> </w:t>
      </w:r>
      <w:r>
        <w:rPr>
          <w:smallCaps/>
        </w:rPr>
        <w:t xml:space="preserve">envelope</w:t>
      </w:r>
      <w:r>
        <w:t xml:space="preserve">’s (Table </w:t>
      </w:r>
      <w:bookmarkStart w:id="63" w:name="jeparef0028"/>
      <w:r>
        <w:t xml:space="preserve">2</w:t>
      </w:r>
      <w:bookmarkEnd w:id="63"/>
      <w:r>
        <w:t xml:space="preserve">, Figure </w:t>
      </w:r>
      <w:bookmarkStart w:id="64" w:name="jeparef0029"/>
      <w:r>
        <w:t xml:space="preserve">3</w:t>
      </w:r>
      <w:bookmarkEnd w:id="64"/>
      <w:r>
        <w:t xml:space="preserve">) and the</w:t>
      </w:r>
      <w:r>
        <w:t xml:space="preserve"> </w:t>
      </w:r>
      <w:r>
        <w:t xml:space="preserve">arm never realised the coverage it was configured for.</w:t>
      </w:r>
      <w:r>
        <w:t xml:space="preserve"> </w:t>
      </w:r>
      <w:r>
        <w:t xml:space="preserve">Appendix </w:t>
      </w:r>
      <w:bookmarkStart w:id="65" w:name="jeparef0030"/>
      <w:r>
        <w:t xml:space="preserve">G</w:t>
      </w:r>
      <w:bookmarkEnd w:id="65"/>
      <w:r>
        <w:t xml:space="preserve"> </w:t>
      </w:r>
      <w:r>
        <w:t xml:space="preserve">gives the full account.</w:t>
      </w:r>
    </w:p>
    <w:p>
      <w:pPr>
        <w:pStyle w:val="BodyText"/>
      </w:pPr>
      <w:r>
        <w:rPr>
          <w:b/>
          <w:bCs/>
        </w:rPr>
        <w:t xml:space="preserve">The strongest policy consults no segmentation model.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finds</w:t>
      </w:r>
      <w:r>
        <w:t xml:space="preserve"> </w:t>
      </w:r>
      <w:r>
        <w:t xml:space="preserve">its band from a per-column intensity centroid: no model and no annotation. Its</w:t>
      </w:r>
      <w:r>
        <w:t xml:space="preserve"> </w:t>
      </w:r>
      <w:r>
        <w:t xml:space="preserve">margin over the null is the largest at epoch 100 and does not decay with</w:t>
      </w:r>
      <w:r>
        <w:t xml:space="preserve"> </w:t>
      </w:r>
      <w:r>
        <w:t xml:space="preserve">training, whereas</w:t>
      </w:r>
      <w:r>
        <w:t xml:space="preserve"> </w:t>
      </w:r>
      <w:r>
        <w:rPr>
          <w:smallCaps/>
        </w:rPr>
        <w:t xml:space="preserve">envelope</w:t>
      </w:r>
      <w:r>
        <w:t xml:space="preserve">’s does</w:t>
      </w:r>
      <w:r>
        <w:t xml:space="preserve"> </w:t>
      </w:r>
      <w:r>
        <w:t xml:space="preserve">(Table </w:t>
      </w:r>
      <w:bookmarkStart w:id="66" w:name="jeparef0031"/>
      <w:r>
        <w:t xml:space="preserve">1</w:t>
      </w:r>
      <w:bookmarkEnd w:id="66"/>
      <w:r>
        <w:t xml:space="preserve">), and it exceeds the segmenter-guided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arm</w:t>
      </w:r>
      <w:r>
        <w:t xml:space="preserve"> </w:t>
      </w:r>
      <w:r>
        <w:t xml:space="preserve">at epoch 100 by</w:t>
      </w:r>
      <w:r>
        <w:t xml:space="preserve"> </w:t>
      </w:r>
      <m:oMath>
        <m:r>
          <m:rPr>
            <m:sty m:val="p"/>
          </m:rPr>
          <m:t>+</m:t>
        </m:r>
        <m:r>
          <m:t>0.0047</m:t>
        </m:r>
      </m:oMath>
      <w:r>
        <w:t xml:space="preserve"> </w:t>
      </w:r>
      <w:r>
        <w:t xml:space="preserve">(CI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0.0004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+</m:t>
        </m:r>
        <m:r>
          <m:t>0.0091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w:r>
        <w:t xml:space="preserve">though their paired intervals span zero at epochs 50 and 75.</w:t>
      </w:r>
    </w:p>
    <w:bookmarkEnd w:id="67"/>
    <w:bookmarkEnd w:id="68"/>
    <w:bookmarkStart w:id="82" w:name="sec:results-h3"/>
    <w:p>
      <w:pPr>
        <w:pStyle w:val="Heading2"/>
      </w:pPr>
      <w:r>
        <w:t xml:space="preserve">Delivered geometry limits the interpretation</w:t>
      </w:r>
    </w:p>
    <w:bookmarkStart w:id="69" w:name="tab:geom"/>
    <w:p>
      <w:pPr>
        <w:pStyle w:val="TableCaption"/>
      </w:pPr>
      <w:r>
        <w:t xml:space="preserve">Measured mask geometry, 600 training slices, production samplers.</w:t>
      </w:r>
      <w:r>
        <w:t xml:space="preserve"> </w:t>
      </w:r>
      <w:r>
        <w:t xml:space="preserve">“purity”</w:t>
      </w:r>
      <w:r>
        <w:t xml:space="preserve"> </w:t>
      </w:r>
      <w:r>
        <w:t xml:space="preserve">is the fraction of masked cells lying on tissue;</w:t>
      </w:r>
      <w:r>
        <w:t xml:space="preserve"> </w:t>
      </w:r>
      <w:r>
        <w:t xml:space="preserve">“loss slots”</w:t>
      </w:r>
      <w:r>
        <w:t xml:space="preserve"> </w:t>
      </w:r>
      <w:r>
        <w:t xml:space="preserve">counts</w:t>
      </w:r>
      <w:r>
        <w:t xml:space="preserve"> </w:t>
      </w:r>
      <w:r>
        <w:t xml:space="preserve">supervised target-token instances, summed over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targets and including</w:t>
      </w:r>
      <w:r>
        <w:t xml:space="preserve"> </w:t>
      </w:r>
      <w:r>
        <w:t xml:space="preserve">duplicates. AUC is quoted at the</w:t>
      </w:r>
      <w:r>
        <w:t xml:space="preserve"> </w:t>
      </w:r>
      <w:r>
        <w:rPr>
          <w:i/>
          <w:iCs/>
        </w:rPr>
        <w:t xml:space="preserve">matched</w:t>
      </w:r>
      <w:r>
        <w:t xml:space="preserve"> </w:t>
      </w:r>
      <w:r>
        <w:t xml:space="preserve">epoch 50, so the geometry-to-AUC association is not read across</w:t>
      </w:r>
      <w:r>
        <w:t xml:space="preserve"> </w:t>
      </w:r>
      <w:r>
        <w:t xml:space="preserve">mixed epochs.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mask geometry, 600 training slices, production samplers. “purity” is the fraction of masked cells lying on tissue; “loss slots” counts supervised target-token instances, summed over the M targets and including duplicates. AUC is quoted at the matched epoch 50, so the geometry-to-AUC association is not read across mixed epoch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anatomy hidden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purity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context kept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loss slots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@ep50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0.8761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anatomy-v2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79.9%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97.1%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0.8654</w:t>
            </w:r>
          </w:p>
        </w:tc>
      </w:tr>
    </w:tbl>
    <w:bookmarkEnd w:id="69"/>
    <w:p>
      <w:pPr>
        <w:pStyle w:val="BodyText"/>
      </w:pPr>
      <w:r>
        <w:rPr>
          <w:b/>
          <w:bCs/>
        </w:rPr>
        <w:t xml:space="preserve">The highest epoch-100 endpoint hides the least anatomy.</w:t>
      </w:r>
      <w:r>
        <w:t xml:space="preserve"> </w:t>
      </w:r>
      <w:r>
        <w:t xml:space="preserve">Of the four</w:t>
      </w:r>
      <w:r>
        <w:t xml:space="preserve"> </w:t>
      </w:r>
      <w:r>
        <w:t xml:space="preserve">guided arms the one</w:t>
      </w:r>
      <w:r>
        <w:t xml:space="preserve"> </w:t>
      </w:r>
      <w:r>
        <w:t xml:space="preserve">that hides the most (masking almost nothing but tissue, at</w:t>
      </w:r>
      <w:r>
        <w:t xml:space="preserve"> </w:t>
      </w:r>
      <m:oMath>
        <m:r>
          <m:t>97.1</m:t>
        </m:r>
        <m:r>
          <m:rPr>
            <m:sty m:val="p"/>
          </m:rPr>
          <m:t>%</m:t>
        </m:r>
      </m:oMath>
      <w:r>
        <w:t xml:space="preserve"> </w:t>
      </w:r>
      <w:r>
        <w:t xml:space="preserve">purity)</w:t>
      </w:r>
      <w:r>
        <w:t xml:space="preserve"> </w:t>
      </w:r>
      <w:r>
        <w:t xml:space="preserve">does not separate from the null. Both readings come from running each</w:t>
      </w:r>
      <w:r>
        <w:t xml:space="preserve"> </w:t>
      </w:r>
      <w:r>
        <w:t xml:space="preserve">production sampler on 600 training slices and measuring the realised masks</w:t>
      </w:r>
      <w:r>
        <w:t xml:space="preserve"> </w:t>
      </w:r>
      <w:r>
        <w:t xml:space="preserve">(Table </w:t>
      </w:r>
      <w:bookmarkStart w:id="70" w:name="jeparef0032"/>
      <w:r>
        <w:t xml:space="preserve">2</w:t>
      </w:r>
      <w:bookmarkEnd w:id="70"/>
      <w:r>
        <w:t xml:space="preserve">, Figures </w:t>
      </w:r>
      <w:bookmarkStart w:id="71" w:name="jeparef0033"/>
      <w:r>
        <w:t xml:space="preserve">9</w:t>
      </w:r>
      <w:bookmarkEnd w:id="71"/>
      <w:r>
        <w:t xml:space="preserve"> </w:t>
      </w:r>
      <w:r>
        <w:t xml:space="preserve">and </w:t>
      </w:r>
      <w:bookmarkStart w:id="72" w:name="jeparef0034"/>
      <w:r>
        <w:t xml:space="preserve">10</w:t>
      </w:r>
      <w:bookmarkEnd w:id="72"/>
      <w:r>
        <w:t xml:space="preserve">;</w:t>
      </w:r>
      <w:r>
        <w:t xml:space="preserve"> </w:t>
      </w:r>
      <w:r>
        <w:t xml:space="preserve">provenance in Appendix </w:t>
      </w:r>
      <w:bookmarkStart w:id="73" w:name="jeparef0035"/>
      <w:r>
        <w:t xml:space="preserve">D</w:t>
      </w:r>
      <w:bookmarkEnd w:id="73"/>
      <w:r>
        <w:t xml:space="preserve">). What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does</w:t>
      </w:r>
      <w:r>
        <w:t xml:space="preserve"> </w:t>
      </w:r>
      <w:r>
        <w:t xml:space="preserve">instead is leave more visible: it retains more context than any other rectangle</w:t>
      </w:r>
      <w:r>
        <w:t xml:space="preserve"> </w:t>
      </w:r>
      <w:r>
        <w:t xml:space="preserve">arm, and the background stays maskable. Rank correlations over these</w:t>
      </w:r>
      <w:r>
        <w:t xml:space="preserve"> </w:t>
      </w:r>
      <w:r>
        <w:t xml:space="preserve">arms are positive for both anatomy hidden and purity, but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arms</w:t>
      </w:r>
      <w:r>
        <w:t xml:space="preserve"> </w:t>
      </w:r>
      <w:r>
        <w:t xml:space="preserve">they resolve nothing in either direction and we draw no inference from them.</w:t>
      </w:r>
      <w:r>
        <w:t xml:space="preserve"> </w:t>
      </w:r>
      <w:r>
        <w:t xml:space="preserve">Historical fine-tuned attribution images are not used to explain this result,</w:t>
      </w:r>
      <w:r>
        <w:t xml:space="preserve"> </w:t>
      </w:r>
      <w:r>
        <w:t xml:space="preserve">because their numerical inputs are not retained (Appendix </w:t>
      </w:r>
      <w:bookmarkStart w:id="74" w:name="jeparef0036"/>
      <w:r>
        <w:t xml:space="preserve">K</w:t>
      </w:r>
      <w:bookmarkEnd w:id="74"/>
      <w:r>
        <w:t xml:space="preserve">).</w:t>
      </w:r>
    </w:p>
    <w:p>
      <w:pPr>
        <w:pStyle w:val="BodyText"/>
      </w:pPr>
      <w:r>
        <w:rPr>
          <w:b/>
          <w:bCs/>
        </w:rPr>
        <w:t xml:space="preserve">The anatomy arms are confounded on several axes simultaneously.</w:t>
      </w:r>
      <w:r>
        <w:t xml:space="preserve"> </w:t>
      </w:r>
      <w:r>
        <w:rPr>
          <w:smallCaps/>
        </w:rPr>
        <w:t xml:space="preserve">anatomy-v2</w:t>
      </w:r>
      <w:r>
        <w:t xml:space="preserve"> </w:t>
      </w:r>
      <w:r>
        <w:t xml:space="preserve">retains more context still, but it also hides far less of the</w:t>
      </w:r>
      <w:r>
        <w:t xml:space="preserve"> </w:t>
      </w:r>
      <w:r>
        <w:t xml:space="preserve">grid and collapses to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predictor loss slots against about</w:t>
      </w:r>
      <w:r>
        <w:t xml:space="preserve"> </w:t>
      </w:r>
      <m:oMath>
        <m:r>
          <m:t>159</m:t>
        </m:r>
      </m:oMath>
      <w:r>
        <w:t xml:space="preserve"> </w:t>
      </w:r>
      <w:r>
        <w:t xml:space="preserve">for every rectangle arm</w:t>
      </w:r>
      <w:r>
        <w:t xml:space="preserve"> </w:t>
      </w:r>
      <w:r>
        <w:t xml:space="preserve">(Table </w:t>
      </w:r>
      <w:bookmarkStart w:id="75" w:name="jeparef0037"/>
      <w:r>
        <w:t xml:space="preserve">2</w:t>
      </w:r>
      <w:bookmarkEnd w:id="75"/>
      <w:r>
        <w:t xml:space="preserve">, Figure </w:t>
      </w:r>
      <w:bookmarkStart w:id="76" w:name="jeparef0038"/>
      <w:r>
        <w:t xml:space="preserve">11</w:t>
      </w:r>
      <w:bookmarkEnd w:id="76"/>
      <w:r>
        <w:t xml:space="preserve">), changing the prediction task. They and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also differ from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in guide provenance</w:t>
      </w:r>
      <w:r>
        <w:t xml:space="preserve"> </w:t>
      </w:r>
      <w:r>
        <w:t xml:space="preserve">(Appendix </w:t>
      </w:r>
      <w:bookmarkStart w:id="77" w:name="jeparef0039"/>
      <w:r>
        <w:t xml:space="preserve">Q</w:t>
      </w:r>
      <w:bookmarkEnd w:id="77"/>
      <w:r>
        <w:t xml:space="preserve">). Any of these could</w:t>
      </w:r>
      <w:r>
        <w:t xml:space="preserve"> </w:t>
      </w:r>
      <w:r>
        <w:t xml:space="preserve">account for its deficit without invoking target shape at all.</w:t>
      </w:r>
      <w:r>
        <w:t xml:space="preserve"> </w:t>
      </w:r>
      <w:r>
        <w:rPr>
          <w:b/>
          <w:bCs/>
        </w:rPr>
        <w:t xml:space="preserve">H3 is</w:t>
      </w:r>
      <w:r>
        <w:rPr>
          <w:b/>
          <w:bCs/>
        </w:rPr>
        <w:t xml:space="preserve"> </w:t>
      </w:r>
      <w:r>
        <w:rPr>
          <w:b/>
          <w:bCs/>
        </w:rPr>
        <w:t xml:space="preserve">therefore not identified by this design</w:t>
      </w:r>
      <w:r>
        <w:t xml:space="preserve">, and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claim that</w:t>
      </w:r>
      <w:r>
        <w:t xml:space="preserve"> </w:t>
      </w:r>
      <w:r>
        <w:t xml:space="preserve">irregular target shape is harmful.</w:t>
      </w:r>
    </w:p>
    <w:p>
      <w:pPr>
        <w:pStyle w:val="BodyText"/>
      </w:pPr>
      <w:r>
        <w:t xml:space="preserve">These are not consequences of target shape: the anatomy arms resample</w:t>
      </w:r>
      <w:r>
        <w:t xml:space="preserve"> </w:t>
      </w:r>
      <w:r>
        <w:t xml:space="preserve">every target to a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cells, so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loss slots follows by</w:t>
      </w:r>
      <w:r>
        <w:t xml:space="preserve"> </w:t>
      </w:r>
      <w:r>
        <w:t xml:space="preserve">construction, while the rectangle arms do not set</w:t>
      </w:r>
      <w:r>
        <w:t xml:space="preserve"> </w:t>
      </w:r>
      <m:oMath>
        <m:r>
          <m:t>K</m:t>
        </m:r>
      </m:oMath>
      <w:r>
        <w:t xml:space="preserve">. The two families are</w:t>
      </w:r>
      <w:r>
        <w:t xml:space="preserve"> </w:t>
      </w:r>
      <w:r>
        <w:t xml:space="preserve">collated differently, which weakens</w:t>
      </w:r>
      <w:r>
        <w:t xml:space="preserve"> </w:t>
      </w:r>
      <w:r>
        <w:t xml:space="preserve">“everything else held fixed”</w:t>
      </w:r>
      <w:r>
        <w:t xml:space="preserve"> </w:t>
      </w:r>
      <w:r>
        <w:t xml:space="preserve">for the</w:t>
      </w:r>
      <w:r>
        <w:t xml:space="preserve"> </w:t>
      </w:r>
      <w:r>
        <w:t xml:space="preserve">anatomy-versus-rectangle comparison specifically. Rectangle-family comparisons</w:t>
      </w:r>
      <w:r>
        <w:t xml:space="preserve"> </w:t>
      </w:r>
      <w:r>
        <w:t xml:space="preserve">share the collation rule but not necessarily its realized context or target</w:t>
      </w:r>
      <w:r>
        <w:t xml:space="preserve"> </w:t>
      </w:r>
      <w:r>
        <w:t xml:space="preserve">budgets (Appendix </w:t>
      </w:r>
      <w:bookmarkStart w:id="78" w:name="jeparef0040"/>
      <w:r>
        <w:t xml:space="preserve">G</w:t>
      </w:r>
      <w:bookmarkEnd w:id="78"/>
      <w:r>
        <w:t xml:space="preserve">).</w:t>
      </w:r>
    </w:p>
    <w:bookmarkStart w:id="81" w:name="production-path-replay."/>
    <w:p>
      <w:pPr>
        <w:pStyle w:val="Heading4"/>
      </w:pPr>
      <w:r>
        <w:t xml:space="preserve">Production-path replay.</w:t>
      </w:r>
    </w:p>
    <w:p>
      <w:pPr>
        <w:pStyle w:val="FirstParagraph"/>
      </w:pPr>
      <w:r>
        <w:t xml:space="preserve">On fixed Training crops in full batches, historical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loses</w:t>
      </w:r>
      <w:r>
        <w:t xml:space="preserve"> </w:t>
      </w:r>
      <w:r>
        <w:t xml:space="preserve">tissue targets through truncation in 300 of 576</w:t>
      </w:r>
      <w:r>
        <w:t xml:space="preserve"> </w:t>
      </w:r>
      <w:r>
        <w:t xml:space="preserve">views and leaves 55 with no guide-positive encoder context.</w:t>
      </w:r>
      <w:r>
        <w:t xml:space="preserve"> </w:t>
      </w:r>
      <w:r>
        <w:t xml:space="preserve">Among 573 valid guides, 358 miss the final</w:t>
      </w:r>
      <w:r>
        <w:t xml:space="preserve"> </w:t>
      </w:r>
      <w:r>
        <w:t xml:space="preserve">occupancy-cell context criterion defined in Appendix </w:t>
      </w:r>
      <w:bookmarkStart w:id="79" w:name="jeparef0041"/>
      <w:r>
        <w:t xml:space="preserve">H</w:t>
      </w:r>
      <w:bookmarkEnd w:id="79"/>
      <w:r>
        <w:t xml:space="preserve">.</w:t>
      </w:r>
      <w:r>
        <w:t xml:space="preserve"> </w:t>
      </w:r>
      <w:r>
        <w:t xml:space="preserve">Scoring the exact delivered target prefixes removes</w:t>
      </w:r>
      <w:r>
        <w:t xml:space="preserve"> </w:t>
      </w:r>
      <w:r>
        <w:t xml:space="preserve">target-truncation losses but leaves 320 context-floor misses.</w:t>
      </w:r>
      <w:r>
        <w:t xml:space="preserve"> </w:t>
      </w:r>
      <w:r>
        <w:t xml:space="preserve">A separately enabled guide-aware context selection satisfies the floor in</w:t>
      </w:r>
      <w:r>
        <w:t xml:space="preserve"> </w:t>
      </w:r>
      <w:r>
        <w:t xml:space="preserve">these valid-guide cases. These measurements identify a mismatch between the</w:t>
      </w:r>
      <w:r>
        <w:t xml:space="preserve"> </w:t>
      </w:r>
      <w:r>
        <w:t xml:space="preserve">intended and delivered task, not the cause of the historical AUC ranking.</w:t>
      </w:r>
      <w:r>
        <w:t xml:space="preserve"> </w:t>
      </w:r>
      <w:r>
        <w:t xml:space="preserve">The corrected policies have not been pretrained; details and diagnostic</w:t>
      </w:r>
      <w:r>
        <w:t xml:space="preserve"> </w:t>
      </w:r>
      <w:r>
        <w:t xml:space="preserve">controls are in Appendix </w:t>
      </w:r>
      <w:bookmarkStart w:id="80" w:name="jeparef0042"/>
      <w:r>
        <w:t xml:space="preserve">H</w:t>
      </w:r>
      <w:bookmarkEnd w:id="80"/>
      <w:r>
        <w:t xml:space="preserve">.</w:t>
      </w:r>
    </w:p>
    <w:bookmarkEnd w:id="81"/>
    <w:bookmarkEnd w:id="82"/>
    <w:bookmarkStart w:id="84" w:name="sec:results-bg"/>
    <w:p>
      <w:pPr>
        <w:pStyle w:val="Heading2"/>
      </w:pPr>
      <w:r>
        <w:t xml:space="preserve">Background targets and redundant downstream features</w:t>
      </w:r>
    </w:p>
    <w:p>
      <w:pPr>
        <w:pStyle w:val="FirstParagraph"/>
      </w:pPr>
      <w:r>
        <w:t xml:space="preserve">Unguided masking often selects background targets. At epoch 100 the null’s</w:t>
      </w:r>
      <w:r>
        <w:t xml:space="preserve"> </w:t>
      </w:r>
      <w:r>
        <w:t xml:space="preserve">predictor beats a per-position, no-context reference by</w:t>
      </w:r>
      <w:r>
        <w:t xml:space="preserve"> </w:t>
      </w:r>
      <m:oMath>
        <m:r>
          <m:t>0.680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targets,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its</w:t>
      </w:r>
      <w:r>
        <w:t xml:space="preserve"> </w:t>
      </w:r>
      <m:oMath>
        <m:r>
          <m:t>0.633</m:t>
        </m:r>
      </m:oMath>
      <w:r>
        <w:t xml:space="preserve"> </w:t>
      </w:r>
      <w:r>
        <w:t xml:space="preserve">on anatomy: predicting a</w:t>
      </w:r>
      <w:r>
        <w:t xml:space="preserve"> </w:t>
      </w:r>
      <w:r>
        <w:t xml:space="preserve">background token takes more than knowing where it sits, even though such tokens</w:t>
      </w:r>
      <w:r>
        <w:t xml:space="preserve"> </w:t>
      </w:r>
      <w:r>
        <w:t xml:space="preserve">start out nearly pure position (</w:t>
      </w:r>
      <m:oMath>
        <m:r>
          <m:t>90.8</m:t>
        </m:r>
        <m:r>
          <m:rPr>
            <m:sty m:val="p"/>
          </m:rPr>
          <m:t>%</m:t>
        </m:r>
      </m:oMath>
      <w:r>
        <w:t xml:space="preserve"> </w:t>
      </w:r>
      <w:r>
        <w:t xml:space="preserve">of across-position input variance there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pos_embed</w:t>
      </w:r>
      <w:r>
        <w:t xml:space="preserve">, against</w:t>
      </w:r>
      <w:r>
        <w:t xml:space="preserve"> </w:t>
      </w:r>
      <m:oMath>
        <m:r>
          <m:t>40.8</m:t>
        </m:r>
        <m:r>
          <m:rPr>
            <m:sty m:val="p"/>
          </m:rPr>
          <m:t>%</m:t>
        </m:r>
      </m:oMath>
      <w:r>
        <w:t xml:space="preserve"> </w:t>
      </w:r>
      <w:r>
        <w:t xml:space="preserve">at tissue). Pretraining spends</w:t>
      </w:r>
      <w:r>
        <w:t xml:space="preserve"> </w:t>
      </w:r>
      <w:r>
        <w:t xml:space="preserve">self-similarity changes during training: under</w:t>
      </w:r>
      <w:r>
        <w:t xml:space="preserve"> </w:t>
      </w:r>
      <w:r>
        <w:rPr>
          <w:smallCaps/>
        </w:rPr>
        <w:t xml:space="preserve">envelope</w:t>
      </w:r>
      <w:r>
        <w:t xml:space="preserve">, the one arm measured,</w:t>
      </w:r>
      <w:r>
        <w:t xml:space="preserve"> </w:t>
      </w:r>
      <w:r>
        <w:t xml:space="preserve">self-similarity falls from</w:t>
      </w:r>
      <w:r>
        <w:t xml:space="preserve"> </w:t>
      </w:r>
      <m:oMath>
        <m:r>
          <m:t>0.784</m:t>
        </m:r>
      </m:oMath>
      <w:r>
        <w:t xml:space="preserve"> </w:t>
      </w:r>
      <w:r>
        <w:t xml:space="preserve">untrained to</w:t>
      </w:r>
      <w:r>
        <w:t xml:space="preserve"> </w:t>
      </w:r>
      <m:oMath>
        <m:r>
          <m:t>0.346</m:t>
        </m:r>
      </m:oMath>
      <w:r>
        <w:t xml:space="preserve">.</w:t>
      </w:r>
      <w:r>
        <w:t xml:space="preserve"> </w:t>
      </w:r>
      <w:r>
        <w:t xml:space="preserve">In a separate epoch-50 regional probe using 25 slices and</w:t>
      </w:r>
      <w:r>
        <w:t xml:space="preserve"> </w:t>
      </w:r>
      <w:r>
        <w:t xml:space="preserve">2</w:t>
      </w:r>
      <w:r>
        <w:t xml:space="preserve">,</w:t>
      </w:r>
      <w:r>
        <w:t xml:space="preserve">000/600/1</w:t>
      </w:r>
      <w:r>
        <w:t xml:space="preserve">,</w:t>
      </w:r>
      <w:r>
        <w:t xml:space="preserve">000 training/validation/test volumes, pooled background features</w:t>
      </w:r>
      <w:r>
        <w:t xml:space="preserve"> </w:t>
      </w:r>
      <w:r>
        <w:t xml:space="preserve">are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linearly reconstructible from pooled anatomy features.</w:t>
      </w:r>
      <w:r>
        <w:t xml:space="preserve"> </w:t>
      </w:r>
      <w:r>
        <w:t xml:space="preserve">Residualised, background</w:t>
      </w:r>
      <w:r>
        <w:t xml:space="preserve"> </w:t>
      </w:r>
      <w:r>
        <w:t xml:space="preserve">predicts glaucoma at test AUC</w:t>
      </w:r>
      <w:r>
        <w:t xml:space="preserve"> </w:t>
      </w:r>
      <m:oMath>
        <m:r>
          <m:t>0.5515</m:t>
        </m:r>
      </m:oMath>
      <w:r>
        <w:t xml:space="preserve"> </w:t>
      </w:r>
      <w:r>
        <w:t xml:space="preserve">(barely above chance, though the</w:t>
      </w:r>
      <w:r>
        <w:t xml:space="preserve"> </w:t>
      </w:r>
      <w:r>
        <w:t xml:space="preserve">interval excludes it), and appending it to anatomy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test AUC for the null arm under that protocol. These diagnostics</w:t>
      </w:r>
      <w:r>
        <w:t xml:space="preserve"> </w:t>
      </w:r>
      <w:r>
        <w:t xml:space="preserve">show that predicting background embeddings is nontrivial and that their</w:t>
      </w:r>
      <w:r>
        <w:t xml:space="preserve"> </w:t>
      </w:r>
      <w:r>
        <w:t xml:space="preserve">incremental classification signal can be small. They do not establish why the</w:t>
      </w:r>
      <w:r>
        <w:t xml:space="preserve"> </w:t>
      </w:r>
      <w:r>
        <w:t xml:space="preserve">epoch-100 baseline is strong or whether background target selection causes a</w:t>
      </w:r>
      <w:r>
        <w:t xml:space="preserve"> </w:t>
      </w:r>
      <w:r>
        <w:t xml:space="preserve">downstream gain. The proposed causal controls were not run</w:t>
      </w:r>
      <w:r>
        <w:t xml:space="preserve"> </w:t>
      </w:r>
      <w:r>
        <w:t xml:space="preserve">(Appendix </w:t>
      </w:r>
      <w:bookmarkStart w:id="83" w:name="jeparef0043"/>
      <w:r>
        <w:t xml:space="preserve">I</w:t>
      </w:r>
      <w:bookmarkEnd w:id="83"/>
      <w:r>
        <w:t xml:space="preserve">).</w:t>
      </w:r>
    </w:p>
    <w:bookmarkEnd w:id="84"/>
    <w:bookmarkStart w:id="86" w:name="sec:labeleff"/>
    <w:p>
      <w:pPr>
        <w:pStyle w:val="Heading2"/>
      </w:pPr>
      <w:r>
        <w:t xml:space="preserve">A larger observed gap in low-label probe refits</w:t>
      </w:r>
    </w:p>
    <w:p>
      <w:pPr>
        <w:pStyle w:val="FirstParagraph"/>
      </w:pPr>
      <w:r>
        <w:t xml:space="preserve">The observed margin is larger with fewer labels: at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of the labelled 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)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leads the null by</w:t>
      </w:r>
      <w:r>
        <w:t xml:space="preserve"> </w:t>
      </w:r>
      <m:oMath>
        <m:r>
          <m:rPr>
            <m:sty m:val="p"/>
          </m:rPr>
          <m:t>+</m:t>
        </m:r>
        <m:r>
          <m:t>0.0496</m:t>
        </m:r>
      </m:oMath>
      <w:r>
        <w:t xml:space="preserve">, against</w:t>
      </w:r>
      <w:r>
        <w:t xml:space="preserve"> </w:t>
      </w:r>
      <m:oMath>
        <m:r>
          <m:rPr>
            <m:sty m:val="p"/>
          </m:rPr>
          <m:t>+</m:t>
        </m:r>
        <m:r>
          <m:t>0.0108</m:t>
        </m:r>
      </m:oMath>
      <w:r>
        <w:t xml:space="preserve"> </w:t>
      </w:r>
      <w:r>
        <w:t xml:space="preserve">at full supervision. This is descriptive evidence from</w:t>
      </w:r>
      <w:r>
        <w:t xml:space="preserve"> </w:t>
      </w:r>
      <w:r>
        <w:t xml:space="preserve">5 shared subset refits per low-label fraction, not a tested</w:t>
      </w:r>
      <w:r>
        <w:t xml:space="preserve"> </w:t>
      </w:r>
      <w:r>
        <w:t xml:space="preserve">gap-by-label-fraction interaction. Full-supervision fits agree with the</w:t>
      </w:r>
      <w:r>
        <w:t xml:space="preserve"> </w:t>
      </w:r>
      <w:r>
        <w:t xml:space="preserve">corresponding primary entries to within</w:t>
      </w:r>
      <w:r>
        <w:t xml:space="preserve"> </w:t>
      </w:r>
      <m:oMath>
        <m:r>
          <m:t>0.0009</m:t>
        </m:r>
      </m:oMath>
      <w:r>
        <w:t xml:space="preserve"> </w:t>
      </w:r>
      <w:r>
        <w:t xml:space="preserve">across the four arms.</w:t>
      </w:r>
      <w:r>
        <w:t xml:space="preserve"> </w:t>
      </w:r>
      <w:r>
        <w:t xml:space="preserve">Appendix </w:t>
      </w:r>
      <w:bookmarkStart w:id="85" w:name="jeparef0044"/>
      <w:r>
        <w:t xml:space="preserve">J</w:t>
      </w:r>
      <w:bookmarkEnd w:id="85"/>
      <w:r>
        <w:t xml:space="preserve"> </w:t>
      </w:r>
      <w:r>
        <w:t xml:space="preserve">reports the curve, variation and protocol.</w:t>
      </w:r>
    </w:p>
    <w:bookmarkEnd w:id="86"/>
    <w:bookmarkStart w:id="93" w:name="sec:subgroup"/>
    <w:p>
      <w:pPr>
        <w:pStyle w:val="Heading2"/>
      </w:pPr>
      <w:r>
        <w:t xml:space="preserve">Exploratory subgroup analysis</w:t>
      </w:r>
    </w:p>
    <w:p>
      <w:pPr>
        <w:pStyle w:val="FirstParagraph"/>
      </w:pPr>
      <w:r>
        <w:t xml:space="preserve">Across seven stratifications and 23 probes spanning aggregate AUC</w:t>
      </w:r>
      <w:r>
        <w:t xml:space="preserve"> </w:t>
      </w:r>
      <m:oMath>
        <m:r>
          <m:t>0.8483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0.8855</m:t>
        </m:r>
      </m:oMath>
      <w:r>
        <w:t xml:space="preserve">, the lowest-AUC eligible group is unchanged for five</w:t>
      </w:r>
      <w:r>
        <w:t xml:space="preserve"> </w:t>
      </w:r>
      <w:r>
        <w:t xml:space="preserve">attributes. The metadata join uses deterministic loader order and reproduces</w:t>
      </w:r>
      <w:r>
        <w:t xml:space="preserve"> </w:t>
      </w:r>
      <w:r>
        <w:t xml:space="preserve">the saved labels; excluded probes remain excluded. These probes share a test</w:t>
      </w:r>
      <w:r>
        <w:t xml:space="preserve"> </w:t>
      </w:r>
      <w:r>
        <w:t xml:space="preserve">set and include multiple checkpoints from only 7 branches,</w:t>
      </w:r>
      <w:r>
        <w:t xml:space="preserve"> </w:t>
      </w:r>
      <w:r>
        <w:t xml:space="preserve">so their subgroup rankings are descriptive, not independent replications.</w:t>
      </w:r>
      <w:r>
        <w:t xml:space="preserve"> </w:t>
      </w:r>
      <w:r>
        <w:t xml:space="preserve">The apparent checkpoint-level association between race gap and aggregate AUC</w:t>
      </w:r>
      <w:r>
        <w:t xml:space="preserve"> </w:t>
      </w:r>
      <w:r>
        <w:t xml:space="preserve">does not persist under branch aggregation (Appendix </w:t>
      </w:r>
      <w:bookmarkStart w:id="87" w:name="jeparef0045"/>
      <w:r>
        <w:t xml:space="preserve">E</w:t>
      </w:r>
      <w:bookmarkEnd w:id="87"/>
      <w:r>
        <w:t xml:space="preserve">).</w:t>
      </w:r>
    </w:p>
    <w:p>
      <w:pPr>
        <w:pStyle w:val="BodyText"/>
      </w:pPr>
      <w:r>
        <w:t xml:space="preserve">At epoch 100,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has positive point-estimate gains in all race and</w:t>
      </w:r>
      <w:r>
        <w:t xml:space="preserve"> </w:t>
      </w:r>
      <w:r>
        <w:t xml:space="preserve">disease-severity strata shown, but the adjusted race intervals exclude zero</w:t>
      </w:r>
      <w:r>
        <w:t xml:space="preserve"> </w:t>
      </w:r>
      <w:r>
        <w:t xml:space="preserve">only for the white group. Severity strata are compared with the shared negative</w:t>
      </w:r>
      <w:r>
        <w:t xml:space="preserve"> </w:t>
      </w:r>
      <w:r>
        <w:t xml:space="preserve">pool; only the mild interval excludes zero after the declared family adjustment</w:t>
      </w:r>
      <w:r>
        <w:t xml:space="preserve"> </w:t>
      </w:r>
      <w:r>
        <w:t xml:space="preserve">(Tables </w:t>
      </w:r>
      <w:bookmarkStart w:id="88" w:name="jeparef0046"/>
      <w:r>
        <w:t xml:space="preserve">7</w:t>
      </w:r>
      <w:bookmarkEnd w:id="88"/>
      <w:r>
        <w:t xml:space="preserve"> </w:t>
      </w:r>
      <w:r>
        <w:t xml:space="preserve">and </w:t>
      </w:r>
      <w:bookmarkStart w:id="89" w:name="jeparef0047"/>
      <w:r>
        <w:t xml:space="preserve">8</w:t>
      </w:r>
      <w:bookmarkEnd w:id="89"/>
      <w:r>
        <w:t xml:space="preserve">). These results do not show</w:t>
      </w:r>
      <w:r>
        <w:t xml:space="preserve"> </w:t>
      </w:r>
      <w:r>
        <w:t xml:space="preserve">that one stratum benefits more than another. The paired difference between</w:t>
      </w:r>
      <w:r>
        <w:t xml:space="preserve"> </w:t>
      </w:r>
      <w:r>
        <w:t xml:space="preserve">gains in the lowest- and highest-AUC race groups is</w:t>
      </w:r>
      <w:r>
        <w:t xml:space="preserve"> </w:t>
      </w:r>
      <m:oMath>
        <m:r>
          <m:rPr>
            <m:sty m:val="p"/>
          </m:rPr>
          <m:t>−</m:t>
        </m:r>
        <m:r>
          <m:t>0.00091</m:t>
        </m:r>
      </m:oMath>
      <w:r>
        <w:t xml:space="preserve"> </w:t>
      </w:r>
      <w:r>
        <w:t xml:space="preserve">(CI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0.03285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+</m:t>
        </m:r>
        <m:r>
          <m:t>0.03104</m:t>
        </m:r>
        <m:r>
          <m:rPr>
            <m:sty m:val="p"/>
          </m:rPr>
          <m:t>]</m:t>
        </m:r>
      </m:oMath>
      <w:r>
        <w:t xml:space="preserve">); the corresponding gender contrast also includes zero.</w:t>
      </w:r>
    </w:p>
    <w:p>
      <w:pPr>
        <w:pStyle w:val="BodyText"/>
      </w:pPr>
      <w:r>
        <w:t xml:space="preserve">No general equity improvement is established. Other attributes include</w:t>
      </w:r>
      <w:r>
        <w:t xml:space="preserve"> </w:t>
      </w:r>
      <w:r>
        <w:t xml:space="preserve">exceptions to the positive point-estimate pattern, and a shared validation-selected</w:t>
      </w:r>
      <w:r>
        <w:t xml:space="preserve"> </w:t>
      </w:r>
      <w:r>
        <w:t xml:space="preserve">threshold transfers unevenly across strata (Appendix </w:t>
      </w:r>
      <w:bookmarkStart w:id="90" w:name="jeparef0048"/>
      <w:r>
        <w:t xml:space="preserve">L</w:t>
      </w:r>
      <w:bookmarkEnd w:id="90"/>
      <w:r>
        <w:t xml:space="preserve">).</w:t>
      </w:r>
      <w:r>
        <w:t xml:space="preserve"> </w:t>
      </w:r>
      <w:r>
        <w:t xml:space="preserve">The full subgroup and race-by-gender analyses are in</w:t>
      </w:r>
      <w:r>
        <w:t xml:space="preserve"> </w:t>
      </w:r>
      <w:r>
        <w:t xml:space="preserve">Appendices </w:t>
      </w:r>
      <w:bookmarkStart w:id="91" w:name="jeparef0049"/>
      <w:r>
        <w:t xml:space="preserve">E</w:t>
      </w:r>
      <w:bookmarkEnd w:id="91"/>
      <w:r>
        <w:t xml:space="preserve"> </w:t>
      </w:r>
      <w:r>
        <w:t xml:space="preserve">and </w:t>
      </w:r>
      <w:bookmarkStart w:id="92" w:name="jeparef0050"/>
      <w:r>
        <w:t xml:space="preserve">E.1</w:t>
      </w:r>
      <w:bookmarkEnd w:id="92"/>
      <w:r>
        <w:t xml:space="preserve">. Masking policy is</w:t>
      </w:r>
      <w:r>
        <w:t xml:space="preserve"> </w:t>
      </w:r>
      <w:r>
        <w:t xml:space="preserve">not presented as a fairness intervention.</w:t>
      </w:r>
    </w:p>
    <w:bookmarkEnd w:id="93"/>
    <w:bookmarkStart w:id="97" w:name="sec:precision"/>
    <w:p>
      <w:pPr>
        <w:pStyle w:val="Heading2"/>
      </w:pPr>
      <w:r>
        <w:t xml:space="preserve">Controls: the effect is not a precision artefact</w:t>
      </w:r>
    </w:p>
    <w:p>
      <w:pPr>
        <w:pStyle w:val="FirstParagraph"/>
      </w:pPr>
      <w:r>
        <w:t xml:space="preserve">The eight recorded fp32 re-probes shift AUC by less than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orders of magnitude below the effects in</w:t>
      </w:r>
      <w:r>
        <w:t xml:space="preserve"> </w:t>
      </w:r>
      <w:r>
        <w:t xml:space="preserve">Table </w:t>
      </w:r>
      <w:bookmarkStart w:id="94" w:name="jeparef0051"/>
      <w:r>
        <w:t xml:space="preserve">1</w:t>
      </w:r>
      <w:bookmarkEnd w:id="94"/>
      <w:r>
        <w:t xml:space="preserve">, so the differing autocast settings of</w:t>
      </w:r>
      <w:r>
        <w:t xml:space="preserve"> </w:t>
      </w:r>
      <w:r>
        <w:t xml:space="preserve">Section </w:t>
      </w:r>
      <w:bookmarkStart w:id="95" w:name="jeparef0052"/>
      <w:r>
        <w:t xml:space="preserve">4</w:t>
      </w:r>
      <w:bookmarkEnd w:id="95"/>
      <w:r>
        <w:t xml:space="preserve"> </w:t>
      </w:r>
      <w:r>
        <w:t xml:space="preserve">are not the effect and every contrast is matched on</w:t>
      </w:r>
      <w:r>
        <w:t xml:space="preserve"> </w:t>
      </w:r>
      <w:r>
        <w:t xml:space="preserve">precision (Appendix </w:t>
      </w:r>
      <w:bookmarkStart w:id="96" w:name="jeparef0053"/>
      <w:r>
        <w:t xml:space="preserve">P</w:t>
      </w:r>
      <w:bookmarkEnd w:id="96"/>
      <w:r>
        <w:t xml:space="preserve">). The generating script, the epoch-100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encoder, its head and its stored per-case predictions are retained</w:t>
      </w:r>
      <w:r>
        <w:t xml:space="preserve"> </w:t>
      </w:r>
      <w:r>
        <w:t xml:space="preserve">(links withheld for anonymity).</w:t>
      </w:r>
      <w:r>
        <w:t xml:space="preserve"> </w:t>
      </w:r>
      <w:r>
        <w:t xml:space="preserve">Applying the recovered original head to the retained fp32 test-feature cache</w:t>
      </w:r>
      <w:r>
        <w:t xml:space="preserve"> </w:t>
      </w:r>
      <w:r>
        <w:t xml:space="preserve">reproduces the stored AUC to</w:t>
      </w:r>
      <w:r>
        <w:t xml:space="preserve"> </w:t>
      </w:r>
      <m:oMath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 This is agreement between the</w:t>
      </w:r>
      <w:r>
        <w:t xml:space="preserve"> </w:t>
      </w:r>
      <w:r>
        <w:t xml:space="preserve">head, cached features and saved scores, not a fresh end-to-end encoder rerun.</w:t>
      </w:r>
    </w:p>
    <w:bookmarkEnd w:id="97"/>
    <w:bookmarkEnd w:id="98"/>
    <w:bookmarkStart w:id="110" w:name="sec:limits"/>
    <w:p>
      <w:pPr>
        <w:pStyle w:val="Heading1"/>
      </w:pPr>
      <w:r>
        <w:t xml:space="preserve">Discussion and limitations</w:t>
      </w:r>
    </w:p>
    <w:bookmarkStart w:id="99" w:name="what-the-evidence-supports."/>
    <w:p>
      <w:pPr>
        <w:pStyle w:val="Heading4"/>
      </w:pPr>
      <w:r>
        <w:t xml:space="preserve">What the evidence supports.</w:t>
      </w:r>
    </w:p>
    <w:p>
      <w:pPr>
        <w:pStyle w:val="FirstParagraph"/>
      </w:pPr>
      <w:r>
        <w:t xml:space="preserve">The segmenter-guided continuation has higher observed AUC by</w:t>
      </w:r>
      <w:r>
        <w:t xml:space="preserve"> </w:t>
      </w:r>
      <m:oMath>
        <m:r>
          <m:rPr>
            <m:sty m:val="p"/>
          </m:rPr>
          <m:t>+</m:t>
        </m:r>
        <m:r>
          <m:t>0.0120</m:t>
        </m:r>
      </m:oMath>
      <w:r>
        <w:t xml:space="preserve"> </w:t>
      </w:r>
      <w:r>
        <w:t xml:space="preserve">at epoch 50, and the intensity-centroid policy by</w:t>
      </w:r>
      <w:r>
        <w:t xml:space="preserve"> </w:t>
      </w:r>
      <m:oMath>
        <m:r>
          <m:rPr>
            <m:sty m:val="p"/>
          </m:rPr>
          <m:t>+</m:t>
        </m:r>
        <m:r>
          <m:t>0.0109</m:t>
        </m:r>
      </m:oMath>
      <w:r>
        <w:t xml:space="preserve"> </w:t>
      </w:r>
      <w:r>
        <w:t xml:space="preserve">at epoch 100, relative to their matched uniform</w:t>
      </w:r>
      <w:r>
        <w:t xml:space="preserve"> </w:t>
      </w:r>
      <w:r>
        <w:t xml:space="preserve">baselines. Paired intervals exclude zero at all three observed epochs.</w:t>
      </w:r>
      <w:r>
        <w:t xml:space="preserve"> </w:t>
      </w:r>
      <w:r>
        <w:t xml:space="preserve">The latter policy requires no segmentation model. More anatomically specific</w:t>
      </w:r>
      <w:r>
        <w:t xml:space="preserve"> </w:t>
      </w:r>
      <w:r>
        <w:t xml:space="preserve">implementations do not have a consistent advantage, but this is not a controlled</w:t>
      </w:r>
      <w:r>
        <w:t xml:space="preserve"> </w:t>
      </w:r>
      <w:r>
        <w:t xml:space="preserve">test of target shape or coverage: delivered context, target area, loss weighting</w:t>
      </w:r>
      <w:r>
        <w:t xml:space="preserve"> </w:t>
      </w:r>
      <w:r>
        <w:t xml:space="preserve">and guide provenance differ. Background diagnostics motivate considering the</w:t>
      </w:r>
      <w:r>
        <w:t xml:space="preserve"> </w:t>
      </w:r>
      <w:r>
        <w:t xml:space="preserve">information in targets and context jointly, rather than treating all background</w:t>
      </w:r>
      <w:r>
        <w:t xml:space="preserve"> </w:t>
      </w:r>
      <w:r>
        <w:t xml:space="preserve">as wasted supervision. Their downstream causal contribution is unresolved.</w:t>
      </w:r>
    </w:p>
    <w:bookmarkEnd w:id="99"/>
    <w:bookmarkStart w:id="101" w:name="what-it-does-not-support."/>
    <w:p>
      <w:pPr>
        <w:pStyle w:val="Heading4"/>
      </w:pPr>
      <w:r>
        <w:t xml:space="preserve">What it does not support.</w:t>
      </w:r>
    </w:p>
    <w:p>
      <w:pPr>
        <w:pStyle w:val="FirstParagraph"/>
      </w:pPr>
      <w:r>
        <w:t xml:space="preserve">We cannot claim anatomy-shaped masking is</w:t>
      </w:r>
      <w:r>
        <w:t xml:space="preserve"> </w:t>
      </w:r>
      <w:r>
        <w:rPr>
          <w:i/>
          <w:iCs/>
        </w:rPr>
        <w:t xml:space="preserve">harmful</w:t>
      </w:r>
      <w:r>
        <w:t xml:space="preserve">: at the matched epoch it</w:t>
      </w:r>
      <w:r>
        <w:t xml:space="preserve"> </w:t>
      </w:r>
      <w:r>
        <w:t xml:space="preserve">sits</w:t>
      </w:r>
      <w:r>
        <w:t xml:space="preserve"> </w:t>
      </w:r>
      <m:oMath>
        <m:r>
          <m:rPr>
            <m:sty m:val="p"/>
          </m:rPr>
          <m:t>+</m:t>
        </m:r>
        <m:r>
          <m:t>0.0013</m:t>
        </m:r>
      </m:oMath>
      <w:r>
        <w:t xml:space="preserve"> </w:t>
      </w:r>
      <w:r>
        <w:t xml:space="preserve">from the null with an interval</w:t>
      </w:r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0.0055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+</m:t>
        </m:r>
        <m:r>
          <m:t>0.0082</m:t>
        </m:r>
        <m:r>
          <m:rPr>
            <m:sty m:val="p"/>
          </m:rPr>
          <m:t>]</m:t>
        </m:r>
      </m:oMath>
      <w:r>
        <w:t xml:space="preserve">) that comfortably contains zero, so it is</w:t>
      </w:r>
      <w:r>
        <w:t xml:space="preserve"> </w:t>
      </w:r>
      <w:r>
        <w:t xml:space="preserve">not resolved as worse. Nor is target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identified as the</w:t>
      </w:r>
      <w:r>
        <w:t xml:space="preserve"> </w:t>
      </w:r>
      <w:r>
        <w:t xml:space="preserve">operative variable (Table </w:t>
      </w:r>
      <w:bookmarkStart w:id="100" w:name="jeparef0054"/>
      <w:r>
        <w:t xml:space="preserve">2</w:t>
      </w:r>
      <w:bookmarkEnd w:id="100"/>
      <w:r>
        <w:t xml:space="preserve">), nor is</w:t>
      </w:r>
      <w:r>
        <w:t xml:space="preserve"> </w:t>
      </w:r>
      <w:r>
        <w:rPr>
          <w:smallCaps/>
        </w:rPr>
        <w:t xml:space="preserve">centroid</w:t>
      </w:r>
      <w:r>
        <w:t xml:space="preserve">’s mechanism. Two</w:t>
      </w:r>
      <w:r>
        <w:t xml:space="preserve"> </w:t>
      </w:r>
      <w:r>
        <w:t xml:space="preserve">explanations remain live:</w:t>
      </w:r>
      <w:r>
        <w:t xml:space="preserve"> </w:t>
      </w:r>
      <w:r>
        <w:t xml:space="preserve">consistency of location (the encoder is repeatedly forced to represent the same</w:t>
      </w:r>
      <w:r>
        <w:t xml:space="preserve"> </w:t>
      </w:r>
      <w:r>
        <w:t xml:space="preserve">region), and masking ratio or task difficulty. Distinguishing them requires an</w:t>
      </w:r>
      <w:r>
        <w:t xml:space="preserve"> </w:t>
      </w:r>
      <w:r>
        <w:t xml:space="preserve">arm that randomises the band’s vertical position while holding area and context</w:t>
      </w:r>
      <w:r>
        <w:t xml:space="preserve"> </w:t>
      </w:r>
      <w:r>
        <w:t xml:space="preserve">fixed, which we did not run.</w:t>
      </w:r>
    </w:p>
    <w:bookmarkEnd w:id="101"/>
    <w:bookmarkStart w:id="105" w:name="one-pretraining-continuation-per-policy."/>
    <w:p>
      <w:pPr>
        <w:pStyle w:val="Heading4"/>
      </w:pPr>
      <w:r>
        <w:t xml:space="preserve">One pretraining continuation per policy.</w:t>
      </w:r>
    </w:p>
    <w:p>
      <w:pPr>
        <w:pStyle w:val="FirstParagraph"/>
      </w:pPr>
      <w:r>
        <w:t xml:space="preserve">The study uses a shared encoder ancestry and matched nominal training and probe</w:t>
      </w:r>
      <w:r>
        <w:t xml:space="preserve"> </w:t>
      </w:r>
      <w:r>
        <w:t xml:space="preserve">settings. The mask sampler is the intended</w:t>
      </w:r>
      <w:r>
        <w:t xml:space="preserve"> </w:t>
      </w:r>
      <w:r>
        <w:t xml:space="preserve">difference, though it also moves delivered mask ratio, retained context and loss</w:t>
      </w:r>
      <w:r>
        <w:t xml:space="preserve"> </w:t>
      </w:r>
      <w:r>
        <w:t xml:space="preserve">slots, and across families collation and guide provenance</w:t>
      </w:r>
      <w:r>
        <w:t xml:space="preserve"> </w:t>
      </w:r>
      <w:r>
        <w:t xml:space="preserve">(Section </w:t>
      </w:r>
      <w:bookmarkStart w:id="102" w:name="jeparef0055"/>
      <w:r>
        <w:t xml:space="preserve">5.2</w:t>
      </w:r>
      <w:bookmarkEnd w:id="102"/>
      <w:r>
        <w:t xml:space="preserve">). What it does not resample is pretraining</w:t>
      </w:r>
      <w:r>
        <w:t xml:space="preserve"> </w:t>
      </w:r>
      <w:r>
        <w:t xml:space="preserve">stochasticity, so each arm is one continuation.</w:t>
      </w:r>
      <w:r>
        <w:t xml:space="preserve"> </w:t>
      </w:r>
      <w:r>
        <w:t xml:space="preserve">The paired bootstrap bounds sampling error on a fixed test set, so the intervals</w:t>
      </w:r>
      <w:r>
        <w:t xml:space="preserve"> </w:t>
      </w:r>
      <w:r>
        <w:t xml:space="preserve">support statements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continuations rather than an expected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over retrainings, which pairwise significance on one test set does</w:t>
      </w:r>
      <w:r>
        <w:t xml:space="preserve"> </w:t>
      </w:r>
      <w:r>
        <w:t xml:space="preserve">not establish </w:t>
      </w:r>
      <w:r>
        <w:t xml:space="preserve">(Bouthillier et al. 2021)</w:t>
      </w:r>
      <w:r>
        <w:t xml:space="preserve">. Probe-seed variance is outside the</w:t>
      </w:r>
      <w:r>
        <w:t xml:space="preserve"> </w:t>
      </w:r>
      <w:r>
        <w:t xml:space="preserve">design too: an earlier multi-seed probe check is not reproducible from retained</w:t>
      </w:r>
      <w:r>
        <w:t xml:space="preserve"> </w:t>
      </w:r>
      <w:r>
        <w:t xml:space="preserve">artifacts, so we state no bound on probe noise. A planned six-leg replication</w:t>
      </w:r>
      <w:r>
        <w:t xml:space="preserve"> </w:t>
      </w:r>
      <w:r>
        <w:t xml:space="preserve">is paused, with no completed epoch-50 replication result. It would add two</w:t>
      </w:r>
      <w:r>
        <w:t xml:space="preserve"> </w:t>
      </w:r>
      <w:r>
        <w:t xml:space="preserve">seeds each for</w:t>
      </w:r>
      <w:r>
        <w:t xml:space="preserve"> </w:t>
      </w:r>
      <w:r>
        <w:rPr>
          <w:smallCaps/>
        </w:rPr>
        <w:t xml:space="preserve">random</w:t>
      </w:r>
      <w:r>
        <w:t xml:space="preserve">,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from the</w:t>
      </w:r>
      <w:r>
        <w:t xml:space="preserve"> </w:t>
      </w:r>
      <w:r>
        <w:t xml:space="preserve">epoch-25 ancestor, under generated configurations differing in policy, seed</w:t>
      </w:r>
      <w:r>
        <w:t xml:space="preserve"> </w:t>
      </w:r>
      <w:r>
        <w:t xml:space="preserve">and logging fields. Seeds do not randomise the distributed sampler’s visitation</w:t>
      </w:r>
      <w:r>
        <w:t xml:space="preserve"> </w:t>
      </w:r>
      <w:r>
        <w:t xml:space="preserve">order. The proposed analysis is recorded in Appendix </w:t>
      </w:r>
      <w:bookmarkStart w:id="103" w:name="jeparef0056"/>
      <w:r>
        <w:t xml:space="preserve">B</w:t>
      </w:r>
      <w:bookmarkEnd w:id="103"/>
      <w:r>
        <w:t xml:space="preserve">;</w:t>
      </w:r>
      <w:r>
        <w:t xml:space="preserve"> </w:t>
      </w:r>
      <w:r>
        <w:t xml:space="preserve">neither its existence nor a partial continuation increases the number of</w:t>
      </w:r>
      <w:r>
        <w:t xml:space="preserve"> </w:t>
      </w:r>
      <w:r>
        <w:t xml:space="preserve">completed runs in Table </w:t>
      </w:r>
      <w:bookmarkStart w:id="104" w:name="jeparef0057"/>
      <w:r>
        <w:t xml:space="preserve">1</w:t>
      </w:r>
      <w:bookmarkEnd w:id="104"/>
      <w:r>
        <w:t xml:space="preserve">.</w:t>
      </w:r>
    </w:p>
    <w:bookmarkEnd w:id="105"/>
    <w:bookmarkStart w:id="107" w:name="scope-coverage-and-an-incomplete-arm."/>
    <w:p>
      <w:pPr>
        <w:pStyle w:val="Heading4"/>
      </w:pPr>
      <w:r>
        <w:t xml:space="preserve">Scope, coverage and an incomplete arm.</w:t>
      </w:r>
    </w:p>
    <w:p>
      <w:pPr>
        <w:pStyle w:val="FirstParagraph"/>
      </w:pPr>
      <w:r>
        <w:t xml:space="preserve">All results are glaucoma classification from FairVision OCT. Generality to other</w:t>
      </w:r>
      <w:r>
        <w:t xml:space="preserve"> </w:t>
      </w:r>
      <w:r>
        <w:t xml:space="preserve">modalities, diseases, or segmentation-quality regimes is untested, and the</w:t>
      </w:r>
      <w:r>
        <w:t xml:space="preserve"> </w:t>
      </w:r>
      <w:r>
        <w:t xml:space="preserve">anatomy arms depend on MIRAGE’s prediction quality on this data, so a better</w:t>
      </w:r>
      <w:r>
        <w:t xml:space="preserve"> </w:t>
      </w:r>
      <w:r>
        <w:t xml:space="preserve">segmenter might change the conclusion. Only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was pretrained for</w:t>
      </w:r>
      <w:r>
        <w:t xml:space="preserve"> </w:t>
      </w:r>
      <w:r>
        <w:rPr>
          <w:smallCaps/>
        </w:rPr>
        <w:t xml:space="preserve">cover</w:t>
      </w:r>
      <w:r>
        <w:t xml:space="preserve">, so we report no dose-response over the visible-tissue floor and</w:t>
      </w:r>
      <w:r>
        <w:t xml:space="preserve"> </w:t>
      </w:r>
      <w:r>
        <w:t xml:space="preserve">make no claim that any floor is optimal. That arm reaches epoch 100, but the</w:t>
      </w:r>
      <w:r>
        <w:t xml:space="preserve"> </w:t>
      </w:r>
      <w:r>
        <w:t xml:space="preserve">collation defect above (Appendix </w:t>
      </w:r>
      <w:bookmarkStart w:id="106" w:name="jeparef0058"/>
      <w:r>
        <w:t xml:space="preserve">G</w:t>
      </w:r>
      <w:bookmarkEnd w:id="106"/>
      <w:r>
        <w:t xml:space="preserve">) means its trajectory is not</w:t>
      </w:r>
      <w:r>
        <w:t xml:space="preserve"> </w:t>
      </w:r>
      <w:r>
        <w:t xml:space="preserve">evidence about aggressive coverage. Its epoch-50 value is retained as a</w:t>
      </w:r>
      <w:r>
        <w:t xml:space="preserve"> </w:t>
      </w:r>
      <w:r>
        <w:t xml:space="preserve">matched-epoch comparison against every other arm. Finally, one dataset and one test split were</w:t>
      </w:r>
      <w:r>
        <w:t xml:space="preserve"> </w:t>
      </w:r>
      <w:r>
        <w:t xml:space="preserve">reused throughout this programme’s history, and policies, checkpoints and</w:t>
      </w:r>
      <w:r>
        <w:t xml:space="preserve"> </w:t>
      </w:r>
      <w:r>
        <w:t xml:space="preserve">analyses were chosen after repeated inspection of that split. The intervals we</w:t>
      </w:r>
      <w:r>
        <w:t xml:space="preserve"> </w:t>
      </w:r>
      <w:r>
        <w:t xml:space="preserve">report are therefore best read as descriptive rather than as confirmatory</w:t>
      </w:r>
      <w:r>
        <w:t xml:space="preserve"> </w:t>
      </w:r>
      <w:r>
        <w:t xml:space="preserve">inference.</w:t>
      </w:r>
    </w:p>
    <w:bookmarkEnd w:id="107"/>
    <w:bookmarkStart w:id="109" w:name="broader-impact-and-ethics."/>
    <w:p>
      <w:pPr>
        <w:pStyle w:val="Heading4"/>
      </w:pPr>
      <w:r>
        <w:t xml:space="preserve">Broader impact and ethics.</w:t>
      </w:r>
    </w:p>
    <w:p>
      <w:pPr>
        <w:pStyle w:val="FirstParagraph"/>
      </w:pPr>
      <w:r>
        <w:t xml:space="preserve">This study uses a public, de-identified retinal dataset under its release terms</w:t>
      </w:r>
      <w:r>
        <w:t xml:space="preserve"> </w:t>
      </w:r>
      <w:r>
        <w:t xml:space="preserve">and involves no new recruitment or data collection, and no model reported here</w:t>
      </w:r>
      <w:r>
        <w:t xml:space="preserve"> </w:t>
      </w:r>
      <w:r>
        <w:t xml:space="preserve">is clinically validated or intended for deployment (Appendix </w:t>
      </w:r>
      <w:bookmarkStart w:id="108" w:name="jeparef0059"/>
      <w:r>
        <w:t xml:space="preserve">M</w:t>
      </w:r>
      <w:bookmarkEnd w:id="108"/>
      <w:r>
        <w:t xml:space="preserve">).</w:t>
      </w:r>
    </w:p>
    <w:bookmarkEnd w:id="109"/>
    <w:bookmarkEnd w:id="110"/>
    <w:bookmarkStart w:id="11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Tissue-directed rectangular target placement improves frozen-probe AUC in the</w:t>
      </w:r>
      <w:r>
        <w:t xml:space="preserve"> </w:t>
      </w:r>
      <w:r>
        <w:t xml:space="preserve">observed OCT continuations, including a simple segmentation-free centroid policy.</w:t>
      </w:r>
      <w:r>
        <w:t xml:space="preserve"> </w:t>
      </w:r>
      <w:r>
        <w:t xml:space="preserve">The results do not establish an equivalence between guidance methods or an</w:t>
      </w:r>
      <w:r>
        <w:t xml:space="preserve"> </w:t>
      </w:r>
      <w:r>
        <w:t xml:space="preserve">expected ranking across retrainings. More targeted masking is not a single</w:t>
      </w:r>
      <w:r>
        <w:t xml:space="preserve"> </w:t>
      </w:r>
      <w:r>
        <w:t xml:space="preserve">intervention when it also changes the context and target tokens delivered to</w:t>
      </w:r>
      <w:r>
        <w:t xml:space="preserve"> </w:t>
      </w:r>
      <w:r>
        <w:t xml:space="preserve">the model. The mixed anatomy-shaped results and the coverage implementation</w:t>
      </w:r>
      <w:r>
        <w:t xml:space="preserve"> </w:t>
      </w:r>
      <w:r>
        <w:t xml:space="preserve">defect therefore motivate joint control of target selection, retained context</w:t>
      </w:r>
      <w:r>
        <w:t xml:space="preserve"> </w:t>
      </w:r>
      <w:r>
        <w:t xml:space="preserve">and background supervision. Their causal contributions remain open. A</w:t>
      </w:r>
      <w:r>
        <w:t xml:space="preserve"> </w:t>
      </w:r>
      <w:r>
        <w:t xml:space="preserve">corrected, budget-matched multi-run comparison is subsequent work, not a result</w:t>
      </w:r>
      <w:r>
        <w:t xml:space="preserve"> </w:t>
      </w:r>
      <w:r>
        <w:t xml:space="preserve">implied by the present diagnostics.</w:t>
      </w:r>
    </w:p>
    <w:bookmarkEnd w:id="111"/>
    <w:bookmarkStart w:id="119" w:name="app:allprobes"/>
    <w:p>
      <w:pPr>
        <w:pStyle w:val="Heading1"/>
      </w:pPr>
      <w:r>
        <w:t xml:space="preserve">All frozen probes</w:t>
      </w:r>
    </w:p>
    <w:p>
      <w:pPr>
        <w:pStyle w:val="FirstParagraph"/>
      </w:pPr>
      <w:r>
        <w:t xml:space="preserve">Table </w:t>
      </w:r>
      <w:bookmarkStart w:id="112" w:name="jeparef0060"/>
      <w:r>
        <w:t xml:space="preserve">3</w:t>
      </w:r>
      <w:bookmarkEnd w:id="112"/>
      <w:r>
        <w:t xml:space="preserve"> </w:t>
      </w:r>
      <w:r>
        <w:t xml:space="preserve">lists every frozen MeanPool probe in the study. It has</w:t>
      </w:r>
      <w:r>
        <w:t xml:space="preserve"> </w:t>
      </w:r>
      <w:r>
        <w:t xml:space="preserve">37 rows: 31 valid probes, plus two probes excluded and four retracted</w:t>
      </w:r>
      <w:r>
        <w:t xml:space="preserve"> </w:t>
      </w:r>
      <w:r>
        <w:t xml:space="preserve">for the reasons in Appendix </w:t>
      </w:r>
      <w:bookmarkStart w:id="113" w:name="jeparef0061"/>
      <w:r>
        <w:t xml:space="preserve">F</w:t>
      </w:r>
      <w:bookmarkEnd w:id="113"/>
      <w:r>
        <w:t xml:space="preserve">. Two further counts follow from</w:t>
      </w:r>
      <w:r>
        <w:t xml:space="preserve"> </w:t>
      </w:r>
      <w:r>
        <w:t xml:space="preserve">those 31. Eight of them are fp32 re-probes of an encoder already probed</w:t>
      </w:r>
      <w:r>
        <w:t xml:space="preserve"> </w:t>
      </w:r>
      <w:r>
        <w:t xml:space="preserve">at fp16, and the subgroup audit collapses each such pair to the single encoder it</w:t>
      </w:r>
      <w:r>
        <w:t xml:space="preserve"> </w:t>
      </w:r>
      <w:r>
        <w:t xml:space="preserve">scores twice, leaving 23 distinct encoder–epoch units</w:t>
      </w:r>
      <w:r>
        <w:t xml:space="preserve"> </w:t>
      </w:r>
      <w:r>
        <w:t xml:space="preserve">(Section </w:t>
      </w:r>
      <w:bookmarkStart w:id="114" w:name="jeparef0062"/>
      <w:r>
        <w:t xml:space="preserve">5.5</w:t>
      </w:r>
      <w:bookmarkEnd w:id="114"/>
      <w:r>
        <w:t xml:space="preserve">); 19 of those carry a stored per-group</w:t>
      </w:r>
      <w:r>
        <w:t xml:space="preserve"> </w:t>
      </w:r>
      <w:r>
        <w:t xml:space="preserve">race summary. The two race analyses therefore run on</w:t>
      </w:r>
      <w:r>
        <w:t xml:space="preserve"> </w:t>
      </w:r>
      <w:r>
        <w:t xml:space="preserve">different subsets by construction: the gap-trend test in</w:t>
      </w:r>
      <w:r>
        <w:t xml:space="preserve"> </w:t>
      </w:r>
      <w:r>
        <w:t xml:space="preserve">Table </w:t>
      </w:r>
      <w:bookmarkStart w:id="115" w:name="jeparef0063"/>
      <w:r>
        <w:t xml:space="preserve">6</w:t>
      </w:r>
      <w:bookmarkEnd w:id="115"/>
      <w:r>
        <w:t xml:space="preserve"> </w:t>
      </w:r>
      <w:r>
        <w:t xml:space="preserve">uses all 23 probes, since every one carries</w:t>
      </w:r>
      <w:r>
        <w:t xml:space="preserve"> </w:t>
      </w:r>
      <w:r>
        <w:t xml:space="preserve">a race</w:t>
      </w:r>
      <w:r>
        <w:t xml:space="preserve"> </w:t>
      </w:r>
      <w:r>
        <w:rPr>
          <w:i/>
          <w:iCs/>
        </w:rPr>
        <w:t xml:space="preserve">gap</w:t>
      </w:r>
      <w:r>
        <w:t xml:space="preserve">, while the scatter in Figure </w:t>
      </w:r>
      <w:bookmarkStart w:id="116" w:name="jeparef0064"/>
      <w:r>
        <w:t xml:space="preserve">5</w:t>
      </w:r>
      <w:bookmarkEnd w:id="116"/>
      <w:r>
        <w:t xml:space="preserve"> </w:t>
      </w:r>
      <w:r>
        <w:t xml:space="preserve">needs a per-group</w:t>
      </w:r>
      <w:r>
        <w:t xml:space="preserve"> </w:t>
      </w:r>
      <w:r>
        <w:t xml:space="preserve">AUC for all three groups and so uses the 19 probes that have one.</w:t>
      </w:r>
      <w:r>
        <w:t xml:space="preserve"> </w:t>
      </w:r>
      <w:r>
        <w:t xml:space="preserve">The four that do not are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at epochs 73, 75 and 100 and</w:t>
      </w:r>
      <w:r>
        <w:t xml:space="preserve"> </w:t>
      </w:r>
      <w:r>
        <w:rPr>
          <w:smallCaps/>
        </w:rPr>
        <w:t xml:space="preserve">anatomy-v2</w:t>
      </w:r>
      <w:r>
        <w:t xml:space="preserve"> </w:t>
      </w:r>
      <w:r>
        <w:t xml:space="preserve">at epoch 75: each was probed after the per-group race</w:t>
      </w:r>
      <w:r>
        <w:t xml:space="preserve"> </w:t>
      </w:r>
      <w:r>
        <w:t xml:space="preserve">artifact was generated, and that artifact was not recomputed, so their absence</w:t>
      </w:r>
      <w:r>
        <w:t xml:space="preserve"> </w:t>
      </w:r>
      <w:r>
        <w:t xml:space="preserve">is one of artifact chronology and not a property of those runs, whose race gaps</w:t>
      </w:r>
      <w:r>
        <w:t xml:space="preserve"> </w:t>
      </w:r>
      <w:r>
        <w:t xml:space="preserve">are present and do enter the 23-probe trend test.</w:t>
      </w:r>
    </w:p>
    <w:bookmarkStart w:id="118" w:name="tab:allprobes"/>
    <w:p>
      <w:pPr>
        <w:pStyle w:val="TableCaption"/>
      </w:pPr>
      <w:r>
        <w:t xml:space="preserve">Every frozen probe in the study, including runs excluded from the</w:t>
      </w:r>
      <w:r>
        <w:t xml:space="preserve"> </w:t>
      </w:r>
      <w:r>
        <w:t xml:space="preserve">analysis and the reasons. The probe protocol is otherwise the same for every</w:t>
      </w:r>
      <w:r>
        <w:t xml:space="preserve"> </w:t>
      </w:r>
      <w:r>
        <w:t xml:space="preserve">row (FairVision test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3000</m:t>
        </m:r>
      </m:oMath>
      <w:r>
        <w:t xml:space="preserve">, seed 42, frozen encoder, MeanPool +</w:t>
      </w:r>
      <w:r>
        <w:t xml:space="preserve"> </w:t>
      </w:r>
      <w:r>
        <w:t xml:space="preserve">LayerNorm + Linear) and differs only in the precision column.</w:t>
      </w:r>
      <w:r>
        <w:t xml:space="preserve"> </w:t>
      </w:r>
      <w:r>
        <w:t xml:space="preserve">“Precision”</w:t>
      </w:r>
      <w:r>
        <w:t xml:space="preserve"> </w:t>
      </w:r>
      <w:r>
        <w:t xml:space="preserve">is the probe-time</w:t>
      </w:r>
      <w:r>
        <w:t xml:space="preserve"> </w:t>
      </w:r>
      <w:r>
        <w:t xml:space="preserve">numerical precision, inferred from the stored prediction dtype, and is distinct</w:t>
      </w:r>
      <w:r>
        <w:t xml:space="preserve"> </w:t>
      </w:r>
      <w:r>
        <w:t xml:space="preserve">from the pretraining target precision discussed in</w:t>
      </w:r>
      <w:r>
        <w:t xml:space="preserve"> </w:t>
      </w:r>
      <w:r>
        <w:t xml:space="preserve">Appendix </w:t>
      </w:r>
      <w:bookmarkStart w:id="117" w:name="jeparef0065"/>
      <w:r>
        <w:t xml:space="preserve">F</w:t>
      </w:r>
      <w:bookmarkEnd w:id="117"/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very frozen probe in the study, including runs excluded from the analysis and the reasons. The probe protocol is otherwise the same for every row (FairVision test N{=}3000, seed 42, frozen encoder, MeanPool + LayerNorm + Linear) and differs only in the precision column. “Precision” is the probe-time numerical precision, inferred from the stored prediction dtype, and is distinct from the pretraining target precision discussed in Appendix F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 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anatomy-v1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[0.8450, 0.8712]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anatomy-v2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[0.8531, 0.8787]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anatomy-v2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[0.8553, 0.8807]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anatomy-v2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[0.8522, 0.8781]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anatomy-v2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[0.8477, 0.8740]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ancestor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[0.8349, 0.8621]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[0.8346, 0.8617]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[0.8386, 0.8654]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[0.8437, 0.8700]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[0.8513, 0.8768]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[0.8517, 0.8772]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[0.8507, 0.8763]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[0.8443, 0.8707]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[0.8405, 0.8669]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[0.8635, 0.8879]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[0.8635, 0.8879]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[0.8677, 0.8922]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[0.8677, 0.8922]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[0.8683, 0.8926]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[0.8683, 0.8927]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[0.8615, 0.8862]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[0.8614, 0.8862]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[0.8714, 0.8955]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[0.8735, 0.8971]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[0.8732, 0.8971]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[0.8510, 0.8769]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[0.8511, 0.8769]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[0.8593, 0.8849]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[0.8593, 0.8849]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[0.8618, 0.8869]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[0.8617, 0.8868]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anatomy-v2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anatomy-v2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retracted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retracted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retracted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retracted</w:t>
            </w:r>
          </w:p>
        </w:tc>
      </w:tr>
    </w:tbl>
    <w:bookmarkEnd w:id="118"/>
    <w:bookmarkEnd w:id="119"/>
    <w:bookmarkStart w:id="128" w:name="app:replication"/>
    <w:p>
      <w:pPr>
        <w:pStyle w:val="Heading1"/>
      </w:pPr>
      <w:r>
        <w:t xml:space="preserve">Continuation-level replication</w:t>
      </w:r>
    </w:p>
    <w:p>
      <w:pPr>
        <w:pStyle w:val="FirstParagraph"/>
      </w:pPr>
      <w:r>
        <w:rPr>
          <w:b/>
          <w:bCs/>
        </w:rPr>
        <w:t xml:space="preserve">Status at submission: paused; no completed replication result.</w:t>
      </w:r>
      <w:r>
        <w:t xml:space="preserve"> </w:t>
      </w:r>
      <w:r>
        <w:t xml:space="preserve">The first leg has a completed epoch-26 checkpoint and an incomplete epoch 27,</w:t>
      </w:r>
      <w:r>
        <w:t xml:space="preserve"> </w:t>
      </w:r>
      <w:r>
        <w:t xml:space="preserve">not an epoch-50 probe. What follows is the recorded design for subsequent work,</w:t>
      </w:r>
      <w:r>
        <w:t xml:space="preserve"> </w:t>
      </w:r>
      <w:r>
        <w:t xml:space="preserve">not additional evidence for the present comparisons.</w:t>
      </w:r>
    </w:p>
    <w:bookmarkStart w:id="121" w:name="design."/>
    <w:p>
      <w:pPr>
        <w:pStyle w:val="Heading4"/>
      </w:pPr>
      <w:r>
        <w:t xml:space="preserve">Design.</w:t>
      </w:r>
    </w:p>
    <w:p>
      <w:pPr>
        <w:pStyle w:val="FirstParagraph"/>
      </w:pPr>
      <w:r>
        <w:t xml:space="preserve">Six continuations (</w:t>
      </w:r>
      <w:r>
        <w:rPr>
          <w:smallCaps/>
        </w:rPr>
        <w:t xml:space="preserve">random</w:t>
      </w:r>
      <w:r>
        <w:t xml:space="preserve">,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centroid</w:t>
      </w:r>
      <w:r>
        <w:t xml:space="preserve">, each at two further seeds) resume from the same epoch-25 ancestor</w:t>
      </w:r>
      <w:r>
        <w:t xml:space="preserve"> </w:t>
      </w:r>
      <w:r>
        <w:t xml:space="preserve">used by every arm in this paper. The ancestor is locked by content: SHA-256</w:t>
      </w:r>
      <w:r>
        <w:t xml:space="preserve"> </w:t>
      </w:r>
      <w:r>
        <w:rPr>
          <w:rStyle w:val="VerbatimChar"/>
        </w:rPr>
        <w:t xml:space="preserve">e5ad5b0c2aadfa15449409786afbfa39d8b5405b699be8f02f2e540195e97e7b</w:t>
      </w:r>
      <w:r>
        <w:t xml:space="preserve">,</w:t>
      </w:r>
      <w:r>
        <w:t xml:space="preserve"> </w:t>
      </w:r>
      <w:r>
        <w:t xml:space="preserve">1</w:t>
      </w:r>
      <w:r>
        <w:t xml:space="preserve">,</w:t>
      </w:r>
      <w:r>
        <w:t xml:space="preserve">507</w:t>
      </w:r>
      <w:r>
        <w:t xml:space="preserve">,</w:t>
      </w:r>
      <w:r>
        <w:t xml:space="preserve">519</w:t>
      </w:r>
      <w:r>
        <w:t xml:space="preserve">,</w:t>
      </w:r>
      <w:r>
        <w:t xml:space="preserve">602 bytes, re-hashed immediately before each leg, and a mismatch</w:t>
      </w:r>
      <w:r>
        <w:t xml:space="preserve"> </w:t>
      </w:r>
      <w:r>
        <w:t xml:space="preserve">aborts the leg rather than continuing from an unverified starting point. The six</w:t>
      </w:r>
      <w:r>
        <w:t xml:space="preserve"> </w:t>
      </w:r>
      <w:r>
        <w:t xml:space="preserve">configurations are generated by a script that asserts they are identical outside</w:t>
      </w:r>
      <w:r>
        <w:t xml:space="preserve"> </w:t>
      </w:r>
      <w:r>
        <w:t xml:space="preserve">the mask curriculum except for the seed and logging fields. Each leg runs to</w:t>
      </w:r>
      <w:r>
        <w:t xml:space="preserve"> </w:t>
      </w:r>
      <w:r>
        <w:t xml:space="preserve">epoch 50 (the endpoint at which every arm already carries a frozen probe)</w:t>
      </w:r>
      <w:r>
        <w:t xml:space="preserve"> </w:t>
      </w:r>
      <w:r>
        <w:t xml:space="preserve">with the optimiser, cosine learning-rate, weight-decay and EMA schedules still</w:t>
      </w:r>
      <w:r>
        <w:t xml:space="preserve"> </w:t>
      </w:r>
      <w:r>
        <w:t xml:space="preserve">sized for 100 epochs, so the trajectory is the one this paper measures and not a</w:t>
      </w:r>
      <w:r>
        <w:t xml:space="preserve"> </w:t>
      </w:r>
      <w:r>
        <w:t xml:space="preserve">shorter, differently-scheduled substitute. Each completed leg is then probed</w:t>
      </w:r>
      <w:r>
        <w:t xml:space="preserve"> </w:t>
      </w:r>
      <w:r>
        <w:t xml:space="preserve">under the frozen-probe protocol of Section </w:t>
      </w:r>
      <w:bookmarkStart w:id="120" w:name="jeparef0066"/>
      <w:r>
        <w:t xml:space="preserve">4</w:t>
      </w:r>
      <w:bookmarkEnd w:id="120"/>
      <w:r>
        <w:t xml:space="preserve">, with the encoder</w:t>
      </w:r>
      <w:r>
        <w:t xml:space="preserve"> </w:t>
      </w:r>
      <w:r>
        <w:t xml:space="preserve">hashed before and after the probe. Together with the continuations reported</w:t>
      </w:r>
      <w:r>
        <w:t xml:space="preserve"> </w:t>
      </w:r>
      <w:r>
        <w:t xml:space="preserve">here, this yields three continuations per policy at a matched endpoint.</w:t>
      </w:r>
    </w:p>
    <w:bookmarkEnd w:id="121"/>
    <w:bookmarkStart w:id="122" w:name="recorded-analysis-plan."/>
    <w:p>
      <w:pPr>
        <w:pStyle w:val="Heading4"/>
      </w:pPr>
      <w:r>
        <w:t xml:space="preserve">Recorded analysis plan.</w:t>
      </w:r>
    </w:p>
    <w:p>
      <w:pPr>
        <w:pStyle w:val="FirstParagraph"/>
      </w:pPr>
      <w:r>
        <w:t xml:space="preserve">(i) All nine epoch-50 continuation AUCs would be</w:t>
      </w:r>
      <w:r>
        <w:t xml:space="preserve"> </w:t>
      </w:r>
      <w:r>
        <w:t xml:space="preserve">reported in one table, whatever they show. No continuation is dropped for any</w:t>
      </w:r>
      <w:r>
        <w:t xml:space="preserve"> </w:t>
      </w:r>
      <w:r>
        <w:t xml:space="preserve">reason other than a documented crash, and a crash is reported. (ii) We report</w:t>
      </w:r>
      <w:r>
        <w:t xml:space="preserve"> </w:t>
      </w:r>
      <w:r>
        <w:t xml:space="preserve">the per-policy mean and full range, and the two paired-by-seed differences</w:t>
      </w:r>
      <w:r>
        <w:t xml:space="preserve"> </w:t>
      </w:r>
      <w:r>
        <w:rPr>
          <w:smallCaps/>
        </w:rPr>
        <w:t xml:space="preserve">envelope</w:t>
      </w:r>
      <m:oMath>
        <m:r>
          <m:rPr>
            <m:sty m:val="p"/>
          </m:rPr>
          <m:t>−</m:t>
        </m:r>
      </m:oMath>
      <w:r>
        <w:rPr>
          <w:smallCaps/>
        </w:rPr>
        <w:t xml:space="preserve">random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centroid</w:t>
      </w:r>
      <m:oMath>
        <m:r>
          <m:rPr>
            <m:sty m:val="p"/>
          </m:rPr>
          <m:t>−</m:t>
        </m:r>
      </m:oMath>
      <w:r>
        <w:rPr>
          <w:smallCaps/>
        </w:rPr>
        <w:t xml:space="preserve">random</w:t>
      </w:r>
      <w:r>
        <w:t xml:space="preserve">, one per</w:t>
      </w:r>
      <w:r>
        <w:t xml:space="preserve"> </w:t>
      </w:r>
      <w:r>
        <w:t xml:space="preserve">seed. (iii) At three continuations we report point estimates and ranges only:</w:t>
      </w:r>
      <w:r>
        <w:t xml:space="preserve"> </w:t>
      </w:r>
      <w:r>
        <w:t xml:space="preserve">no</w:t>
      </w:r>
      <w:r>
        <w:t xml:space="preserve"> </w:t>
      </w:r>
      <m:oMath>
        <m:r>
          <m:t>t</m:t>
        </m:r>
      </m:oMath>
      <w:r>
        <w:t xml:space="preserve">-test, no</w:t>
      </w:r>
      <w:r>
        <w:t xml:space="preserve"> </w:t>
      </w:r>
      <m:oMath>
        <m:r>
          <m:t>p</m:t>
        </m:r>
      </m:oMath>
      <w:r>
        <w:t xml:space="preserve">-value and no confidence interval at the continuation level,</w:t>
      </w:r>
      <w:r>
        <w:t xml:space="preserve"> </w:t>
      </w:r>
      <w:r>
        <w:t xml:space="preserve">because a small set of continuations gives a limited account of training</w:t>
      </w:r>
      <w:r>
        <w:t xml:space="preserve"> </w:t>
      </w:r>
      <w:r>
        <w:t xml:space="preserve">variability. (iv) The</w:t>
      </w:r>
      <w:r>
        <w:t xml:space="preserve"> </w:t>
      </w:r>
      <w:r>
        <w:t xml:space="preserve">fixed-data-order caveat below is restated wherever the result is.</w:t>
      </w:r>
    </w:p>
    <w:bookmarkEnd w:id="122"/>
    <w:bookmarkStart w:id="123" w:name="X7d73eb9a7d33179b03667056ada5c3c8a290550"/>
    <w:p>
      <w:pPr>
        <w:pStyle w:val="Heading4"/>
      </w:pPr>
      <w:r>
        <w:t xml:space="preserve">What the seed does and does not randomise.</w:t>
      </w:r>
    </w:p>
    <w:p>
      <w:pPr>
        <w:pStyle w:val="FirstParagraph"/>
      </w:pPr>
      <w:r>
        <w:t xml:space="preserve">The seed randomises</w:t>
      </w:r>
      <w:r>
        <w:t xml:space="preserve"> </w:t>
      </w:r>
      <w:r>
        <w:t xml:space="preserve">random-resized-crop draws, target and context block sampling (including the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rejection sampler and the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band sampler), dropout,</w:t>
      </w:r>
      <w:r>
        <w:t xml:space="preserve"> </w:t>
      </w:r>
      <w:r>
        <w:t xml:space="preserve">and worker streams.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randomise the order in which slices are</w:t>
      </w:r>
      <w:r>
        <w:t xml:space="preserve"> </w:t>
      </w:r>
      <w:r>
        <w:t xml:space="preserve">visited: the distributed sampler is constructed with its own fixed seed and</w:t>
      </w:r>
      <w:r>
        <w:t xml:space="preserve"> </w:t>
      </w:r>
      <w:r>
        <w:t xml:space="preserve">advanced per epoch, which is true of the originally reported continuations as</w:t>
      </w:r>
      <w:r>
        <w:t xml:space="preserve"> </w:t>
      </w:r>
      <w:r>
        <w:t xml:space="preserve">well. The unit of inference is therefore post-fork stochastic optimisation noise</w:t>
      </w:r>
      <w:r>
        <w:t xml:space="preserve"> </w:t>
      </w:r>
      <w:r>
        <w:t xml:space="preserve">at a fixed data order, which is narrower than independent retraining, and it is</w:t>
      </w:r>
      <w:r>
        <w:t xml:space="preserve"> </w:t>
      </w:r>
      <w:r>
        <w:t xml:space="preserve">not a replication of the data pipeline.</w:t>
      </w:r>
    </w:p>
    <w:bookmarkEnd w:id="123"/>
    <w:bookmarkStart w:id="126" w:name="the-failure-case-written-in-advance."/>
    <w:p>
      <w:pPr>
        <w:pStyle w:val="Heading4"/>
      </w:pPr>
      <w:r>
        <w:t xml:space="preserve">The failure case, written in advance.</w:t>
      </w:r>
    </w:p>
    <w:p>
      <w:pPr>
        <w:pStyle w:val="FirstParagraph"/>
      </w:pPr>
      <w:r>
        <w:t xml:space="preserve">If the epoch-50 ordering does</w:t>
      </w:r>
      <w:r>
        <w:t xml:space="preserve"> </w:t>
      </w:r>
      <w:r>
        <w:t xml:space="preserve">not reproduce (a paired difference changes sign, or the three-continuation</w:t>
      </w:r>
      <w:r>
        <w:t xml:space="preserve"> </w:t>
      </w:r>
      <w:r>
        <w:t xml:space="preserve">range for either contrast spans zero), the reported conclusion becomes that</w:t>
      </w:r>
      <w:r>
        <w:t xml:space="preserve"> </w:t>
      </w:r>
      <w:r>
        <w:t xml:space="preserve">the single-continuation contrasts of Table </w:t>
      </w:r>
      <w:bookmarkStart w:id="124" w:name="jeparef0067"/>
      <w:r>
        <w:t xml:space="preserve">1</w:t>
      </w:r>
      <w:bookmarkEnd w:id="124"/>
      <w:r>
        <w:t xml:space="preserve"> </w:t>
      </w:r>
      <w:r>
        <w:t xml:space="preserve">describe those</w:t>
      </w:r>
      <w:r>
        <w:t xml:space="preserve"> </w:t>
      </w:r>
      <w:r>
        <w:t xml:space="preserve">particular runs and not the policies, and every policy-level statement in this</w:t>
      </w:r>
      <w:r>
        <w:t xml:space="preserve"> </w:t>
      </w:r>
      <w:r>
        <w:t xml:space="preserve">paper is downgraded to a run-level one. Table </w:t>
      </w:r>
      <w:bookmarkStart w:id="125" w:name="jeparef0068"/>
      <w:r>
        <w:t xml:space="preserve">1</w:t>
      </w:r>
      <w:bookmarkEnd w:id="125"/>
      <w:r>
        <w:t xml:space="preserve"> </w:t>
      </w:r>
      <w:r>
        <w:t xml:space="preserve">is not withdrawn in</w:t>
      </w:r>
      <w:r>
        <w:t xml:space="preserve"> </w:t>
      </w:r>
      <w:r>
        <w:t xml:space="preserve">that case: it remains a correct description of the runs it measures. That</w:t>
      </w:r>
      <w:r>
        <w:t xml:space="preserve"> </w:t>
      </w:r>
      <w:r>
        <w:t xml:space="preserve">outcome is an anticipated and informative result of this design rather than a</w:t>
      </w:r>
      <w:r>
        <w:t xml:space="preserve"> </w:t>
      </w:r>
      <w:r>
        <w:t xml:space="preserve">failure of it, which is why the rules above are fixed now.</w:t>
      </w:r>
    </w:p>
    <w:bookmarkEnd w:id="126"/>
    <w:bookmarkStart w:id="127" w:name="what-this-replication-does-not-do."/>
    <w:p>
      <w:pPr>
        <w:pStyle w:val="Heading4"/>
      </w:pPr>
      <w:r>
        <w:t xml:space="preserve">What this replication does not do.</w:t>
      </w:r>
    </w:p>
    <w:p>
      <w:pPr>
        <w:pStyle w:val="FirstParagraph"/>
      </w:pPr>
      <w:r>
        <w:t xml:space="preserve">It does not supply an untouched</w:t>
      </w:r>
      <w:r>
        <w:t xml:space="preserve"> </w:t>
      </w:r>
      <w:r>
        <w:t xml:space="preserve">evaluation cohort. The comparison still runs on the same test split, which has</w:t>
      </w:r>
      <w:r>
        <w:t xml:space="preserve"> </w:t>
      </w:r>
      <w:r>
        <w:t xml:space="preserve">been inspected repeatedly across this programme, so the replication bounds</w:t>
      </w:r>
      <w:r>
        <w:t xml:space="preserve"> </w:t>
      </w:r>
      <w:r>
        <w:t xml:space="preserve">run-to-run variability and not adaptive selection. The number of times that</w:t>
      </w:r>
      <w:r>
        <w:t xml:space="preserve"> </w:t>
      </w:r>
      <w:r>
        <w:t xml:space="preserve">split was inspected while choosing policies, checkpoints and analyses was not</w:t>
      </w:r>
      <w:r>
        <w:t xml:space="preserve"> </w:t>
      </w:r>
      <w:r>
        <w:t xml:space="preserve">logged and cannot now be reconstructed, which is why every interval in this</w:t>
      </w:r>
      <w:r>
        <w:t xml:space="preserve"> </w:t>
      </w:r>
      <w:r>
        <w:t xml:space="preserve">paper is described as descriptive rather than confirmatory. An untouched</w:t>
      </w:r>
      <w:r>
        <w:t xml:space="preserve"> </w:t>
      </w:r>
      <w:r>
        <w:t xml:space="preserve">evaluation would</w:t>
      </w:r>
      <w:r>
        <w:t xml:space="preserve"> </w:t>
      </w:r>
      <w:r>
        <w:t xml:space="preserve">require a labelled cohort from a different scanner or population, thresholds and</w:t>
      </w:r>
      <w:r>
        <w:t xml:space="preserve"> </w:t>
      </w:r>
      <w:r>
        <w:t xml:space="preserve">checkpoints selected on that cohort’s own validation split, a single evaluation,</w:t>
      </w:r>
      <w:r>
        <w:t xml:space="preserve"> </w:t>
      </w:r>
      <w:r>
        <w:t xml:space="preserve">and no iteration afterwards. No such cohort was available to us.</w:t>
      </w:r>
    </w:p>
    <w:bookmarkEnd w:id="127"/>
    <w:bookmarkEnd w:id="128"/>
    <w:bookmarkStart w:id="139" w:name="masking-policies-across-the-volume"/>
    <w:p>
      <w:pPr>
        <w:pStyle w:val="Heading1"/>
      </w:pPr>
      <w:r>
        <w:t xml:space="preserve">Masking policies across the volume</w:t>
      </w:r>
    </w:p>
    <w:bookmarkStart w:id="133" w:name="fig:maskstats"/>
    <w:p>
      <w:pPr>
        <w:pStyle w:val="CaptionedFigure"/>
      </w:pPr>
      <w:r>
        <w:drawing>
          <wp:inline>
            <wp:extent cx="5334000" cy="312381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figS5_mask_statistic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3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What each sampler actually does, measured on the 6,137-slice sweep</w:t>
      </w:r>
      <w:r>
        <w:t xml:space="preserve"> </w:t>
      </w:r>
      <w:r>
        <w:t xml:space="preserve">(</w:t>
      </w:r>
      <w:r>
        <w:rPr>
          <w:smallCaps/>
        </w:rPr>
        <w:t xml:space="preserve">anatomy-v2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534</m:t>
        </m:r>
      </m:oMath>
      <w:r>
        <w:t xml:space="preserve">). Panel (a) is the quantity the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arm was built to maximise: it reaches</w:t>
      </w:r>
      <w:r>
        <w:t xml:space="preserve"> </w:t>
      </w:r>
      <m:oMath>
        <m:r>
          <m:t>73.1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smallCaps/>
        </w:rPr>
        <w:t xml:space="preserve">envelope</w:t>
      </w:r>
      <w:r>
        <w:t xml:space="preserve">’s</w:t>
      </w:r>
      <w:r>
        <w:t xml:space="preserve"> </w:t>
      </w:r>
      <m:oMath>
        <m:r>
          <m:t>77.6</m:t>
        </m:r>
        <m:r>
          <m:rPr>
            <m:sty m:val="p"/>
          </m:rPr>
          <m:t>%</m:t>
        </m:r>
      </m:oMath>
      <w:r>
        <w:t xml:space="preserve">, which is the discrepancy Appendix </w:t>
      </w:r>
      <w:bookmarkStart w:id="132" w:name="jeparef0069"/>
      <w:r>
        <w:t xml:space="preserve">G</w:t>
      </w:r>
      <w:bookmarkEnd w:id="132"/>
      <w:r>
        <w:t xml:space="preserve"> </w:t>
      </w:r>
      <w:r>
        <w:t xml:space="preserve">explains. Panel (b) shows the ordering this paper tests: target purity</w:t>
      </w:r>
      <w:r>
        <w:t xml:space="preserve"> </w:t>
      </w:r>
      <w:r>
        <w:t xml:space="preserve">rises monotonically from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anatomy-v2</w:t>
      </w:r>
      <w:r>
        <w:t xml:space="preserve">, while downstream</w:t>
      </w:r>
      <w:r>
        <w:t xml:space="preserve"> </w:t>
      </w:r>
      <w:r>
        <w:t xml:space="preserve">AUC does not follow it. Panels (c)–(f) give the confounds we do not</w:t>
      </w:r>
      <w:r>
        <w:t xml:space="preserve"> </w:t>
      </w:r>
      <w:r>
        <w:t xml:space="preserve">disentangle: how much anatomy survives in the context (c, d), the context</w:t>
      </w:r>
      <w:r>
        <w:t xml:space="preserve"> </w:t>
      </w:r>
      <w:r>
        <w:t xml:space="preserve">budget (e), and</w:t>
      </w:r>
      <w:r>
        <w:t xml:space="preserve"> </w:t>
      </w:r>
      <w:r>
        <w:t xml:space="preserve">how often a slice is left with no anatomy visible at all (f). Every bar starts</w:t>
      </w:r>
      <w:r>
        <w:t xml:space="preserve"> </w:t>
      </w:r>
      <w:r>
        <w:t xml:space="preserve">at zero and is a mean over the sweep, with no interval drawn; panel scales</w:t>
      </w:r>
      <w:r>
        <w:t xml:space="preserve"> </w:t>
      </w:r>
      <w:r>
        <w:t xml:space="preserve">differ, so bars should be compared only within a panel.</w:t>
      </w:r>
    </w:p>
    <w:bookmarkEnd w:id="133"/>
    <w:p>
      <w:pPr>
        <w:pStyle w:val="BodyText"/>
      </w:pPr>
      <w:r>
        <w:t xml:space="preserve">Figure </w:t>
      </w:r>
      <w:bookmarkStart w:id="134" w:name="jeparef0070"/>
      <w:r>
        <w:t xml:space="preserve">4</w:t>
      </w:r>
      <w:bookmarkEnd w:id="134"/>
      <w:r>
        <w:t xml:space="preserve"> </w:t>
      </w:r>
      <w:r>
        <w:t xml:space="preserve">compares final target and context sets on one</w:t>
      </w:r>
      <w:r>
        <w:t xml:space="preserve"> </w:t>
      </w:r>
      <w:r>
        <w:t xml:space="preserve">predeclared view. It illustrates the implementations, not population stability</w:t>
      </w:r>
      <w:r>
        <w:t xml:space="preserve"> </w:t>
      </w:r>
      <w:r>
        <w:t xml:space="preserve">across depth. The tissue reference and colour assignment are shared.</w:t>
      </w:r>
    </w:p>
    <w:bookmarkStart w:id="138" w:name="fig:policies5"/>
    <w:p>
      <w:pPr>
        <w:pStyle w:val="CaptionedFigure"/>
      </w:pPr>
      <w:r>
        <w:drawing>
          <wp:inline>
            <wp:extent cx="5334000" cy="1863246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fig_policy_family_token_map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3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Delivered token sets for five policy families on the first predeclared</w:t>
      </w:r>
      <w:r>
        <w:t xml:space="preserve"> </w:t>
      </w:r>
      <w:r>
        <w:t xml:space="preserve">Training view in the frozen two-view engineering-audit fixture. Orange cells</w:t>
      </w:r>
      <w:r>
        <w:t xml:space="preserve"> </w:t>
      </w:r>
      <w:r>
        <w:t xml:space="preserve">are the union of final predictor targets, hatched blue cells are final encoder</w:t>
      </w:r>
      <w:r>
        <w:t xml:space="preserve"> </w:t>
      </w:r>
      <w:r>
        <w:t xml:space="preserve">context, and hollow circles mark occupancy-guide-positive cells; other cells</w:t>
      </w:r>
      <w:r>
        <w:t xml:space="preserve"> </w:t>
      </w:r>
      <w:r>
        <w:t xml:space="preserve">are neither target nor context. The guide is a tissue proxy, not clinical ground</w:t>
      </w:r>
      <w:r>
        <w:t xml:space="preserve"> </w:t>
      </w:r>
      <w:r>
        <w:t xml:space="preserve">truth. All panels use the same input view and the already stored masks, without</w:t>
      </w:r>
      <w:r>
        <w:t xml:space="preserve"> </w:t>
      </w:r>
      <w:r>
        <w:t xml:space="preserve">redrawing seeds or displaying raw OCT pixels. ANATOMY-v2 represents the shaped</w:t>
      </w:r>
      <w:r>
        <w:t xml:space="preserve"> </w:t>
      </w:r>
      <w:r>
        <w:t xml:space="preserve">family, not ANATOMY-v1; COVER shows the historical implementation, not the proposed</w:t>
      </w:r>
      <w:r>
        <w:t xml:space="preserve"> </w:t>
      </w:r>
      <w:r>
        <w:t xml:space="preserve">correction. Placements are not exactly paired across policies, and unions do not</w:t>
      </w:r>
      <w:r>
        <w:t xml:space="preserve"> </w:t>
      </w:r>
      <w:r>
        <w:t xml:space="preserve">show repeated loss slots. This selected engineering example is not a population</w:t>
      </w:r>
      <w:r>
        <w:t xml:space="preserve"> </w:t>
      </w:r>
      <w:r>
        <w:t xml:space="preserve">summary or evidence of downstream performance.</w:t>
      </w:r>
    </w:p>
    <w:bookmarkEnd w:id="138"/>
    <w:bookmarkEnd w:id="139"/>
    <w:bookmarkStart w:id="159" w:name="app:geomprov"/>
    <w:p>
      <w:pPr>
        <w:pStyle w:val="Heading1"/>
      </w:pPr>
      <w:r>
        <w:t xml:space="preserve">Mask-geometry provenance</w:t>
      </w:r>
    </w:p>
    <w:p>
      <w:pPr>
        <w:pStyle w:val="FirstParagraph"/>
      </w:pPr>
      <w:r>
        <w:t xml:space="preserve">Table </w:t>
      </w:r>
      <w:bookmarkStart w:id="140" w:name="jeparef0071"/>
      <w:r>
        <w:t xml:space="preserve">2</w:t>
      </w:r>
      <w:bookmarkEnd w:id="140"/>
      <w:r>
        <w:t xml:space="preserve"> </w:t>
      </w:r>
      <w:r>
        <w:t xml:space="preserve">was regenerated from the production samplers rather than</w:t>
      </w:r>
      <w:r>
        <w:t xml:space="preserve"> </w:t>
      </w:r>
      <w:r>
        <w:t xml:space="preserve">carried forward from an earlier draft, and this appendix records how, together</w:t>
      </w:r>
      <w:r>
        <w:t xml:space="preserve"> </w:t>
      </w:r>
      <w:r>
        <w:t xml:space="preserve">with two facts the table itself cannot show: how much of each cell is</w:t>
      </w:r>
      <w:r>
        <w:t xml:space="preserve"> </w:t>
      </w:r>
      <w:r>
        <w:t xml:space="preserve">measurement noise, and how one configuration constant moves the correlation</w:t>
      </w:r>
      <w:r>
        <w:t xml:space="preserve"> </w:t>
      </w:r>
      <w:r>
        <w:t xml:space="preserve">quoted in Section </w:t>
      </w:r>
      <w:bookmarkStart w:id="141" w:name="jeparef0072"/>
      <w:r>
        <w:t xml:space="preserve">5.2</w:t>
      </w:r>
      <w:bookmarkEnd w:id="141"/>
      <w:r>
        <w:t xml:space="preserve">.</w:t>
      </w:r>
    </w:p>
    <w:bookmarkStart w:id="142" w:name="how-the-geometry-was-measured."/>
    <w:p>
      <w:pPr>
        <w:pStyle w:val="Heading4"/>
      </w:pPr>
      <w:r>
        <w:t xml:space="preserve">How the geometry was measured.</w:t>
      </w:r>
    </w:p>
    <w:p>
      <w:pPr>
        <w:pStyle w:val="FirstParagraph"/>
      </w:pPr>
      <w:r>
        <w:t xml:space="preserve">Each production sampler was run on</w:t>
      </w:r>
      <w:r>
        <w:t xml:space="preserve"> </w:t>
      </w:r>
      <w:r>
        <w:t xml:space="preserve">the same 600 FairVision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slices (24 volumes, 25 slices each),</w:t>
      </w:r>
      <w:r>
        <w:t xml:space="preserve"> </w:t>
      </w:r>
      <w:r>
        <w:t xml:space="preserve">one image at a time, with the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visible-tissue floor at its</w:t>
      </w:r>
      <w:r>
        <w:t xml:space="preserve"> </w:t>
      </w:r>
      <w:r>
        <w:t xml:space="preserve">production value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0.21</m:t>
        </m:r>
      </m:oMath>
      <w:r>
        <w:t xml:space="preserve">, on the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patch grid, with anatomy taken</w:t>
      </w:r>
      <w:r>
        <w:t xml:space="preserve"> </w:t>
      </w:r>
      <w:r>
        <w:t xml:space="preserve">from the MIRAGE guide occupancy channel at threshold</w:t>
      </w:r>
      <w:r>
        <w:t xml:space="preserve"> </w:t>
      </w:r>
      <m:oMath>
        <m:r>
          <m:t>0.25</m:t>
        </m:r>
      </m:oMath>
      <w:r>
        <w:t xml:space="preserve">. The measurement was</w:t>
      </w:r>
      <w:r>
        <w:t xml:space="preserve"> </w:t>
      </w:r>
      <w:r>
        <w:t xml:space="preserve">repeated with three independent draws (seeds 42, 1234 and 2026). Training slices</w:t>
      </w:r>
      <w:r>
        <w:t xml:space="preserve"> </w:t>
      </w:r>
      <w:r>
        <w:t xml:space="preserve">are not a choice: the cached anatomy guides exist for the Training split only,</w:t>
      </w:r>
      <w:r>
        <w:t xml:space="preserve"> </w:t>
      </w:r>
      <w:r>
        <w:t xml:space="preserve">so three of the five production samplers cannot be run on held-out slices at</w:t>
      </w:r>
      <w:r>
        <w:t xml:space="preserve"> </w:t>
      </w:r>
      <w:r>
        <w:t xml:space="preserve">all.</w:t>
      </w:r>
    </w:p>
    <w:bookmarkEnd w:id="142"/>
    <w:bookmarkStart w:id="147" w:name="cell-level-agreement-and-seed-noise."/>
    <w:p>
      <w:pPr>
        <w:pStyle w:val="Heading4"/>
      </w:pPr>
      <w:r>
        <w:t xml:space="preserve">Cell-level agreement and seed noise.</w:t>
      </w:r>
    </w:p>
    <w:p>
      <w:pPr>
        <w:pStyle w:val="FirstParagraph"/>
      </w:pPr>
      <w:r>
        <w:t xml:space="preserve">Table </w:t>
      </w:r>
      <w:bookmarkStart w:id="143" w:name="jeparef0073"/>
      <w:r>
        <w:t xml:space="preserve">2</w:t>
      </w:r>
      <w:bookmarkEnd w:id="143"/>
      <w:r>
        <w:t xml:space="preserve"> </w:t>
      </w:r>
      <w:r>
        <w:t xml:space="preserve">uses the</w:t>
      </w:r>
      <w:r>
        <w:t xml:space="preserve"> </w:t>
      </w:r>
      <w:r>
        <w:t xml:space="preserve">seed-42 draw. Table </w:t>
      </w:r>
      <w:bookmarkStart w:id="144" w:name="jeparef0074"/>
      <w:r>
        <w:t xml:space="preserve">4</w:t>
      </w:r>
      <w:bookmarkEnd w:id="144"/>
      <w:r>
        <w:t xml:space="preserve"> </w:t>
      </w:r>
      <w:r>
        <w:t xml:space="preserve">reports variability over the three</w:t>
      </w:r>
      <w:r>
        <w:t xml:space="preserve"> </w:t>
      </w:r>
      <w:r>
        <w:t xml:space="preserve">measurement draws, not variability across pretrained encoders.</w:t>
      </w:r>
      <w:r>
        <w:t xml:space="preserve"> </w:t>
      </w:r>
      <w:r>
        <w:t xml:space="preserve">No conclusion depends on the ordering of the small differences in mean</w:t>
      </w:r>
      <w:r>
        <w:t xml:space="preserve"> </w:t>
      </w:r>
      <w:r>
        <w:t xml:space="preserve">rectangle-arm loss-slot counts. The rank order of the arms on anatomy</w:t>
      </w:r>
      <w:r>
        <w:t xml:space="preserve"> </w:t>
      </w:r>
      <w:r>
        <w:t xml:space="preserve">hidden and on purity is identical across all three draws, which is what the</w:t>
      </w:r>
      <w:r>
        <w:t xml:space="preserve"> </w:t>
      </w:r>
      <w:r>
        <w:t xml:space="preserve">rank correlations in the main text rely on.</w:t>
      </w:r>
    </w:p>
    <w:bookmarkStart w:id="146" w:name="tab:geomprov"/>
    <w:p>
      <w:pPr>
        <w:pStyle w:val="TableCaption"/>
      </w:pPr>
      <w:r>
        <w:t xml:space="preserve">Stability of two Table </w:t>
      </w:r>
      <w:bookmarkStart w:id="145" w:name="jeparef0075"/>
      <w:r>
        <w:t xml:space="preserve">2</w:t>
      </w:r>
      <w:bookmarkEnd w:id="145"/>
      <w:r>
        <w:t xml:space="preserve"> </w:t>
      </w:r>
      <w:r>
        <w:t xml:space="preserve">columns across three independent</w:t>
      </w:r>
      <w:r>
        <w:t xml:space="preserve"> </w:t>
      </w:r>
      <w:r>
        <w:t xml:space="preserve">draws of the same 600-slice measurement.</w:t>
      </w:r>
      <w:r>
        <w:t xml:space="preserve"> </w:t>
      </w:r>
      <w:r>
        <w:t xml:space="preserve">“sd”</w:t>
      </w:r>
      <w:r>
        <w:t xml:space="preserve"> </w:t>
      </w:r>
      <w:r>
        <w:t xml:space="preserve">is the standard deviation over</w:t>
      </w:r>
      <w:r>
        <w:t xml:space="preserve"> </w:t>
      </w:r>
      <w:r>
        <w:t xml:space="preserve">seeds 42, 1234 and 2026. These SDs quantify sampler redraw variation, not</w:t>
      </w:r>
      <w:r>
        <w:t xml:space="preserve"> </w:t>
      </w:r>
      <w:r>
        <w:t xml:space="preserve">uncertainty over independently pretrained encoders.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bility of two Table 2 columns across three independent draws of the same 600-slice measurement. “sd” is the standard deviation over seeds 42, 1234 and 2026. These SDs quantify sampler redraw variation, not uncertainty over independently pretrained encoder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anatomy hidden (%)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loss slots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anatomy-v2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bookmarkEnd w:id="146"/>
    <w:bookmarkEnd w:id="147"/>
    <w:bookmarkStart w:id="153" w:name="X459655e06849dfad8699fa9890f4331905427d5"/>
    <w:p>
      <w:pPr>
        <w:pStyle w:val="Heading4"/>
      </w:pPr>
      <w:r>
        <w:t xml:space="preserve">The delivered context is not the per-image context.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“context</w:t>
      </w:r>
      <w:r>
        <w:t xml:space="preserve"> </w:t>
      </w:r>
      <w:r>
        <w:t xml:space="preserve">kept”</w:t>
      </w:r>
      <w:r>
        <w:t xml:space="preserve"> </w:t>
      </w:r>
      <w:r>
        <w:t xml:space="preserve">column of Table </w:t>
      </w:r>
      <w:bookmarkStart w:id="148" w:name="jeparef0076"/>
      <w:r>
        <w:t xml:space="preserve">2</w:t>
      </w:r>
      <w:bookmarkEnd w:id="148"/>
      <w:r>
        <w:t xml:space="preserve"> </w:t>
      </w:r>
      <w:r>
        <w:t xml:space="preserve">is per-image geometry, measured before</w:t>
      </w:r>
      <w:r>
        <w:t xml:space="preserve"> </w:t>
      </w:r>
      <w:r>
        <w:t xml:space="preserve">collation. In training, every context mask in a batch is truncated to the batch</w:t>
      </w:r>
      <w:r>
        <w:t xml:space="preserve"> </w:t>
      </w:r>
      <w:r>
        <w:t xml:space="preserve">minimum, so what the encoder actually receives at the production batch size is</w:t>
      </w:r>
      <w:r>
        <w:t xml:space="preserve"> </w:t>
      </w:r>
      <w:r>
        <w:t xml:space="preserve">smaller, and unevenly so (Table </w:t>
      </w:r>
      <w:bookmarkStart w:id="149" w:name="jeparef0077"/>
      <w:r>
        <w:t xml:space="preserve">5</w:t>
      </w:r>
      <w:bookmarkEnd w:id="149"/>
      <w:r>
        <w:t xml:space="preserve">). The context confound</w:t>
      </w:r>
      <w:r>
        <w:t xml:space="preserve"> </w:t>
      </w:r>
      <w:r>
        <w:t xml:space="preserve">between the anatomy arm and the rectangle arms that</w:t>
      </w:r>
      <w:r>
        <w:t xml:space="preserve"> </w:t>
      </w:r>
      <w:r>
        <w:t xml:space="preserve">Section </w:t>
      </w:r>
      <w:bookmarkStart w:id="150" w:name="jeparef0078"/>
      <w:r>
        <w:t xml:space="preserve">5.2</w:t>
      </w:r>
      <w:bookmarkEnd w:id="150"/>
      <w:r>
        <w:t xml:space="preserve"> </w:t>
      </w:r>
      <w:r>
        <w:t xml:space="preserve">declines to explain</w:t>
      </w:r>
      <w:r>
        <w:t xml:space="preserve"> </w:t>
      </w:r>
      <w:r>
        <w:t xml:space="preserve">away is consequently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than the printed table suggests: roughly a</w:t>
      </w:r>
      <w:r>
        <w:t xml:space="preserve"> </w:t>
      </w:r>
      <w:r>
        <w:t xml:space="preserve">doubling rather than a</w:t>
      </w:r>
      <w:r>
        <w:t xml:space="preserve"> </w:t>
      </w:r>
      <m:oMath>
        <m:r>
          <m:t>1.6</m:t>
        </m:r>
        <m:r>
          <m:rPr>
            <m:sty m:val="p"/>
          </m:rPr>
          <m:t>×</m:t>
        </m:r>
      </m:oMath>
      <w:r>
        <w:t xml:space="preserve"> </w:t>
      </w:r>
      <w:r>
        <w:t xml:space="preserve">ratio. This strengthens the verdict that H3</w:t>
      </w:r>
      <w:r>
        <w:t xml:space="preserve"> </w:t>
      </w:r>
      <w:r>
        <w:t xml:space="preserve">is not identified by this design.</w:t>
      </w:r>
    </w:p>
    <w:bookmarkStart w:id="152" w:name="tab:delivered"/>
    <w:p>
      <w:pPr>
        <w:pStyle w:val="TableCaption"/>
      </w:pPr>
      <w:r>
        <w:t xml:space="preserve">Visible context as a fraction of the patch grid, same 600 slices and</w:t>
      </w:r>
      <w:r>
        <w:t xml:space="preserve"> </w:t>
      </w:r>
      <w:r>
        <w:t xml:space="preserve">same seed, measured per image and as delivered to the encoder at the production</w:t>
      </w:r>
      <w:r>
        <w:t xml:space="preserve"> </w:t>
      </w:r>
      <w:r>
        <w:t xml:space="preserve">batch size of 64. The per-image column reproduces</w:t>
      </w:r>
      <w:r>
        <w:t xml:space="preserve"> </w:t>
      </w:r>
      <w:r>
        <w:t xml:space="preserve">Table </w:t>
      </w:r>
      <w:bookmarkStart w:id="151" w:name="jeparef0079"/>
      <w:r>
        <w:t xml:space="preserve">2</w:t>
      </w:r>
      <w:bookmarkEnd w:id="151"/>
      <w:r>
        <w:t xml:space="preserve">’s</w:t>
      </w:r>
      <w:r>
        <w:t xml:space="preserve"> </w:t>
      </w:r>
      <w:r>
        <w:t xml:space="preserve">“context kept”</w:t>
      </w:r>
      <w:r>
        <w:t xml:space="preserve"> </w:t>
      </w:r>
      <w:r>
        <w:t xml:space="preserve">to within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points.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isible context as a fraction of the patch grid, same 600 slices and same seed, measured per image and as delivered to the encoder at the production batch size of 64. The per-image column reproduces Table 2’s “context kept” to within 0.4 poi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 image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delivered at batch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anatomy-v2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63.5%</w:t>
            </w:r>
          </w:p>
        </w:tc>
      </w:tr>
    </w:tbl>
    <w:bookmarkEnd w:id="152"/>
    <w:bookmarkEnd w:id="153"/>
    <w:bookmarkStart w:id="156" w:name="Xaed655c901f48808b31a594918cda41ddf14110"/>
    <w:p>
      <w:pPr>
        <w:pStyle w:val="Heading4"/>
      </w:pPr>
      <w:r>
        <w:t xml:space="preserve">The rank correlation depends on a configuration constant.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rPr>
            <m:sty m:val="p"/>
          </m:rPr>
          <m:t>+</m:t>
        </m:r>
        <m:r>
          <m:t>0.80</m:t>
        </m:r>
      </m:oMath>
      <w:r>
        <w:t xml:space="preserve"> </w:t>
      </w:r>
      <w:r>
        <w:t xml:space="preserve">anatomy-hidden/AUC Spearman coefficient of</w:t>
      </w:r>
      <w:r>
        <w:t xml:space="preserve"> </w:t>
      </w:r>
      <w:r>
        <w:t xml:space="preserve">Section </w:t>
      </w:r>
      <w:bookmarkStart w:id="154" w:name="jeparef0080"/>
      <w:r>
        <w:t xml:space="preserve">5.2</w:t>
      </w:r>
      <w:bookmarkEnd w:id="154"/>
      <w:r>
        <w:t xml:space="preserve"> </w:t>
      </w:r>
      <w:r>
        <w:t xml:space="preserve">is computed at the production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floor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0.21</m:t>
        </m:r>
      </m:oMath>
      <w:r>
        <w:t xml:space="preserve">. Re-measured on the same slices with the floor at</w:t>
      </w:r>
      <w:r>
        <w:t xml:space="preserve"> </w:t>
      </w:r>
      <m:oMath>
        <m:r>
          <m:t>0.15</m:t>
        </m:r>
      </m:oMath>
      <w:r>
        <w:t xml:space="preserve">,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hides</w:t>
      </w:r>
      <w:r>
        <w:t xml:space="preserve"> </w:t>
      </w:r>
      <m:oMath>
        <m:r>
          <m:t>79.5</m:t>
        </m:r>
        <m:r>
          <m:rPr>
            <m:sty m:val="p"/>
          </m:rPr>
          <m:t>%</m:t>
        </m:r>
      </m:oMath>
      <w:r>
        <w:t xml:space="preserve"> </w:t>
      </w:r>
      <w:r>
        <w:t xml:space="preserve">of anatomy instead of</w:t>
      </w:r>
      <w:r>
        <w:t xml:space="preserve"> </w:t>
      </w:r>
      <m:oMath>
        <m:r>
          <m:t>73.4</m:t>
        </m:r>
        <m:r>
          <m:rPr>
            <m:sty m:val="p"/>
          </m:rPr>
          <m:t>%</m:t>
        </m:r>
      </m:oMath>
      <w:r>
        <w:t xml:space="preserve"> </w:t>
      </w:r>
      <w:r>
        <w:t xml:space="preserve">at the same batch</w:t>
      </w:r>
      <w:r>
        <w:t xml:space="preserve"> </w:t>
      </w:r>
      <w:r>
        <w:t xml:space="preserve">size and overtakes</w:t>
      </w:r>
      <w:r>
        <w:t xml:space="preserve"> </w:t>
      </w:r>
      <w:r>
        <w:rPr>
          <w:smallCaps/>
        </w:rPr>
        <w:t xml:space="preserve">envelope</w:t>
      </w:r>
      <w:r>
        <w:t xml:space="preserve">, which reorders the four rectangle arms and moves the same</w:t>
      </w:r>
      <w:r>
        <w:t xml:space="preserve"> </w:t>
      </w:r>
      <w:r>
        <w:t xml:space="preserve">coefficient to</w:t>
      </w:r>
      <w:r>
        <w:t xml:space="preserve"> </w:t>
      </w:r>
      <m:oMath>
        <m:r>
          <m:rPr>
            <m:sty m:val="p"/>
          </m:rPr>
          <m:t>+</m:t>
        </m:r>
        <m:r>
          <m:t>0.40</m:t>
        </m:r>
      </m:oMath>
      <w:r>
        <w:t xml:space="preserve">. A rank statistic over four arms that a single</w:t>
      </w:r>
      <w:r>
        <w:t xml:space="preserve"> </w:t>
      </w:r>
      <w:r>
        <w:t xml:space="preserve">configuration constant can move by that much is not evidence about anatomy, in</w:t>
      </w:r>
      <w:r>
        <w:t xml:space="preserve"> </w:t>
      </w:r>
      <w:r>
        <w:t xml:space="preserve">either direction, which is why Section </w:t>
      </w:r>
      <w:bookmarkStart w:id="155" w:name="jeparef0081"/>
      <w:r>
        <w:t xml:space="preserve">5.2</w:t>
      </w:r>
      <w:bookmarkEnd w:id="155"/>
      <w:r>
        <w:t xml:space="preserve"> </w:t>
      </w:r>
      <w:r>
        <w:t xml:space="preserve">draws its conclusion</w:t>
      </w:r>
      <w:r>
        <w:t xml:space="preserve"> </w:t>
      </w:r>
      <w:r>
        <w:t xml:space="preserve">from the direct comparison instead.</w:t>
      </w:r>
    </w:p>
    <w:bookmarkEnd w:id="156"/>
    <w:bookmarkStart w:id="158" w:name="what-would-identify-target-shape."/>
    <w:p>
      <w:pPr>
        <w:pStyle w:val="Heading4"/>
      </w:pPr>
      <w:r>
        <w:t xml:space="preserve">What would identify target shape.</w:t>
      </w:r>
    </w:p>
    <w:p>
      <w:pPr>
        <w:pStyle w:val="FirstParagraph"/>
      </w:pPr>
      <w:r>
        <w:t xml:space="preserve">An arm that isolated target shape</w:t>
      </w:r>
      <w:r>
        <w:t xml:space="preserve"> </w:t>
      </w:r>
      <w:r>
        <w:t xml:space="preserve">would have to match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on the axes that currently differ, and</w:t>
      </w:r>
      <w:r>
        <w:t xml:space="preserve"> </w:t>
      </w:r>
      <w:r>
        <w:t xml:space="preserve">those requirements are numeric, not rhetorical.</w:t>
      </w:r>
      <w:r>
        <w:t xml:space="preserve"> </w:t>
      </w:r>
      <w:r>
        <w:rPr>
          <w:smallCaps/>
        </w:rPr>
        <w:t xml:space="preserve">anatomy-v2</w:t>
      </w:r>
      <w:r>
        <w:t xml:space="preserve"> </w:t>
      </w:r>
      <w:r>
        <w:t xml:space="preserve">sets four</w:t>
      </w:r>
      <w:r>
        <w:t xml:space="preserve"> </w:t>
      </w:r>
      <w:r>
        <w:t xml:space="preserve">predictor targets resampled to a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cells, giving exactly 64 loss</w:t>
      </w:r>
      <w:r>
        <w:t xml:space="preserve"> </w:t>
      </w:r>
      <w:r>
        <w:t xml:space="preserve">slots. Matching the rectangle arms’</w:t>
      </w:r>
      <w:r>
        <w:t xml:space="preserve"> </w:t>
      </w:r>
      <m:oMath>
        <m:r>
          <m:t>158</m:t>
        </m:r>
      </m:oMath>
      <w:r>
        <w:t xml:space="preserve">–</w:t>
      </w:r>
      <m:oMath>
        <m:r>
          <m:t>160</m:t>
        </m:r>
      </m:oMath>
      <w:r>
        <w:t xml:space="preserve"> </w:t>
      </w:r>
      <w:r>
        <w:t xml:space="preserve">slots at four targets requires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40</m:t>
        </m:r>
      </m:oMath>
      <w:r>
        <w:t xml:space="preserve"> </w:t>
      </w:r>
      <w:r>
        <w:t xml:space="preserve">(inferred arithmetic on those measured values). It would also have</w:t>
      </w:r>
      <w:r>
        <w:t xml:space="preserve"> </w:t>
      </w:r>
      <w:r>
        <w:t xml:space="preserve">to deliver a mask ratio of</w:t>
      </w:r>
      <w:r>
        <w:t xml:space="preserve"> </w:t>
      </w:r>
      <m:oMath>
        <m:r>
          <m:t>40</m:t>
        </m:r>
      </m:oMath>
      <w:r>
        <w:t xml:space="preserve">–</w:t>
      </w:r>
      <m:oMath>
        <m:r>
          <m:t>46</m:t>
        </m:r>
        <m:r>
          <m:rPr>
            <m:sty m:val="p"/>
          </m:rPr>
          <m:t>%</m:t>
        </m:r>
      </m:oMath>
      <w:r>
        <w:t xml:space="preserve"> </w:t>
      </w:r>
      <w:r>
        <w:t xml:space="preserve">of the grid rather than the</w:t>
      </w:r>
      <w:r>
        <w:t xml:space="preserve"> </w:t>
      </w:r>
      <m:oMath>
        <m:r>
          <m:t>21</m:t>
        </m:r>
        <m:r>
          <m:rPr>
            <m:sty m:val="p"/>
          </m:rPr>
          <m:t>%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the anatomy arms deliver, roughly twice the target area, which for a</w:t>
      </w:r>
      <w:r>
        <w:t xml:space="preserve"> </w:t>
      </w:r>
      <w:r>
        <w:t xml:space="preserve">shape-following sampler means more or larger connected components and therefore changes the</w:t>
      </w:r>
      <w:r>
        <w:t xml:space="preserve"> </w:t>
      </w:r>
      <w:r>
        <w:t xml:space="preserve">very shape statistics being tested, and it would have to pass through the</w:t>
      </w:r>
      <w:r>
        <w:t xml:space="preserve"> </w:t>
      </w:r>
      <w:r>
        <w:t xml:space="preserve">rectangle collation path, including the batch-minimum truncation above. It would</w:t>
      </w:r>
      <w:r>
        <w:t xml:space="preserve"> </w:t>
      </w:r>
      <w:r>
        <w:t xml:space="preserve">then need the same replicated continuation design and the same endpoint as</w:t>
      </w:r>
      <w:r>
        <w:t xml:space="preserve"> </w:t>
      </w:r>
      <w:r>
        <w:t xml:space="preserve">Appendix </w:t>
      </w:r>
      <w:bookmarkStart w:id="157" w:name="jeparef0082"/>
      <w:r>
        <w:t xml:space="preserve">B</w:t>
      </w:r>
      <w:bookmarkEnd w:id="157"/>
      <w:r>
        <w:t xml:space="preserve">. We did not run it. Naming its specification is</w:t>
      </w:r>
      <w:r>
        <w:t xml:space="preserve"> </w:t>
      </w:r>
      <w:r>
        <w:t xml:space="preserve">what we can offer instead.</w:t>
      </w:r>
    </w:p>
    <w:bookmarkEnd w:id="158"/>
    <w:bookmarkEnd w:id="159"/>
    <w:bookmarkStart w:id="191" w:name="app:subgroup"/>
    <w:p>
      <w:pPr>
        <w:pStyle w:val="Heading1"/>
      </w:pPr>
      <w:r>
        <w:t xml:space="preserve">Subgroup and severity analysis</w:t>
      </w:r>
    </w:p>
    <w:bookmarkStart w:id="164" w:name="fig:fair"/>
    <w:p>
      <w:pPr>
        <w:pStyle w:val="CaptionedFigure"/>
      </w:pPr>
      <w:r>
        <w:drawing>
          <wp:inline>
            <wp:extent cx="5334000" cy="2213042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fig_fairness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3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Left:</w:t>
      </w:r>
      <w:r>
        <w:t xml:space="preserve"> </w:t>
      </w:r>
      <w:r>
        <w:t xml:space="preserve">race-stratified AUC at epoch 100. Points are group AUCs</w:t>
      </w:r>
      <w:r>
        <w:t xml:space="preserve"> </w:t>
      </w:r>
      <w:r>
        <w:t xml:space="preserve">and vertical bars are 3</w:t>
      </w:r>
      <w:r>
        <w:t xml:space="preserve">,</w:t>
      </w:r>
      <w:r>
        <w:t xml:space="preserve">000-resample class-stratified percentile bootstrap</w:t>
      </w:r>
      <w:r>
        <w:t xml:space="preserve"> </w:t>
      </w:r>
      <w:r>
        <w:t xml:space="preserve">intervals within each group, with fitted heads fixed and</w:t>
      </w:r>
      <w:r>
        <w:t xml:space="preserve"> </w:t>
      </w:r>
      <w:r>
        <w:t xml:space="preserve">per-group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legend. The black subgroup is lowest under every policy, yet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group point estimate rises from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centroid</w:t>
      </w:r>
      <w:r>
        <w:t xml:space="preserve">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max–min race gap against aggregate AUC, one point per probe</w:t>
      </w:r>
      <w:r>
        <w:t xml:space="preserve"> </w:t>
      </w:r>
      <w:r>
        <w:t xml:space="preserve">over the 19 probes that carry a race summary; the legend keys colour</w:t>
      </w:r>
      <w:r>
        <w:t xml:space="preserve"> </w:t>
      </w:r>
      <w:r>
        <w:t xml:space="preserve">and marker to policy. The dashed line is a</w:t>
      </w:r>
      <w:r>
        <w:t xml:space="preserve"> </w:t>
      </w:r>
      <w:r>
        <w:t xml:space="preserve">least-squares fit while the quoted correlation is Spearman. The slope is</w:t>
      </w:r>
      <w:r>
        <w:t xml:space="preserve"> </w:t>
      </w:r>
      <w:r>
        <w:t xml:space="preserve">positive but fails multiplicity correction at</w:t>
      </w:r>
      <w:r>
        <w:t xml:space="preserve"> </w:t>
      </w:r>
      <w:r>
        <w:t xml:space="preserve">checkpoint level and does not survive branch-level aggregation</w:t>
      </w:r>
      <w:r>
        <w:t xml:space="preserve"> </w:t>
      </w:r>
      <w:r>
        <w:t xml:space="preserve">(Table </w:t>
      </w:r>
      <w:bookmarkStart w:id="163" w:name="jeparef0083"/>
      <w:r>
        <w:t xml:space="preserve">6</w:t>
      </w:r>
      <w:bookmarkEnd w:id="163"/>
      <w:r>
        <w:t xml:space="preserve">), so we draw no trend conclusion from it.</w:t>
      </w:r>
    </w:p>
    <w:bookmarkEnd w:id="164"/>
    <w:p>
      <w:pPr>
        <w:pStyle w:val="BodyText"/>
      </w:pPr>
      <w:r>
        <w:t xml:space="preserve">All numbers below come from saved test predictions joined to FairVision’s</w:t>
      </w:r>
      <w:r>
        <w:t xml:space="preserve"> </w:t>
      </w:r>
      <w:r>
        <w:t xml:space="preserve">released metadata in deterministic loader order. The join is validated by exact</w:t>
      </w:r>
      <w:r>
        <w:t xml:space="preserve"> </w:t>
      </w:r>
      <w:r>
        <w:t xml:space="preserve">label reconstruction (3000/3000 labels recovered in every probe). The</w:t>
      </w:r>
      <w:r>
        <w:t xml:space="preserve"> </w:t>
      </w:r>
      <w:r>
        <w:t xml:space="preserve">23 probes used here are exactly those the inventory marks valid: the</w:t>
      </w:r>
      <w:r>
        <w:t xml:space="preserve"> </w:t>
      </w:r>
      <w:r>
        <w:t xml:space="preserve">four retracted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probes of Appendix </w:t>
      </w:r>
      <w:bookmarkStart w:id="165" w:name="jeparef0084"/>
      <w:r>
        <w:t xml:space="preserve">F</w:t>
      </w:r>
      <w:bookmarkEnd w:id="165"/>
      <w:r>
        <w:t xml:space="preserve"> </w:t>
      </w:r>
      <w:r>
        <w:t xml:space="preserve">and the two</w:t>
      </w:r>
      <w:r>
        <w:t xml:space="preserve"> </w:t>
      </w:r>
      <w:r>
        <w:t xml:space="preserve">precision-spliced</w:t>
      </w:r>
      <w:r>
        <w:t xml:space="preserve"> </w:t>
      </w:r>
      <w:r>
        <w:rPr>
          <w:smallCaps/>
        </w:rPr>
        <w:t xml:space="preserve">anatomy-v2</w:t>
      </w:r>
      <w:r>
        <w:t xml:space="preserve"> </w:t>
      </w:r>
      <w:r>
        <w:t xml:space="preserve">probes are excluded here as everywhere</w:t>
      </w:r>
      <w:r>
        <w:t xml:space="preserve"> </w:t>
      </w:r>
      <w:r>
        <w:t xml:space="preserve">else in the paper.</w:t>
      </w:r>
    </w:p>
    <w:bookmarkStart w:id="166" w:name="X8839205374a325fe481c840bb8cf602f2ec7bc3"/>
    <w:p>
      <w:pPr>
        <w:pStyle w:val="Heading4"/>
      </w:pPr>
      <w:r>
        <w:t xml:space="preserve">Cohort composition and analysis eligibility.</w:t>
      </w:r>
    </w:p>
    <w:p>
      <w:pPr>
        <w:pStyle w:val="FirstParagraph"/>
      </w:pPr>
      <w:r>
        <w:t xml:space="preserve">The composition counts below describe the complete test cohort, without</w:t>
      </w:r>
      <w:r>
        <w:t xml:space="preserve"> </w:t>
      </w:r>
      <w:r>
        <w:t xml:space="preserve">imputation. They are not the eligibility rules for every subgroup analysis.</w:t>
      </w:r>
      <w:r>
        <w:t xml:space="preserve"> </w:t>
      </w:r>
      <w:r>
        <w:t xml:space="preserve">The released metadata carries</w:t>
      </w:r>
      <w:r>
        <w:t xml:space="preserve"> </w:t>
      </w:r>
      <w:r>
        <w:t xml:space="preserve">every attribute we use for all 3000 test subjects, whose identifiers are all</w:t>
      </w:r>
      <w:r>
        <w:t xml:space="preserve"> </w:t>
      </w:r>
      <w:r>
        <w:t xml:space="preserve">distinct, and the label is complete at 1466 positive and 1534 negative.</w:t>
      </w:r>
      <w:r>
        <w:t xml:space="preserve"> </w:t>
      </w:r>
      <w:r>
        <w:t xml:space="preserve">Race is 251 asian, 431 black and 2318 white; gender is 1</w:t>
      </w:r>
      <w:r>
        <w:t xml:space="preserve">,</w:t>
      </w:r>
      <w:r>
        <w:t xml:space="preserve">716</w:t>
      </w:r>
      <w:r>
        <w:t xml:space="preserve"> </w:t>
      </w:r>
      <w:r>
        <w:t xml:space="preserve">female and 1</w:t>
      </w:r>
      <w:r>
        <w:t xml:space="preserve">,</w:t>
      </w:r>
      <w:r>
        <w:t xml:space="preserve">284 male; ethnicity is 2</w:t>
      </w:r>
      <w:r>
        <w:t xml:space="preserve">,</w:t>
      </w:r>
      <w:r>
        <w:t xml:space="preserve">894 non-hispanic and 106 hispanic;</w:t>
      </w:r>
      <w:r>
        <w:t xml:space="preserve"> </w:t>
      </w:r>
      <w:r>
        <w:t xml:space="preserve">language is 2</w:t>
      </w:r>
      <w:r>
        <w:t xml:space="preserve">,</w:t>
      </w:r>
      <w:r>
        <w:t xml:space="preserve">782 english, 174 other and 44 spanish; marital status is 1</w:t>
      </w:r>
      <w:r>
        <w:t xml:space="preserve">,</w:t>
      </w:r>
      <w:r>
        <w:t xml:space="preserve">741</w:t>
      </w:r>
      <w:r>
        <w:t xml:space="preserve"> </w:t>
      </w:r>
      <w:r>
        <w:t xml:space="preserve">married or partnered, 776 single, 199 widowed, 191 divorced, 71 unknown and 22</w:t>
      </w:r>
      <w:r>
        <w:t xml:space="preserve"> </w:t>
      </w:r>
      <w:r>
        <w:t xml:space="preserve">legally separated; age is present and numeric for all 3000, spanning</w:t>
      </w:r>
      <w:r>
        <w:t xml:space="preserve"> </w:t>
      </w:r>
      <m:oMath>
        <m:r>
          <m:t>9.5</m:t>
        </m:r>
      </m:oMath>
      <w:r>
        <w:t xml:space="preserve">–</w:t>
      </w:r>
      <m:oMath>
        <m:r>
          <m:t>98.0</m:t>
        </m:r>
      </m:oMath>
      <w:r>
        <w:t xml:space="preserve"> </w:t>
      </w:r>
      <w:r>
        <w:t xml:space="preserve">years. Each of those five categorical breakdowns sums to 3000</w:t>
      </w:r>
      <w:r>
        <w:t xml:space="preserve"> </w:t>
      </w:r>
      <w:r>
        <w:t xml:space="preserve">exactly. Analysis-specific exclusions are described below.</w:t>
      </w:r>
    </w:p>
    <w:p>
      <w:pPr>
        <w:pStyle w:val="BodyText"/>
      </w:pPr>
      <w:r>
        <w:t xml:space="preserve">One level is non-substantive rather than absent: 71 of 3000 subjects</w:t>
      </w:r>
      <w:r>
        <w:t xml:space="preserve"> </w:t>
      </w:r>
      <w:r>
        <w:t xml:space="preserve">(</w:t>
      </w:r>
      <m:oMath>
        <m:r>
          <m:t>2.4</m:t>
        </m:r>
        <m:r>
          <m:rPr>
            <m:sty m:val="p"/>
          </m:rPr>
          <m:t>%</m:t>
        </m:r>
      </m:oMath>
      <w:r>
        <w:t xml:space="preserve">) carry marital status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in the release. It is included</w:t>
      </w:r>
      <w:r>
        <w:t xml:space="preserve"> </w:t>
      </w:r>
      <w:r>
        <w:t xml:space="preserve">in these composition counts but omitted from the seven-attribute trend analysis,</w:t>
      </w:r>
      <w:r>
        <w:t xml:space="preserve"> </w:t>
      </w:r>
      <w:r>
        <w:t xml:space="preserve">not folded into another group. Severity is derived from visual-field mean deviation, and its 334</w:t>
      </w:r>
      <w:r>
        <w:t xml:space="preserve"> </w:t>
      </w:r>
      <w:r>
        <w:t xml:space="preserve">severe, 460 moderate and 672 mild strata sum to all 1466 positives, so no</w:t>
      </w:r>
      <w:r>
        <w:t xml:space="preserve"> </w:t>
      </w:r>
      <w:r>
        <w:t xml:space="preserve">positive is lost at a stratum boundary. The release uses a mean-deviation</w:t>
      </w:r>
      <w:r>
        <w:t xml:space="preserve"> </w:t>
      </w:r>
      <w:r>
        <w:t xml:space="preserve">sentinel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3 of the 3000 test records. All 3 carry a negative label,</w:t>
      </w:r>
      <w:r>
        <w:t xml:space="preserve"> </w:t>
      </w:r>
      <w:r>
        <w:t xml:space="preserve">and because every severity stratum is scored against the undifferentiated pool of</w:t>
      </w:r>
      <w:r>
        <w:t xml:space="preserve"> </w:t>
      </w:r>
      <w:r>
        <w:t xml:space="preserve">all 1534 negatives, that sentinel never enters a stratum definition.</w:t>
      </w:r>
    </w:p>
    <w:p>
      <w:pPr>
        <w:pStyle w:val="BodyText"/>
      </w:pPr>
      <w:r>
        <w:t xml:space="preserve">The per-group fairness-summary workflow marks groups with fewer than 50 cases</w:t>
      </w:r>
      <w:r>
        <w:t xml:space="preserve"> </w:t>
      </w:r>
      <w:r>
        <w:t xml:space="preserve">or fewer than 10 of either class as underpowered and omits them from its</w:t>
      </w:r>
      <w:r>
        <w:t xml:space="preserve"> </w:t>
      </w:r>
      <w:r>
        <w:t xml:space="preserve">max–min summaries. The separate seven-attribute trend workflow instead uses a</w:t>
      </w:r>
      <w:r>
        <w:t xml:space="preserve"> </w:t>
      </w:r>
      <w:r>
        <w:t xml:space="preserve">minimum of 40 cases and skips unknown, blank and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levels.</w:t>
      </w:r>
      <w:r>
        <w:t xml:space="preserve"> </w:t>
      </w:r>
      <w:r>
        <w:t xml:space="preserve">Consequently, Spanish is included there, whereas unknown marital status and</w:t>
      </w:r>
      <w:r>
        <w:t xml:space="preserve"> </w:t>
      </w:r>
      <w:r>
        <w:t xml:space="preserve">the undersized legally separated group are omitted. The eligibility rules are</w:t>
      </w:r>
      <w:r>
        <w:t xml:space="preserve"> </w:t>
      </w:r>
      <w:r>
        <w:t xml:space="preserve">not interchangeable, and no statistics were regenerated under a different</w:t>
      </w:r>
      <w:r>
        <w:t xml:space="preserve"> </w:t>
      </w:r>
      <w:r>
        <w:t xml:space="preserve">rule to make the workflows agree.</w:t>
      </w:r>
    </w:p>
    <w:bookmarkEnd w:id="166"/>
    <w:bookmarkStart w:id="169" w:name="why-we-report-two-sample-sizes."/>
    <w:p>
      <w:pPr>
        <w:pStyle w:val="Heading4"/>
      </w:pPr>
      <w:r>
        <w:t xml:space="preserve">Why we report two sample sizes.</w:t>
      </w:r>
    </w:p>
    <w:p>
      <w:pPr>
        <w:pStyle w:val="FirstParagraph"/>
      </w:pPr>
      <w:r>
        <w:t xml:space="preserve">The 23 probes span only</w:t>
      </w:r>
      <w:r>
        <w:t xml:space="preserve"> </w:t>
      </w:r>
      <w:r>
        <w:t xml:space="preserve">7 pretraining branches, because several are different epochs of</w:t>
      </w:r>
      <w:r>
        <w:t xml:space="preserve"> </w:t>
      </w:r>
      <w:r>
        <w:t xml:space="preserve">one training run. Probes within a branch share an encoder lineage, a seed and</w:t>
      </w:r>
      <w:r>
        <w:t xml:space="preserve"> </w:t>
      </w:r>
      <w:r>
        <w:t xml:space="preserve">the test split, so treating them as 23 independent observations is</w:t>
      </w:r>
      <w:r>
        <w:t xml:space="preserve"> </w:t>
      </w:r>
      <w:r>
        <w:t xml:space="preserve">pseudo-replication. Table </w:t>
      </w:r>
      <w:bookmarkStart w:id="167" w:name="jeparef0085"/>
      <w:r>
        <w:t xml:space="preserve">6</w:t>
      </w:r>
      <w:bookmarkEnd w:id="167"/>
      <w:r>
        <w:t xml:space="preserve"> </w:t>
      </w:r>
      <w:r>
        <w:t xml:space="preserve">therefore reports each trend twice:</w:t>
      </w:r>
      <w:r>
        <w:t xml:space="preserve"> </w:t>
      </w:r>
      <w:r>
        <w:t xml:space="preserve">once per checkpoint, and once after averaging within each branch. Where the two</w:t>
      </w:r>
      <w:r>
        <w:t xml:space="preserve"> </w:t>
      </w:r>
      <w:r>
        <w:t xml:space="preserve">disagree, the branch-level figure is the one to believe.</w:t>
      </w:r>
    </w:p>
    <w:bookmarkStart w:id="168" w:name="tab:subtrends"/>
    <w:p>
      <w:pPr>
        <w:pStyle w:val="TableCaption"/>
      </w:pPr>
      <w:r>
        <w:t xml:space="preserve">Subgroup gap trends.</w:t>
      </w:r>
      <w:r>
        <w:t xml:space="preserve"> </w:t>
      </w:r>
      <w:r>
        <w:t xml:space="preserve">“gap range”</w:t>
      </w:r>
      <w:r>
        <w:t xml:space="preserve"> </w:t>
      </w:r>
      <w:r>
        <w:t xml:space="preserve">is the max–min subgroup AUC gap</w:t>
      </w:r>
      <w:r>
        <w:t xml:space="preserve"> </w:t>
      </w:r>
      <w:r>
        <w:t xml:space="preserve">observed across the 23 valid probes.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Benjamini–Hochberg</w:t>
      </w:r>
      <w:r>
        <w:t xml:space="preserve"> </w:t>
      </w:r>
      <w:r>
        <w:t xml:space="preserve">across the seven checkpoint-level tests. Branch</w:t>
      </w:r>
      <w:r>
        <w:t xml:space="preserve"> </w:t>
      </w:r>
      <m:oMath>
        <m:r>
          <m:t>p</m:t>
        </m:r>
      </m:oMath>
      <w:r>
        <w:t xml:space="preserve">-values are unadjusted across</w:t>
      </w:r>
      <w:r>
        <w:t xml:space="preserve"> </w:t>
      </w:r>
      <w:r>
        <w:t xml:space="preserve">the same seven and,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t xml:space="preserve">, descriptive only. Only gender survives checkpoint-level</w:t>
      </w:r>
      <w:r>
        <w:t xml:space="preserve"> </w:t>
      </w:r>
      <w:r>
        <w:t xml:space="preserve">correction at the conventional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level, and it</w:t>
      </w:r>
      <w:r>
        <w:t xml:space="preserve"> </w:t>
      </w:r>
      <w:r>
        <w:rPr>
          <w:i/>
          <w:iCs/>
        </w:rPr>
        <w:t xml:space="preserve">narrows</w:t>
      </w:r>
      <w:r>
        <w:t xml:space="preserve"> </w:t>
      </w:r>
      <w:r>
        <w:t xml:space="preserve">as aggregate AUC rises. Race, ethnicity and disease severity share</w:t>
      </w:r>
      <w:r>
        <w:t xml:space="preserve"> </w:t>
      </w:r>
      <w:r>
        <w:t xml:space="preserve">the same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just above that level, so no threshold admits race and severity</w:t>
      </w:r>
      <w:r>
        <w:t xml:space="preserve"> </w:t>
      </w:r>
      <w:r>
        <w:t xml:space="preserve">without also admitting ethnicity. Race is the one attribute whose</w:t>
      </w:r>
      <w:r>
        <w:t xml:space="preserve"> </w:t>
      </w:r>
      <w:r>
        <w:t xml:space="preserve">checkpoint-level trend does not</w:t>
      </w:r>
      <w:r>
        <w:t xml:space="preserve"> </w:t>
      </w:r>
      <w:r>
        <w:t xml:space="preserve">persist under branch aggregation (</w:t>
      </w:r>
      <m:oMath>
        <m:r>
          <m:t>p</m:t>
        </m:r>
        <m:r>
          <m:rPr>
            <m:sty m:val="p"/>
          </m:rPr>
          <m:t>=</m:t>
        </m:r>
        <m:r>
          <m:t>0.4821</m:t>
        </m:r>
      </m:oMath>
      <w:r>
        <w:t xml:space="preserve">), where the effective sample is</w:t>
      </w:r>
      <w:r>
        <w:t xml:space="preserve"> </w:t>
      </w:r>
      <w:r>
        <w:t xml:space="preserve">7 independent branches rather than 23 probes; we</w:t>
      </w:r>
      <w:r>
        <w:t xml:space="preserve"> </w:t>
      </w:r>
      <w:r>
        <w:t xml:space="preserve">therefore draw no trend conclusion for race.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group gap trends. “gap range” is the max–min subgroup AUC gap observed across the 23 valid probes. q is Benjamini–Hochberg across the seven checkpoint-level tests. Branch p-values are unadjusted across the same seven and, at n{=}7, descriptive only. Only gender survives checkpoint-level correction at the conventional 0.05 level, and it narrows as aggregate AUC rises. Race, ethnicity and disease severity share the same q just above that level, so no threshold admits race and severity without also admitting ethnicity. Race is the one attribute whose checkpoint-level trend does not persist under branch aggregation (p{=}0.4821), where the effective sample is 7 independent branches rather than 23 probes; we therefore draw no trend conclusion for race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per checkpoint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per branch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4-6</w:t>
            </w:r>
            <w:r>
              <w:t xml:space="preserve">(lr)</w:t>
            </w:r>
            <w:r>
              <w:t xml:space="preserve">7-8</w:t>
            </w:r>
            <w:r>
              <w:t xml:space="preserve"> </w:t>
            </w: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gap range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 (23/23)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0.0272–0.0407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 (23/23)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0.0391–0.0935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0.4821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ethnicity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hispanic (23/23)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0.0180–0.0661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languages (19/23)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0.0518–0.0805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marital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(23/23)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0.0286–0.0654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-0.679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60 (22/23)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0.0430–0.0704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0.4316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 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mild (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,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] (23/23)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0.1286–0.1400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8"/>
    <w:bookmarkEnd w:id="169"/>
    <w:bookmarkStart w:id="171" w:name="race."/>
    <w:p>
      <w:pPr>
        <w:pStyle w:val="Heading4"/>
      </w:pPr>
      <w:r>
        <w:t xml:space="preserve">Race.</w:t>
      </w:r>
    </w:p>
    <w:p>
      <w:pPr>
        <w:pStyle w:val="FirstParagraph"/>
      </w:pPr>
      <w:r>
        <w:t xml:space="preserve">The black subgroup has the lowest AUC in every one of the</w:t>
      </w:r>
      <w:r>
        <w:t xml:space="preserve"> </w:t>
      </w:r>
      <w:r>
        <w:t xml:space="preserve">23 probes (</w:t>
      </w:r>
      <m:oMath>
        <m:r>
          <m:t>n</m:t>
        </m:r>
        <m:r>
          <m:rPr>
            <m:sty m:val="p"/>
          </m:rPr>
          <m:t>=</m:t>
        </m:r>
        <m:r>
          <m:t>431</m:t>
        </m:r>
      </m:oMath>
      <w:r>
        <w:t xml:space="preserve"> </w:t>
      </w:r>
      <w:r>
        <w:t xml:space="preserve">black,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251</m:t>
        </m:r>
      </m:oMath>
      <w:r>
        <w:t xml:space="preserve"> </w:t>
      </w:r>
      <w:r>
        <w:t xml:space="preserve">asian,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2318</m:t>
        </m:r>
      </m:oMath>
      <w:r>
        <w:t xml:space="preserve"> </w:t>
      </w:r>
      <w:r>
        <w:t xml:space="preserve">white; Figure </w:t>
      </w:r>
      <w:bookmarkStart w:id="170" w:name="jeparef0086"/>
      <w:r>
        <w:t xml:space="preserve">5</w:t>
      </w:r>
      <w:bookmarkEnd w:id="170"/>
      <w:r>
        <w:t xml:space="preserve">). At matched epoch 100 the black subgroup improves from</w:t>
      </w:r>
      <w:r>
        <w:t xml:space="preserve"> </w:t>
      </w:r>
      <m:oMath>
        <m:r>
          <m:t>0.8325</m:t>
        </m:r>
      </m:oMath>
      <w:r>
        <w:t xml:space="preserve"> </w:t>
      </w:r>
      <w:r>
        <w:t xml:space="preserve">under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to</w:t>
      </w:r>
      <w:r>
        <w:t xml:space="preserve"> </w:t>
      </w:r>
      <m:oMath>
        <m:r>
          <m:t>0.8472</m:t>
        </m:r>
      </m:oMath>
      <w:r>
        <w:t xml:space="preserve"> </w:t>
      </w:r>
      <w:r>
        <w:t xml:space="preserve">under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0.0147</m:t>
        </m:r>
      </m:oMath>
      <w:r>
        <w:t xml:space="preserve">), a larger absolute gain than the white</w:t>
      </w:r>
      <w:r>
        <w:t xml:space="preserve"> </w:t>
      </w:r>
      <w:r>
        <w:t xml:space="preserve">subgroup’s (</w:t>
      </w:r>
      <m:oMath>
        <m:r>
          <m:t>0.8741</m:t>
        </m:r>
        <m:r>
          <m:rPr>
            <m:sty m:val="p"/>
          </m:rPr>
          <m:t>→</m:t>
        </m:r>
        <m:r>
          <m:t>0.8853</m:t>
        </m:r>
      </m:oMath>
      <w:r>
        <w:t xml:space="preserve">). The max–min gap</w:t>
      </w:r>
      <w:r>
        <w:t xml:space="preserve"> </w:t>
      </w:r>
      <w:r>
        <w:t xml:space="preserve">nonetheless widens slightly, because the asian subgroup (already the</w:t>
      </w:r>
      <w:r>
        <w:t xml:space="preserve"> </w:t>
      </w:r>
      <w:r>
        <w:t xml:space="preserve">highest) gains most (</w:t>
      </w:r>
      <m:oMath>
        <m:r>
          <m:t>0.9033</m:t>
        </m:r>
        <m:r>
          <m:rPr>
            <m:sty m:val="p"/>
          </m:rPr>
          <m:t>→</m:t>
        </m:r>
        <m:r>
          <m:t>0.9189</m:t>
        </m:r>
      </m:oMath>
      <w:r>
        <w:t xml:space="preserve">). A widening</w:t>
      </w:r>
      <w:r>
        <w:t xml:space="preserve"> </w:t>
      </w:r>
      <w:r>
        <w:t xml:space="preserve">max–min gap with universally rising subgroup AUCs is not evidence of harm. The</w:t>
      </w:r>
      <w:r>
        <w:t xml:space="preserve"> </w:t>
      </w:r>
      <w:r>
        <w:t xml:space="preserve">checkpoint-level correlation between aggregate</w:t>
      </w:r>
      <w:r>
        <w:t xml:space="preserve"> </w:t>
      </w:r>
      <w:r>
        <w:t xml:space="preserve">AUC and racial gap is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0.0225</m:t>
        </m:r>
      </m:oMath>
      <w:r>
        <w:t xml:space="preserve">). It does not</w:t>
      </w:r>
      <w:r>
        <w:t xml:space="preserve"> </w:t>
      </w:r>
      <w:r>
        <w:t xml:space="preserve">pass Benjamini–Hochberg correction at the stated conventional threshold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0.0668</m:t>
        </m:r>
      </m:oMath>
      <w:r>
        <w:t xml:space="preserve">), and it vanishes once probes are aggregated to their</w:t>
      </w:r>
      <w:r>
        <w:t xml:space="preserve"> </w:t>
      </w:r>
      <w:r>
        <w:t xml:space="preserve">pretraining branches (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0.321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0.4821</m:t>
        </m:r>
      </m:oMath>
      <w:r>
        <w:t xml:space="preserve">), and the checkpoint-level test is pseudo-replicated</w:t>
      </w:r>
      <w:r>
        <w:t xml:space="preserve"> </w:t>
      </w:r>
      <w:r>
        <w:t xml:space="preserve">because the 23 probes come from only 7 branches.</w:t>
      </w:r>
    </w:p>
    <w:bookmarkEnd w:id="171"/>
    <w:bookmarkStart w:id="176" w:name="disease-severity."/>
    <w:p>
      <w:pPr>
        <w:pStyle w:val="Heading4"/>
      </w:pPr>
      <w:r>
        <w:t xml:space="preserve">Disease severity.</w:t>
      </w:r>
    </w:p>
    <w:p>
      <w:pPr>
        <w:pStyle w:val="FirstParagraph"/>
      </w:pPr>
      <w:r>
        <w:t xml:space="preserve">FairVision’s label is defined by visual-field mean</w:t>
      </w:r>
      <w:r>
        <w:t xml:space="preserve"> </w:t>
      </w:r>
      <w:r>
        <w:t xml:space="preserve">deviation (md): every test volume with md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positive. Severity</w:t>
      </w:r>
      <w:r>
        <w:t xml:space="preserve"> </w:t>
      </w:r>
      <w:r>
        <w:t xml:space="preserve">therefore cannot be used as an ordinary subgroup axis, because within-bin AUC is</w:t>
      </w:r>
      <w:r>
        <w:t xml:space="preserve"> </w:t>
      </w:r>
      <w:r>
        <w:t xml:space="preserve">undefined, a trap that silently yields nothing under naive stratification.</w:t>
      </w:r>
      <w:r>
        <w:t xml:space="preserve"> </w:t>
      </w:r>
      <w:r>
        <w:t xml:space="preserve">Instead each positive stratum is scored against the shared pool of all</w:t>
      </w:r>
      <w:r>
        <w:t xml:space="preserve"> </w:t>
      </w:r>
      <w:r>
        <w:t xml:space="preserve">1534 negatives (Table </w:t>
      </w:r>
      <w:bookmarkStart w:id="172" w:name="jeparef0087"/>
      <w:r>
        <w:t xml:space="preserve">7</w:t>
      </w:r>
      <w:bookmarkEnd w:id="172"/>
      <w:r>
        <w:t xml:space="preserve">).</w:t>
      </w:r>
    </w:p>
    <w:bookmarkStart w:id="173" w:name="tab:severity"/>
    <w:p>
      <w:pPr>
        <w:pStyle w:val="TableCaption"/>
      </w:pPr>
      <w:r>
        <w:t xml:space="preserve">Severity-stratified AUC at matched epoch 100. Each positive stratum is</w:t>
      </w:r>
      <w:r>
        <w:t xml:space="preserve"> </w:t>
      </w:r>
      <w:r>
        <w:t xml:space="preserve">scored against the shared pool of all 1534 negatives. Each point estimate rises;</w:t>
      </w:r>
      <w:r>
        <w:t xml:space="preserve"> </w:t>
      </w:r>
      <w:r>
        <w:t xml:space="preserve">the gains were not tested against one another.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-stratified AUC at matched epoch 100. Each positive stratum is scored against the shared pool of all 1534 negatives. Each point estimate rises; the gains were not tested against one another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severe (md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moderate (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md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mild (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md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+0.0137</w:t>
            </w:r>
          </w:p>
        </w:tc>
      </w:tr>
    </w:tbl>
    <w:bookmarkEnd w:id="173"/>
    <w:p>
      <w:pPr>
        <w:pStyle w:val="BodyText"/>
      </w:pPr>
      <w:r>
        <w:t xml:space="preserve">The severe-to-mild gap is</w:t>
      </w:r>
      <w:r>
        <w:t xml:space="preserve"> </w:t>
      </w:r>
      <m:oMath>
        <m:r>
          <m:t>0.1361</m:t>
        </m:r>
      </m:oMath>
      <w:r>
        <w:t xml:space="preserve"> </w:t>
      </w:r>
      <w:r>
        <w:t xml:space="preserve">for the null and</w:t>
      </w:r>
      <w:r>
        <w:t xml:space="preserve"> </w:t>
      </w:r>
      <m:oMath>
        <m:r>
          <m:t>0.1286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the strongest policy, and stays within</w:t>
      </w:r>
      <w:r>
        <w:t xml:space="preserve"> </w:t>
      </w:r>
      <m:oMath>
        <m:r>
          <m:t>0.0114</m:t>
        </m:r>
      </m:oMath>
      <w:r>
        <w:t xml:space="preserve"> </w:t>
      </w:r>
      <w:r>
        <w:t xml:space="preserve">(</w:t>
      </w:r>
      <m:oMath>
        <m:r>
          <m:t>0.1286</m:t>
        </m:r>
      </m:oMath>
      <w:r>
        <w:t xml:space="preserve">–</w:t>
      </w:r>
      <m:oMath>
        <m:r>
          <m:t>0.1400</m:t>
        </m:r>
      </m:oMath>
      <w:r>
        <w:t xml:space="preserve">) across all 23 probes</w:t>
      </w:r>
      <w:r>
        <w:t xml:space="preserve"> </w:t>
      </w:r>
      <w:r>
        <w:t xml:space="preserve">while aggregate AUC spans</w:t>
      </w:r>
      <w:r>
        <w:t xml:space="preserve"> </w:t>
      </w:r>
      <m:oMath>
        <m:r>
          <m:t>0.8483</m:t>
        </m:r>
      </m:oMath>
      <w:r>
        <w:t xml:space="preserve">–</w:t>
      </w:r>
      <m:oMath>
        <m:r>
          <m:t>0.8855</m:t>
        </m:r>
      </m:oMath>
      <w:r>
        <w:t xml:space="preserve">. All three point estimates</w:t>
      </w:r>
      <w:r>
        <w:t xml:space="preserve"> </w:t>
      </w:r>
      <w:r>
        <w:t xml:space="preserve">rise, but family-wise simultaneous adjustment leaves only mild excluding zero.</w:t>
      </w:r>
      <w:r>
        <w:t xml:space="preserve"> </w:t>
      </w:r>
      <w:r>
        <w:t xml:space="preserve">Moderate and severe no longer do (Table </w:t>
      </w:r>
      <w:bookmarkStart w:id="174" w:name="jeparef0088"/>
      <w:r>
        <w:t xml:space="preserve">8</w:t>
      </w:r>
      <w:bookmarkEnd w:id="174"/>
      <w:r>
        <w:t xml:space="preserve">). The largest point estimate is at mild</w:t>
      </w:r>
      <w:r>
        <w:t xml:space="preserve"> </w:t>
      </w:r>
      <w:r>
        <w:t xml:space="preserve">disease (</w:t>
      </w:r>
      <m:oMath>
        <m:r>
          <m:rPr>
            <m:sty m:val="p"/>
          </m:rPr>
          <m:t>+</m:t>
        </m:r>
        <m:r>
          <m:t>0.01372</m:t>
        </m:r>
      </m:oMath>
      <w:r>
        <w:t xml:space="preserve">, 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0.00204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+</m:t>
        </m:r>
        <m:r>
          <m:t>0.02541</m:t>
        </m:r>
        <m:r>
          <m:rPr>
            <m:sty m:val="p"/>
          </m:rPr>
          <m:t>]</m:t>
        </m:r>
      </m:oMath>
      <w:r>
        <w:t xml:space="preserve">) and the smallest at severe (</w:t>
      </w:r>
      <m:oMath>
        <m:r>
          <m:rPr>
            <m:sty m:val="p"/>
          </m:rPr>
          <m:t>+</m:t>
        </m:r>
        <m:r>
          <m:t>0.00626</m:t>
        </m:r>
      </m:oMath>
      <w:r>
        <w:t xml:space="preserve">). That ordering</w:t>
      </w:r>
      <w:r>
        <w:t xml:space="preserve"> </w:t>
      </w:r>
      <w:r>
        <w:t xml:space="preserve">is descriptive only: we did not test the paired</w:t>
      </w:r>
      <w:r>
        <w:t xml:space="preserve"> </w:t>
      </w:r>
      <w:r>
        <w:rPr>
          <w:i/>
          <w:iCs/>
        </w:rPr>
        <w:t xml:space="preserve">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strata, so it does not establish that mild disease benefits most. Mild</w:t>
      </w:r>
      <w:r>
        <w:t xml:space="preserve"> </w:t>
      </w:r>
      <w:r>
        <w:t xml:space="preserve">functional loss is harder to separate from normal OCT by construction, so</w:t>
      </w:r>
      <w:r>
        <w:t xml:space="preserve"> </w:t>
      </w:r>
      <w:r>
        <w:t xml:space="preserve">the difficulty ordering is expected clinically. What the data add is that no</w:t>
      </w:r>
      <w:r>
        <w:t xml:space="preserve"> </w:t>
      </w:r>
      <w:r>
        <w:t xml:space="preserve">masking policy we tested changes it.</w:t>
      </w:r>
    </w:p>
    <w:bookmarkStart w:id="175" w:name="tab:pairedsub"/>
    <w:p>
      <w:pPr>
        <w:pStyle w:val="TableCaption"/>
      </w:pPr>
      <w:r>
        <w:t xml:space="preserve">Paired change in subgroup AUC from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at matched epoch 100. The eight rows plus two gain-difference</w:t>
      </w:r>
      <w:r>
        <w:t xml:space="preserve"> </w:t>
      </w:r>
      <w:r>
        <w:t xml:space="preserve">contrasts in the text form one exploratory family. Reported CIs are 95%</w:t>
      </w:r>
      <w:r>
        <w:t xml:space="preserve"> </w:t>
      </w:r>
      <w:r>
        <w:t xml:space="preserve">single-step max-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</m:oMath>
      <w:r>
        <w:t xml:space="preserve"> </w:t>
      </w:r>
      <w:r>
        <w:t xml:space="preserve">simultaneous intervals from 10</w:t>
      </w:r>
      <w:r>
        <w:t xml:space="preserve">,</w:t>
      </w:r>
      <w:r>
        <w:t xml:space="preserve">000 outcome-stratified</w:t>
      </w:r>
      <w:r>
        <w:t xml:space="preserve"> </w:t>
      </w:r>
      <w:r>
        <w:t xml:space="preserve">paired subject resamples shared across both fixed heads and every stratum</w:t>
      </w:r>
      <w:r>
        <w:t xml:space="preserve"> </w:t>
      </w:r>
      <w:r>
        <w:t xml:space="preserve">(family-wise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Four of ten exclude zero: mild severity, white</w:t>
      </w:r>
      <w:r>
        <w:t xml:space="preserve"> </w:t>
      </w:r>
      <w:r>
        <w:t xml:space="preserve">race, and both gender strata.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ed change in subgroup AUC from random to centroid at matched epoch 100. The eight rows plus two gain-difference contrasts in the text form one exploratory family. Reported CIs are 95% single-step max-|t| simultaneous intervals from 10,000 outcome-stratified paired subject resamples shared across both fixed heads and every stratum (family-wise \alpha=0.05). Four of ten exclude zero: mild severity, white race, and both gender strat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simultaneous 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excludes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severity, mild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[+0.00204, +0.02541]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severity, 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[-0.00029, +0.02061]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severity, severe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+0.00626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[-0.00135, +0.01386]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race, White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[+0.00286, +0.01972]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race, Black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[-0.00742, +0.03676]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race, Asian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[-0.00766, +0.03882]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sex, Female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[+0.00100, +0.02204]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sex, Male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[+0.00067, +0.01945]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bookmarkEnd w:id="175"/>
    <w:bookmarkEnd w:id="176"/>
    <w:bookmarkStart w:id="180" w:name="limitations.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p</m:t>
        </m:r>
      </m:oMath>
      <w:r>
        <w:t xml:space="preserve">-values here are descriptive, for the reasons</w:t>
      </w:r>
      <w:r>
        <w:t xml:space="preserve"> </w:t>
      </w:r>
      <w:r>
        <w:t xml:space="preserve">given in Section </w:t>
      </w:r>
      <w:bookmarkStart w:id="177" w:name="jeparef0089"/>
      <w:r>
        <w:t xml:space="preserve">6</w:t>
      </w:r>
      <w:bookmarkEnd w:id="177"/>
      <w:r>
        <w:t xml:space="preserve">. Race and ethnicity are</w:t>
      </w:r>
      <w:r>
        <w:t xml:space="preserve"> </w:t>
      </w:r>
      <w:r>
        <w:t xml:space="preserve">self-reported categories inherited from FairVision’s coding. A race-by-gender</w:t>
      </w:r>
      <w:r>
        <w:t xml:space="preserve"> </w:t>
      </w:r>
      <w:r>
        <w:t xml:space="preserve">intersectional breakdown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reported, in</w:t>
      </w:r>
      <w:r>
        <w:t xml:space="preserve"> </w:t>
      </w:r>
      <w:r>
        <w:t xml:space="preserve">Appendix </w:t>
      </w:r>
      <w:bookmarkStart w:id="178" w:name="jeparef0090"/>
      <w:r>
        <w:t xml:space="preserve">E.1</w:t>
      </w:r>
      <w:bookmarkEnd w:id="178"/>
      <w:r>
        <w:t xml:space="preserve">. Its limits are that two of its six cells hold</w:t>
      </w:r>
      <w:r>
        <w:t xml:space="preserve"> </w:t>
      </w:r>
      <w:r>
        <w:t xml:space="preserve">fewer than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cases and that it carries no paired per-cell intervals, so it</w:t>
      </w:r>
      <w:r>
        <w:t xml:space="preserve"> </w:t>
      </w:r>
      <w:r>
        <w:t xml:space="preserve">describes the disparity and tests no per-cell change.</w:t>
      </w:r>
      <w:r>
        <w:t xml:space="preserve"> </w:t>
      </w:r>
      <w:r>
        <w:t xml:space="preserve">All figures are frozen mean-pool</w:t>
      </w:r>
      <w:r>
        <w:t xml:space="preserve"> </w:t>
      </w:r>
      <w:r>
        <w:t xml:space="preserve">linear probes. Subgroup sensitivity, specificity and race-stratified expected</w:t>
      </w:r>
      <w:r>
        <w:t xml:space="preserve"> </w:t>
      </w:r>
      <w:r>
        <w:t xml:space="preserve">calibration error at a transferred threshold are reported in</w:t>
      </w:r>
      <w:r>
        <w:t xml:space="preserve"> </w:t>
      </w:r>
      <w:r>
        <w:t xml:space="preserve">Appendix </w:t>
      </w:r>
      <w:bookmarkStart w:id="179" w:name="jeparef0091"/>
      <w:r>
        <w:t xml:space="preserve">L</w:t>
      </w:r>
      <w:bookmarkEnd w:id="179"/>
      <w:r>
        <w:t xml:space="preserve">. What is absent is subgroup predictive values,</w:t>
      </w:r>
      <w:r>
        <w:t xml:space="preserve"> </w:t>
      </w:r>
      <w:r>
        <w:t xml:space="preserve">reliability curves, and calibration stratified by any attribute other than race,</w:t>
      </w:r>
      <w:r>
        <w:t xml:space="preserve"> </w:t>
      </w:r>
      <w:r>
        <w:t xml:space="preserve">so this is not a complete fairness</w:t>
      </w:r>
      <w:r>
        <w:t xml:space="preserve"> </w:t>
      </w:r>
      <w:r>
        <w:t xml:space="preserve">evaluation. Disparities</w:t>
      </w:r>
      <w:r>
        <w:t xml:space="preserve"> </w:t>
      </w:r>
      <w:r>
        <w:t xml:space="preserve">could differ under fine-tuning or a stronger head.</w:t>
      </w:r>
    </w:p>
    <w:bookmarkEnd w:id="180"/>
    <w:bookmarkStart w:id="190" w:name="app:intersectional"/>
    <w:p>
      <w:pPr>
        <w:pStyle w:val="Heading2"/>
      </w:pPr>
      <w:r>
        <w:t xml:space="preserve">Intersectional breakdown: race by gender</w:t>
      </w:r>
    </w:p>
    <w:p>
      <w:pPr>
        <w:pStyle w:val="FirstParagraph"/>
      </w:pPr>
      <w:r>
        <w:t xml:space="preserve">The audit above crosses no attributes, so on its own it cannot say whether a</w:t>
      </w:r>
      <w:r>
        <w:t xml:space="preserve"> </w:t>
      </w:r>
      <w:r>
        <w:t xml:space="preserve">group disadvantaged on two axes at once is worse served than either margin</w:t>
      </w:r>
      <w:r>
        <w:t xml:space="preserve"> </w:t>
      </w:r>
      <w:r>
        <w:t xml:space="preserve">implies. We therefore also computed AUC for all six race-by-gender cells of the</w:t>
      </w:r>
      <w:r>
        <w:t xml:space="preserve"> </w:t>
      </w:r>
      <w:r>
        <w:t xml:space="preserve">test split, from the same saved predictions, under the same exact-label join</w:t>
      </w:r>
      <w:r>
        <w:t xml:space="preserve"> </w:t>
      </w:r>
      <w:r>
        <w:t xml:space="preserve">proof, with per-arm, 2</w:t>
      </w:r>
      <w:r>
        <w:t xml:space="preserve">,</w:t>
      </w:r>
      <w:r>
        <w:t xml:space="preserve">000-resample class-stratified percentile intervals</w:t>
      </w:r>
      <w:r>
        <w:t xml:space="preserve"> </w:t>
      </w:r>
      <w:r>
        <w:t xml:space="preserve">within each cell and fitted heads fixed. The second axis is FairVision’s self-reported gender coding,</w:t>
      </w:r>
      <w:r>
        <w:t xml:space="preserve"> </w:t>
      </w:r>
      <w:r>
        <w:t xml:space="preserve">which we retain here without reinterpreting it as a biological-sex measure.</w:t>
      </w:r>
      <w:r>
        <w:t xml:space="preserve"> </w:t>
      </w:r>
      <w:r>
        <w:t xml:space="preserve">Legacy figures using</w:t>
      </w:r>
      <w:r>
        <w:t xml:space="preserve"> </w:t>
      </w:r>
      <w:r>
        <w:t xml:space="preserve">“sex”</w:t>
      </w:r>
      <w:r>
        <w:t xml:space="preserve"> </w:t>
      </w:r>
      <w:r>
        <w:t xml:space="preserve">refer to this same released variable.</w:t>
      </w:r>
      <w:r>
        <w:t xml:space="preserve"> </w:t>
      </w:r>
      <w:r>
        <w:t xml:space="preserve">The artifact behind this subsection</w:t>
      </w:r>
      <w:r>
        <w:t xml:space="preserve"> </w:t>
      </w:r>
      <w:r>
        <w:t xml:space="preserve">covers 22 arms, 18 of them non-retracted. Those 18 are a strict subset of the</w:t>
      </w:r>
      <w:r>
        <w:t xml:space="preserve"> </w:t>
      </w:r>
      <w:r>
        <w:t xml:space="preserve">23 probes of Table </w:t>
      </w:r>
      <w:bookmarkStart w:id="181" w:name="jeparef0092"/>
      <w:r>
        <w:t xml:space="preserve">6</w:t>
      </w:r>
      <w:bookmarkEnd w:id="181"/>
      <w:r>
        <w:t xml:space="preserve">. Five are absent: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at epochs 50, 73, 75 and 100, and the</w:t>
      </w:r>
      <w:r>
        <w:t xml:space="preserve"> </w:t>
      </w:r>
      <w:r>
        <w:rPr>
          <w:smallCaps/>
        </w:rPr>
        <w:t xml:space="preserve">anatomy-v2</w:t>
      </w:r>
      <w:r>
        <w:t xml:space="preserve"> </w:t>
      </w:r>
      <w:r>
        <w:t xml:space="preserve">epoch-75 probe, whose run directory carries the internal name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t xml:space="preserve">an artifact label for the anatomy-shaped family that this paper calls</w:t>
      </w:r>
      <w:r>
        <w:t xml:space="preserve"> </w:t>
      </w:r>
      <w:r>
        <w:rPr>
          <w:smallCaps/>
        </w:rPr>
        <w:t xml:space="preserve">anatomy-v2</w:t>
      </w:r>
      <w:r>
        <w:t xml:space="preserve">, and the only place that label survives here. All five were</w:t>
      </w:r>
      <w:r>
        <w:t xml:space="preserve"> </w:t>
      </w:r>
      <w:r>
        <w:t xml:space="preserve">probed after this</w:t>
      </w:r>
      <w:r>
        <w:t xml:space="preserve"> </w:t>
      </w:r>
      <w:r>
        <w:t xml:space="preserve">artifact was generated and it was not recomputed, so their absence is artifact</w:t>
      </w:r>
      <w:r>
        <w:t xml:space="preserve"> </w:t>
      </w:r>
      <w:r>
        <w:t xml:space="preserve">chronology rather than an analytic exclusion. The four retracted arms the</w:t>
      </w:r>
      <w:r>
        <w:t xml:space="preserve"> </w:t>
      </w:r>
      <w:r>
        <w:t xml:space="preserve">artifact does contain are dropped for the reasons in</w:t>
      </w:r>
      <w:r>
        <w:t xml:space="preserve"> </w:t>
      </w:r>
      <w:r>
        <w:t xml:space="preserve">Appendix </w:t>
      </w:r>
      <w:bookmarkStart w:id="182" w:name="jeparef0093"/>
      <w:r>
        <w:t xml:space="preserve">F</w:t>
      </w:r>
      <w:bookmarkEnd w:id="182"/>
      <w:r>
        <w:t xml:space="preserve">. Every count in this subsection is therefore</w:t>
      </w:r>
      <w:r>
        <w:t xml:space="preserve"> </w:t>
      </w:r>
      <w:r>
        <w:t xml:space="preserve">out of 18 arms, not 23.</w:t>
      </w:r>
    </w:p>
    <w:bookmarkStart w:id="183" w:name="tab:intersectional"/>
    <w:p>
      <w:pPr>
        <w:pStyle w:val="TableCaption"/>
      </w:pPr>
      <w:r>
        <w:t xml:space="preserve">Race-by-gender AUC at matched epoch 100 on the 3000 test volumes, with</w:t>
      </w:r>
      <w:r>
        <w:t xml:space="preserve"> </w:t>
      </w:r>
      <w:r>
        <w:t xml:space="preserve">per-cell counts and per-arm bootstrap percentile intervals.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minus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as a difference of point estimates. The</w:t>
      </w:r>
      <w:r>
        <w:t xml:space="preserve"> </w:t>
      </w:r>
      <w:r>
        <w:t xml:space="preserve">artifact stores per-arm intervals only and no paired per-cell resampling, so no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in this table is tested against zero; per-cell significance is not reported.</w:t>
      </w:r>
      <w:r>
        <w:t xml:space="preserve"> </w:t>
      </w:r>
      <w:r>
        <w:t xml:space="preserve">The 18 intervals are marginal, not simultaneous.</w:t>
      </w:r>
      <w:r>
        <w:t xml:space="preserve"> </w:t>
      </w:r>
      <w:r>
        <w:t xml:space="preserve">The two asian cells are small (</w:t>
      </w:r>
      <m:oMath>
        <m:r>
          <m:t>n</m:t>
        </m:r>
        <m:r>
          <m:rPr>
            <m:sty m:val="p"/>
          </m:rPr>
          <m:t>=</m:t>
        </m:r>
        <m:r>
          <m:t>123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) and their intervals are</w:t>
      </w:r>
      <w:r>
        <w:t xml:space="preserve"> </w:t>
      </w:r>
      <w:r>
        <w:t xml:space="preserve">correspondingly wide.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ace-by-gender AUC at matched epoch 100 on the 3000 test volumes, with per-cell counts and per-arm bootstrap percentile intervals. \Delta is centroid minus random as a difference of point estimates. The artifact stores per-arm intervals only and no paired per-cell resampling, so no \Delta in this table is tested against zero; per-cell significance is not reported. The 18 intervals are marginal, not simultaneous. The two asian cells are small (n{=}123 and n{=}128) and their intervals are correspondingly wid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asian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0.8761 [0.8024, 0.9342]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0.8762 [0.8042, 0.9366]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0.8904 [0.8245, 0.9423]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0.0144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asian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0.9245 [0.8752, 0.9655]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0.9145 [0.8565, 0.9626]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0.9409 [0.8983, 0.9751]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0.0164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0.8195 [0.7668, 0.8679]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0.8155 [0.7632, 0.8638]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0.8309 [0.7790, 0.8783]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0.0114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0.8435 [0.7822, 0.8994]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0.8652 [0.8091, 0.9141]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0.8663 [0.8132, 0.9149]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0.0228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0.8641 [0.8441, 0.8826]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0.8728 [0.8530, 0.8910]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0.8762 [0.8570, 0.8943]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0.0121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0.8864 [0.8650, 0.9062]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0.8958 [0.8744, 0.9148]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0.8962 [0.8746, 0.9153]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0.0099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min gap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0.1050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3"/>
    <w:bookmarkStart w:id="184" w:name="Xdebda0f5b26446c4968bc6d3098a5c46bfcfb72"/>
    <w:p>
      <w:pPr>
        <w:pStyle w:val="Heading4"/>
      </w:pPr>
      <w:r>
        <w:t xml:space="preserve">The ordering compounds, and it never reorders.</w:t>
      </w:r>
    </w:p>
    <w:p>
      <w:pPr>
        <w:pStyle w:val="FirstParagraph"/>
      </w:pPr>
      <w:r>
        <w:t xml:space="preserve">The black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female cell has the lowest AUC in all 18 non-retracted arms and the</w:t>
      </w:r>
      <w:r>
        <w:t xml:space="preserve"> </w:t>
      </w:r>
      <w:r>
        <w:t xml:space="preserve">asian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male cell the highest in all 18. Within each race the female cell</w:t>
      </w:r>
      <w:r>
        <w:t xml:space="preserve"> </w:t>
      </w:r>
      <w:r>
        <w:t xml:space="preserve">sits below the male cell in all</w:t>
      </w:r>
      <w:r>
        <w:t xml:space="preserve"> </w:t>
      </w:r>
      <m:oMath>
        <m:r>
          <m:t>54</m:t>
        </m:r>
      </m:oMath>
      <w:r>
        <w:t xml:space="preserve"> </w:t>
      </w:r>
      <w:r>
        <w:t xml:space="preserve">race-by-arm combinations, and within each</w:t>
      </w:r>
      <w:r>
        <w:t xml:space="preserve"> </w:t>
      </w:r>
      <w:r>
        <w:t xml:space="preserve">gender the black cell sits below the white cell in all</w:t>
      </w:r>
      <w:r>
        <w:t xml:space="preserve"> </w:t>
      </w:r>
      <m:oMath>
        <m:r>
          <m:t>36</m:t>
        </m:r>
      </m:oMath>
      <w:r>
        <w:t xml:space="preserve">. These 18 arms share one</w:t>
      </w:r>
      <w:r>
        <w:t xml:space="preserve"> </w:t>
      </w:r>
      <w:r>
        <w:t xml:space="preserve">test split, one epoch-25 ancestor and one probe seed, and several are different</w:t>
      </w:r>
      <w:r>
        <w:t xml:space="preserve"> </w:t>
      </w:r>
      <w:r>
        <w:t xml:space="preserve">epochs of a single branch, so this unanimity is a consistency check across</w:t>
      </w:r>
      <w:r>
        <w:t xml:space="preserve"> </w:t>
      </w:r>
      <w:r>
        <w:t xml:space="preserve">checkpoints, not 18 replications. We attach no</w:t>
      </w:r>
      <w:r>
        <w:t xml:space="preserve"> </w:t>
      </w:r>
      <m:oMath>
        <m:r>
          <m:t>p</m:t>
        </m:r>
      </m:oMath>
      <w:r>
        <w:t xml:space="preserve">-value to it, exactly as for</w:t>
      </w:r>
      <w:r>
        <w:t xml:space="preserve"> </w:t>
      </w:r>
      <w:r>
        <w:t xml:space="preserve">the marginal ordering above.</w:t>
      </w:r>
    </w:p>
    <w:bookmarkEnd w:id="184"/>
    <w:bookmarkStart w:id="186" w:name="Xab24361480b85c078602ad70280e61a559f883b"/>
    <w:p>
      <w:pPr>
        <w:pStyle w:val="Heading4"/>
      </w:pPr>
      <w:r>
        <w:t xml:space="preserve">The marginal race gap understates the worst cell.</w:t>
      </w:r>
    </w:p>
    <w:p>
      <w:pPr>
        <w:pStyle w:val="FirstParagraph"/>
      </w:pPr>
      <w:r>
        <w:t xml:space="preserve">Averaged over the</w:t>
      </w:r>
      <w:r>
        <w:t xml:space="preserve"> </w:t>
      </w:r>
      <w:r>
        <w:t xml:space="preserve">18 arms, the max</w:t>
      </w:r>
      <m:oMath>
        <m:r>
          <m:rPr>
            <m:sty m:val="p"/>
          </m:rPr>
          <m:t>−</m:t>
        </m:r>
      </m:oMath>
      <w:r>
        <w:t xml:space="preserve">min gap is</w:t>
      </w:r>
      <w:r>
        <w:t xml:space="preserve"> </w:t>
      </w:r>
      <m:oMath>
        <m:r>
          <m:t>0.0340</m:t>
        </m:r>
      </m:oMath>
      <w:r>
        <w:t xml:space="preserve"> </w:t>
      </w:r>
      <w:r>
        <w:t xml:space="preserve">by gender alone,</w:t>
      </w:r>
      <w:r>
        <w:t xml:space="preserve"> </w:t>
      </w:r>
      <m:oMath>
        <m:r>
          <m:t>0.0653</m:t>
        </m:r>
      </m:oMath>
      <w:r>
        <w:t xml:space="preserve"> </w:t>
      </w:r>
      <w:r>
        <w:t xml:space="preserve">by race alone, and</w:t>
      </w:r>
      <w:r>
        <w:t xml:space="preserve"> </w:t>
      </w:r>
      <m:oMath>
        <m:r>
          <m:t>0.1046</m:t>
        </m:r>
      </m:oMath>
      <w:r>
        <w:t xml:space="preserve"> </w:t>
      </w:r>
      <w:r>
        <w:t xml:space="preserve">across the six race-by-gender cells, and the intersectional gap exceeds</w:t>
      </w:r>
      <w:r>
        <w:t xml:space="preserve"> </w:t>
      </w:r>
      <w:r>
        <w:t xml:space="preserve">that arm’s marginal race gap in all 18. The race margin therefore understates</w:t>
      </w:r>
      <w:r>
        <w:t xml:space="preserve"> </w:t>
      </w:r>
      <w:r>
        <w:t xml:space="preserve">the spread a race-by-gender reading exposes by</w:t>
      </w:r>
      <w:r>
        <w:t xml:space="preserve"> </w:t>
      </w:r>
      <m:oMath>
        <m:r>
          <m:t>60.1</m:t>
        </m:r>
        <m:r>
          <m:rPr>
            <m:sty m:val="p"/>
          </m:rPr>
          <m:t>%</m:t>
        </m:r>
      </m:oMath>
      <w:r>
        <w:t xml:space="preserve"> </w:t>
      </w:r>
      <w:r>
        <w:t xml:space="preserve">on average, arithmetic on</w:t>
      </w:r>
      <w:r>
        <w:t xml:space="preserve"> </w:t>
      </w:r>
      <w:r>
        <w:t xml:space="preserve">those two means, not a separate measurement. The same pattern holds at the</w:t>
      </w:r>
      <w:r>
        <w:t xml:space="preserve"> </w:t>
      </w:r>
      <w:r>
        <w:t xml:space="preserve">matched epoch of Table </w:t>
      </w:r>
      <w:bookmarkStart w:id="185" w:name="jeparef0094"/>
      <w:r>
        <w:t xml:space="preserve">9</w:t>
      </w:r>
      <w:bookmarkEnd w:id="185"/>
      <w:r>
        <w:t xml:space="preserve">: under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the marginal</w:t>
      </w:r>
      <w:r>
        <w:t xml:space="preserve"> </w:t>
      </w:r>
      <w:r>
        <w:t xml:space="preserve">race gap is</w:t>
      </w:r>
      <w:r>
        <w:t xml:space="preserve"> </w:t>
      </w:r>
      <m:oMath>
        <m:r>
          <m:t>0.0717</m:t>
        </m:r>
      </m:oMath>
      <w:r>
        <w:t xml:space="preserve"> </w:t>
      </w:r>
      <w:r>
        <w:t xml:space="preserve">while the race-by-gender gap is</w:t>
      </w:r>
      <w:r>
        <w:t xml:space="preserve"> </w:t>
      </w:r>
      <m:oMath>
        <m:r>
          <m:t>0.1100</m:t>
        </m:r>
      </m:oMath>
      <w:r>
        <w:t xml:space="preserve">, and the worst cell,</w:t>
      </w:r>
      <w:r>
        <w:t xml:space="preserve"> </w:t>
      </w:r>
      <w:r>
        <w:t xml:space="preserve">black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female at</w:t>
      </w:r>
      <w:r>
        <w:t xml:space="preserve"> </w:t>
      </w:r>
      <m:oMath>
        <m:r>
          <m:t>0.8309</m:t>
        </m:r>
      </m:oMath>
      <w:r>
        <w:t xml:space="preserve">, sits</w:t>
      </w:r>
      <w:r>
        <w:t xml:space="preserve"> </w:t>
      </w:r>
      <m:oMath>
        <m:r>
          <m:t>0.0163</m:t>
        </m:r>
      </m:oMath>
      <w:r>
        <w:t xml:space="preserve"> </w:t>
      </w:r>
      <w:r>
        <w:t xml:space="preserve">below the marginal black figure</w:t>
      </w:r>
      <w:r>
        <w:t xml:space="preserve"> </w:t>
      </w:r>
      <m:oMath>
        <m:r>
          <m:t>0.8472</m:t>
        </m:r>
      </m:oMath>
      <w:r>
        <w:t xml:space="preserve"> </w:t>
      </w:r>
      <w:r>
        <w:t xml:space="preserve">that the marginal audit above reports. An audit that stops</w:t>
      </w:r>
      <w:r>
        <w:t xml:space="preserve"> </w:t>
      </w:r>
      <w:r>
        <w:t xml:space="preserve">at the margins reports a worst-group number that is optimistic relative to the</w:t>
      </w:r>
      <w:r>
        <w:t xml:space="preserve"> </w:t>
      </w:r>
      <w:r>
        <w:t xml:space="preserve">worst cell. The compounding is close to additive and we do not claim more: the</w:t>
      </w:r>
      <w:r>
        <w:t xml:space="preserve"> </w:t>
      </w:r>
      <w:r>
        <w:t xml:space="preserve">gender and race means sum to</w:t>
      </w:r>
      <w:r>
        <w:t xml:space="preserve"> </w:t>
      </w:r>
      <m:oMath>
        <m:r>
          <m:t>0.0993</m:t>
        </m:r>
      </m:oMath>
      <w:r>
        <w:t xml:space="preserve"> </w:t>
      </w:r>
      <w:r>
        <w:t xml:space="preserve">against an observed</w:t>
      </w:r>
      <w:r>
        <w:t xml:space="preserve"> </w:t>
      </w:r>
      <m:oMath>
        <m:r>
          <m:t>0.1046</m:t>
        </m:r>
      </m:oMath>
      <w:r>
        <w:t xml:space="preserve">, a ratio of</w:t>
      </w:r>
      <w:r>
        <w:t xml:space="preserve"> </w:t>
      </w:r>
      <m:oMath>
        <m:r>
          <m:t>1.053</m:t>
        </m:r>
      </m:oMath>
      <w:r>
        <w:t xml:space="preserve">, which is not evidence of a super-additive interaction.</w:t>
      </w:r>
    </w:p>
    <w:bookmarkEnd w:id="186"/>
    <w:bookmarkStart w:id="188" w:name="not-every-cell-improves."/>
    <w:p>
      <w:pPr>
        <w:pStyle w:val="Heading4"/>
      </w:pPr>
      <w:r>
        <w:t xml:space="preserve">Not every cell improves.</w:t>
      </w:r>
    </w:p>
    <w:p>
      <w:pPr>
        <w:pStyle w:val="FirstParagraph"/>
      </w:pPr>
      <w:r>
        <w:t xml:space="preserve">The statement elsewhere in this appendix</w:t>
      </w:r>
      <w:r>
        <w:t xml:space="preserve"> </w:t>
      </w:r>
      <w:r>
        <w:t xml:space="preserve">that every subgroup point estimate rises from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is a</w:t>
      </w:r>
      <w:r>
        <w:t xml:space="preserve"> </w:t>
      </w:r>
      <w:r>
        <w:t xml:space="preserve">statement about marginal strata at the matched epoch, and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extend to cells at every epoch. At epoch 100 all six point estimates rise</w:t>
      </w:r>
      <w:r>
        <w:t xml:space="preserve"> </w:t>
      </w:r>
      <w:r>
        <w:t xml:space="preserve">(Table </w:t>
      </w:r>
      <w:bookmarkStart w:id="187" w:name="jeparef0095"/>
      <w:r>
        <w:t xml:space="preserve">9</w:t>
      </w:r>
      <w:bookmarkEnd w:id="187"/>
      <w:r>
        <w:t xml:space="preserve">), but at epoch 50 the asian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female cell</w:t>
      </w:r>
      <w:r>
        <w:t xml:space="preserve"> </w:t>
      </w:r>
      <w:r>
        <w:t xml:space="preserve">falls by</w:t>
      </w:r>
      <w:r>
        <w:t xml:space="preserve"> </w:t>
      </w:r>
      <m:oMath>
        <m:r>
          <m:t>0.0020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minus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is negative in</w:t>
      </w:r>
      <w:r>
        <w:t xml:space="preserve"> </w:t>
      </w:r>
      <w:r>
        <w:t xml:space="preserve">three of six cells at epoch 75 (asian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female</w:t>
      </w:r>
      <w:r>
        <w:t xml:space="preserve"> </w:t>
      </w:r>
      <m:oMath>
        <m:r>
          <m:rPr>
            <m:sty m:val="p"/>
          </m:rPr>
          <m:t>−</m:t>
        </m:r>
        <m:r>
          <m:t>0.0148</m:t>
        </m:r>
      </m:oMath>
      <w:r>
        <w:t xml:space="preserve">, asian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male</w:t>
      </w:r>
      <w:r>
        <w:t xml:space="preserve"> </w:t>
      </w:r>
      <m:oMath>
        <m:r>
          <m:rPr>
            <m:sty m:val="p"/>
          </m:rPr>
          <m:t>−</m:t>
        </m:r>
        <m:r>
          <m:t>0.0031</m:t>
        </m:r>
      </m:oMath>
      <w:r>
        <w:t xml:space="preserve">, black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female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) and in two of six at epoch 100</w:t>
      </w:r>
      <w:r>
        <w:t xml:space="preserve"> </w:t>
      </w:r>
      <w:r>
        <w:t xml:space="preserve">(asian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male</w:t>
      </w:r>
      <w:r>
        <w:t xml:space="preserve"> </w:t>
      </w:r>
      <m:oMath>
        <m:r>
          <m:rPr>
            <m:sty m:val="p"/>
          </m:rPr>
          <m:t>−</m:t>
        </m:r>
        <m:r>
          <m:t>0.0100</m:t>
        </m:r>
      </m:oMath>
      <w:r>
        <w:t xml:space="preserve">, black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female</w:t>
      </w:r>
      <w:r>
        <w:t xml:space="preserve"> </w:t>
      </w:r>
      <m:oMath>
        <m:r>
          <m:rPr>
            <m:sty m:val="p"/>
          </m:rPr>
          <m:t>−</m:t>
        </m:r>
        <m:r>
          <m:t>0.0040</m:t>
        </m:r>
      </m:oMath>
      <w:r>
        <w:t xml:space="preserve">, with asian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female at</w:t>
      </w:r>
      <w:r>
        <w:t xml:space="preserve"> </w:t>
      </w:r>
      <m:oMath>
        <m:r>
          <m:rPr>
            <m:sty m:val="p"/>
          </m:rPr>
          <m:t>+</m:t>
        </m:r>
        <m:r>
          <m:t>0.0001</m:t>
        </m:r>
      </m:oMath>
      <w:r>
        <w:t xml:space="preserve">). No policy we tested raises every intersectional</w:t>
      </w:r>
      <w:r>
        <w:t xml:space="preserve"> </w:t>
      </w:r>
      <w:r>
        <w:t xml:space="preserve">cell at every epoch, and the exceptions fall in the small asian cells and in the</w:t>
      </w:r>
      <w:r>
        <w:t xml:space="preserve"> </w:t>
      </w:r>
      <w:r>
        <w:t xml:space="preserve">worst cell.</w:t>
      </w:r>
    </w:p>
    <w:bookmarkEnd w:id="188"/>
    <w:bookmarkStart w:id="189" w:name="what-this-does-not-establish."/>
    <w:p>
      <w:pPr>
        <w:pStyle w:val="Heading4"/>
      </w:pPr>
      <w:r>
        <w:t xml:space="preserve">What this does not establish.</w:t>
      </w:r>
    </w:p>
    <w:p>
      <w:pPr>
        <w:pStyle w:val="FirstParagraph"/>
      </w:pPr>
      <w:r>
        <w:t xml:space="preserve">There are no paired per-cell bootstrap</w:t>
      </w:r>
      <w:r>
        <w:t xml:space="preserve"> </w:t>
      </w:r>
      <w:r>
        <w:t xml:space="preserve">intervals in the artifact, so every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above is a difference of point</w:t>
      </w:r>
      <w:r>
        <w:t xml:space="preserve"> </w:t>
      </w:r>
      <w:r>
        <w:t xml:space="preserve">estimates and none of them is separated from zero. Per-cell delta significance</w:t>
      </w:r>
      <w:r>
        <w:t xml:space="preserve"> </w:t>
      </w:r>
      <w:r>
        <w:t xml:space="preserve">is not computed here, though it is computable from the retained per-arm</w:t>
      </w:r>
      <w:r>
        <w:t xml:space="preserve"> </w:t>
      </w:r>
      <w:r>
        <w:t xml:space="preserve">predictions. Two cells</w:t>
      </w:r>
      <w:r>
        <w:t xml:space="preserve"> </w:t>
      </w:r>
      <w:r>
        <w:t xml:space="preserve">carry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, so their intervals overlap almost everything.</w:t>
      </w:r>
      <w:r>
        <w:t xml:space="preserve"> </w:t>
      </w:r>
      <w:r>
        <w:t xml:space="preserve">Cells with a single class or fewer than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cases would have been dropped. None</w:t>
      </w:r>
      <w:r>
        <w:t xml:space="preserve"> </w:t>
      </w:r>
      <w:r>
        <w:t xml:space="preserve">were, so all six race-by-gender cells are reported. Nothing here is a fairness</w:t>
      </w:r>
      <w:r>
        <w:t xml:space="preserve"> </w:t>
      </w:r>
      <w:r>
        <w:t xml:space="preserve">intervention: as with the margins, no policy reorders the cells, and the</w:t>
      </w:r>
      <w:r>
        <w:t xml:space="preserve"> </w:t>
      </w:r>
      <w:r>
        <w:t xml:space="preserve">worst-served cell is the same under the unguided null and under every guided</w:t>
      </w:r>
      <w:r>
        <w:t xml:space="preserve"> </w:t>
      </w:r>
      <w:r>
        <w:t xml:space="preserve">policy we tested.</w:t>
      </w:r>
    </w:p>
    <w:bookmarkEnd w:id="189"/>
    <w:bookmarkEnd w:id="190"/>
    <w:bookmarkEnd w:id="191"/>
    <w:bookmarkStart w:id="194" w:name="app:excluded"/>
    <w:p>
      <w:pPr>
        <w:pStyle w:val="Heading1"/>
      </w:pPr>
      <w:r>
        <w:t xml:space="preserve">Excluded runs</w:t>
      </w:r>
    </w:p>
    <w:p>
      <w:pPr>
        <w:pStyle w:val="FirstParagraph"/>
      </w:pPr>
      <w:r>
        <w:t xml:space="preserve">Four probes of an earlier</w:t>
      </w:r>
      <w:r>
        <w:t xml:space="preserve"> </w:t>
      </w:r>
      <w:r>
        <w:rPr>
          <w:i/>
          <w:iCs/>
        </w:rPr>
        <w:t xml:space="preserve">null</w:t>
      </w:r>
      <w:r>
        <w:t xml:space="preserve"> </w:t>
      </w:r>
      <w:r>
        <w:t xml:space="preserve">run are excluded from all analysis. They</w:t>
      </w:r>
      <w:r>
        <w:t xml:space="preserve"> </w:t>
      </w:r>
      <w:r>
        <w:t xml:space="preserve">are unguided-masking controls from a superseded coverage campaign: the</w:t>
      </w:r>
      <w:r>
        <w:t xml:space="preserve"> </w:t>
      </w:r>
      <w:r>
        <w:t xml:space="preserve">inventory lists them under</w:t>
      </w:r>
      <w:r>
        <w:t xml:space="preserve"> </w:t>
      </w:r>
      <w:r>
        <w:rPr>
          <w:smallCaps/>
        </w:rPr>
        <w:t xml:space="preserve">random</w:t>
      </w:r>
      <w:r>
        <w:t xml:space="preserve">, and their run tags begin</w:t>
      </w:r>
      <w:r>
        <w:t xml:space="preserve"> </w:t>
      </w:r>
      <w:r>
        <w:rPr>
          <w:rStyle w:val="VerbatimChar"/>
        </w:rPr>
        <w:t xml:space="preserve">frozen_cover_random</w:t>
      </w:r>
      <w:r>
        <w:t xml:space="preserve"> </w:t>
      </w:r>
      <w:r>
        <w:t xml:space="preserve">because of that campaign, not because they use a</w:t>
      </w:r>
      <w:r>
        <w:t xml:space="preserve"> </w:t>
      </w:r>
      <w:r>
        <w:t xml:space="preserve">coverage policy. They were</w:t>
      </w:r>
      <w:r>
        <w:t xml:space="preserve"> </w:t>
      </w:r>
      <w:r>
        <w:t xml:space="preserve">trained with half-precision EMA targets and a different encoder-truncation</w:t>
      </w:r>
      <w:r>
        <w:t xml:space="preserve"> </w:t>
      </w:r>
      <w:r>
        <w:t xml:space="preserve">policy from the arms they would be compared against, so their deficit is not</w:t>
      </w:r>
      <w:r>
        <w:t xml:space="preserve"> </w:t>
      </w:r>
      <w:r>
        <w:t xml:space="preserve">attributable to masking. Similarly, the</w:t>
      </w:r>
      <w:r>
        <w:t xml:space="preserve"> </w:t>
      </w:r>
      <w:r>
        <w:rPr>
          <w:smallCaps/>
        </w:rPr>
        <w:t xml:space="preserve">anatomy-v2</w:t>
      </w:r>
      <w:r>
        <w:t xml:space="preserve"> </w:t>
      </w:r>
      <w:r>
        <w:t xml:space="preserve">probes at</w:t>
      </w:r>
      <w:r>
        <w:t xml:space="preserve"> </w:t>
      </w:r>
      <w:r>
        <w:t xml:space="preserve">epochs 75 and 92 follow a change of target precision partway through that arm’s</w:t>
      </w:r>
      <w:r>
        <w:t xml:space="preserve"> </w:t>
      </w:r>
      <w:r>
        <w:t xml:space="preserve">training. They are listed in Table </w:t>
      </w:r>
      <w:bookmarkStart w:id="192" w:name="jeparef0096"/>
      <w:r>
        <w:t xml:space="preserve">3</w:t>
      </w:r>
      <w:bookmarkEnd w:id="192"/>
      <w:r>
        <w:t xml:space="preserve"> </w:t>
      </w:r>
      <w:r>
        <w:t xml:space="preserve">but excluded from the</w:t>
      </w:r>
      <w:r>
        <w:t xml:space="preserve"> </w:t>
      </w:r>
      <w:r>
        <w:t xml:space="preserve">matched-epoch comparisons in Table </w:t>
      </w:r>
      <w:bookmarkStart w:id="193" w:name="jeparef0097"/>
      <w:r>
        <w:t xml:space="preserve">1</w:t>
      </w:r>
      <w:bookmarkEnd w:id="193"/>
      <w:r>
        <w:t xml:space="preserve">.</w:t>
      </w:r>
    </w:p>
    <w:bookmarkEnd w:id="194"/>
    <w:bookmarkStart w:id="204" w:name="app:covbug"/>
    <w:p>
      <w:pPr>
        <w:pStyle w:val="Heading1"/>
      </w:pPr>
      <w:r>
        <w:t xml:space="preserve">A collation defect in the coverage arm, and what it invalidates</w:t>
      </w:r>
    </w:p>
    <w:p>
      <w:pPr>
        <w:pStyle w:val="FirstParagraph"/>
      </w:pPr>
      <w:r>
        <w:t xml:space="preserve">We audited the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sampler after its epoch-100 result and found a</w:t>
      </w:r>
      <w:r>
        <w:t xml:space="preserve"> </w:t>
      </w:r>
      <w:r>
        <w:t xml:space="preserve">defect. It invalidates the reading of that arm and weakens one cross-family</w:t>
      </w:r>
      <w:r>
        <w:t xml:space="preserve"> </w:t>
      </w:r>
      <w:r>
        <w:t xml:space="preserve">comparison.</w:t>
      </w:r>
    </w:p>
    <w:bookmarkStart w:id="195" w:name="the-defect."/>
    <w:p>
      <w:pPr>
        <w:pStyle w:val="Heading4"/>
      </w:pPr>
      <w:r>
        <w:t xml:space="preserve">The defect.</w:t>
      </w:r>
    </w:p>
    <w:p>
      <w:pPr>
        <w:pStyle w:val="FirstParagraph"/>
      </w:pPr>
      <w:r>
        <w:t xml:space="preserve">Predictor targets are collated by truncating every target</w:t>
      </w:r>
      <w:r>
        <w:t xml:space="preserve"> </w:t>
      </w:r>
      <w:r>
        <w:t xml:space="preserve">to the length of the shortest target anywhere in the microbatch.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chooses its placement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this happens: it greedily maximises hidden</w:t>
      </w:r>
      <w:r>
        <w:t xml:space="preserve"> </w:t>
      </w:r>
      <w:r>
        <w:t xml:space="preserve">anatomy subject to a visible-tissue floor, evaluated on full rectangles, and the</w:t>
      </w:r>
      <w:r>
        <w:t xml:space="preserve"> </w:t>
      </w:r>
      <w:r>
        <w:t xml:space="preserve">collator then shortens those rectangles. The optimisation is therefore defeated</w:t>
      </w:r>
      <w:r>
        <w:t xml:space="preserve"> </w:t>
      </w:r>
      <w:r>
        <w:t xml:space="preserve">after the fact.</w:t>
      </w:r>
    </w:p>
    <w:bookmarkEnd w:id="195"/>
    <w:bookmarkStart w:id="197" w:name="measured-consequences."/>
    <w:p>
      <w:pPr>
        <w:pStyle w:val="Heading4"/>
      </w:pPr>
      <w:r>
        <w:t xml:space="preserve">Measured consequences.</w:t>
      </w:r>
    </w:p>
    <w:p>
      <w:pPr>
        <w:pStyle w:val="FirstParagraph"/>
      </w:pPr>
      <w:r>
        <w:t xml:space="preserve">A one-off audit found that collation reduced</w:t>
      </w:r>
      <w:r>
        <w:t xml:space="preserve"> </w:t>
      </w:r>
      <w:r>
        <w:rPr>
          <w:smallCaps/>
        </w:rPr>
        <w:t xml:space="preserve">cover</w:t>
      </w:r>
      <w:r>
        <w:t xml:space="preserve">’s anatomy coverage. An independent sweep over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137</m:t>
        </m:r>
      </m:oMath>
      <w:r>
        <w:t xml:space="preserve"> </w:t>
      </w:r>
      <w:r>
        <w:t xml:space="preserve">slices</w:t>
      </w:r>
      <w:r>
        <w:t xml:space="preserve"> </w:t>
      </w:r>
      <w:r>
        <w:t xml:space="preserve">gives</w:t>
      </w:r>
      <w:r>
        <w:t xml:space="preserve"> </w:t>
      </w:r>
      <m:oMath>
        <m:r>
          <m:t>73.1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77.6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smallCaps/>
        </w:rPr>
        <w:t xml:space="preserve">envelope</w:t>
      </w:r>
      <w:r>
        <w:t xml:space="preserve">. The arm intended to hide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anatomy than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in fact hides</w:t>
      </w:r>
      <w:r>
        <w:t xml:space="preserve"> </w:t>
      </w:r>
      <w:r>
        <w:rPr>
          <w:i/>
          <w:iCs/>
        </w:rPr>
        <w:t xml:space="preserve">less</w:t>
      </w:r>
      <w:r>
        <w:t xml:space="preserve">. Across</w:t>
      </w:r>
      <w:r>
        <w:t xml:space="preserve"> </w:t>
      </w:r>
      <m:oMath>
        <m:r>
          <m:t>24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emitted targets only</w:t>
      </w:r>
      <w:r>
        <w:t xml:space="preserve"> </w:t>
      </w:r>
      <m:oMath>
        <m:r>
          <m:t>73.4</m:t>
        </m:r>
        <m:r>
          <m:rPr>
            <m:sty m:val="p"/>
          </m:rPr>
          <m:t>%</m:t>
        </m:r>
      </m:oMath>
      <w:r>
        <w:t xml:space="preserve"> </w:t>
      </w:r>
      <w:r>
        <w:t xml:space="preserve">remain perfect</w:t>
      </w:r>
      <w:r>
        <w:t xml:space="preserve"> </w:t>
      </w:r>
      <w:r>
        <w:t xml:space="preserve">rectangles. Because target cells are enumerated row-major, truncation keeps the</w:t>
      </w:r>
      <w:r>
        <w:t xml:space="preserve"> </w:t>
      </w:r>
      <w:r>
        <w:t xml:space="preserve">top of each rectangle and discards the bottom, so the loss is directional rather</w:t>
      </w:r>
      <w:r>
        <w:t xml:space="preserve"> </w:t>
      </w:r>
      <w:r>
        <w:t xml:space="preserve">than a neutral shrink.</w:t>
      </w:r>
      <w:r>
        <w:t xml:space="preserve"> </w:t>
      </w:r>
      <w:r>
        <w:rPr>
          <w:i/>
          <w:iCs/>
        </w:rPr>
        <w:t xml:space="preserve">Provenance:</w:t>
      </w:r>
      <w:r>
        <w:t xml:space="preserve"> </w:t>
      </w:r>
      <w:r>
        <w:t xml:space="preserve">the initial one-off CPU audit was</w:t>
      </w:r>
      <w:r>
        <w:t xml:space="preserve"> </w:t>
      </w:r>
      <w:r>
        <w:t xml:space="preserve">not persisted, so neither its sample count nor its pre/post-truncation values</w:t>
      </w:r>
      <w:r>
        <w:t xml:space="preserve"> </w:t>
      </w:r>
      <w:r>
        <w:t xml:space="preserve">are used as quantitative evidence. The older</w:t>
      </w:r>
      <w:r>
        <w:t xml:space="preserve"> </w:t>
      </w:r>
      <m:oMath>
        <m:r>
          <m:t>73.1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77.6</m:t>
        </m:r>
        <m:r>
          <m:rPr>
            <m:sty m:val="p"/>
          </m:rPr>
          <m:t>%</m:t>
        </m:r>
      </m:oMath>
      <w:r>
        <w:t xml:space="preserve"> </w:t>
      </w:r>
      <w:r>
        <w:t xml:space="preserve">comparison is backed by the stored floor sweep. The new source-bound</w:t>
      </w:r>
      <w:r>
        <w:t xml:space="preserve"> </w:t>
      </w:r>
      <w:r>
        <w:t xml:space="preserve">production-path replay is reported separately in Appendix </w:t>
      </w:r>
      <w:bookmarkStart w:id="196" w:name="jeparef0098"/>
      <w:r>
        <w:t xml:space="preserve">H</w:t>
      </w:r>
      <w:bookmarkEnd w:id="196"/>
      <w:r>
        <w:t xml:space="preserve">.</w:t>
      </w:r>
    </w:p>
    <w:bookmarkEnd w:id="197"/>
    <w:bookmarkStart w:id="198" w:name="why-it-went-unnoticed."/>
    <w:p>
      <w:pPr>
        <w:pStyle w:val="Heading4"/>
      </w:pPr>
      <w:r>
        <w:t xml:space="preserve">Why it went unnoticed.</w:t>
      </w:r>
    </w:p>
    <w:p>
      <w:pPr>
        <w:pStyle w:val="FirstParagraph"/>
      </w:pPr>
      <w:r>
        <w:t xml:space="preserve">Realised coverage is recorded before</w:t>
      </w:r>
      <w:r>
        <w:t xml:space="preserve"> </w:t>
      </w:r>
      <w:r>
        <w:t xml:space="preserve">truncation. Every training log therefore reported the intended figure, and the</w:t>
      </w:r>
      <w:r>
        <w:t xml:space="preserve"> </w:t>
      </w:r>
      <w:r>
        <w:t xml:space="preserve">instrument agreed with the design rather than with the data.</w:t>
      </w:r>
    </w:p>
    <w:bookmarkEnd w:id="198"/>
    <w:bookmarkStart w:id="200" w:name="what-it-invalidates."/>
    <w:p>
      <w:pPr>
        <w:pStyle w:val="Heading4"/>
      </w:pPr>
      <w:r>
        <w:t xml:space="preserve">What it invalidates.</w:t>
      </w:r>
    </w:p>
    <w:p>
      <w:pPr>
        <w:pStyle w:val="FirstParagraph"/>
      </w:pPr>
      <w:r>
        <w:t xml:space="preserve">We cannot claim that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tests</w:t>
      </w:r>
      <w:r>
        <w:t xml:space="preserve"> </w:t>
      </w:r>
      <w:r>
        <w:t xml:space="preserve">aggressive anatomy coverage, nor that its decline shows over-covering anatomy is</w:t>
      </w:r>
      <w:r>
        <w:t xml:space="preserve"> </w:t>
      </w:r>
      <w:r>
        <w:t xml:space="preserve">harmful. On delivered masks it does not out-cover</w:t>
      </w:r>
      <w:r>
        <w:t xml:space="preserve"> </w:t>
      </w:r>
      <w:r>
        <w:rPr>
          <w:smallCaps/>
        </w:rPr>
        <w:t xml:space="preserve">envelope</w:t>
      </w:r>
      <w:r>
        <w:t xml:space="preserve">. Its measured</w:t>
      </w:r>
      <w:r>
        <w:t xml:space="preserve"> </w:t>
      </w:r>
      <w:r>
        <w:t xml:space="preserve">trajectory remains a real property of the policy as implemented. The mask</w:t>
      </w:r>
      <w:r>
        <w:t xml:space="preserve"> </w:t>
      </w:r>
      <w:r>
        <w:t xml:space="preserve">geometry in Table </w:t>
      </w:r>
      <w:bookmarkStart w:id="199" w:name="jeparef0099"/>
      <w:r>
        <w:t xml:space="preserve">2</w:t>
      </w:r>
      <w:bookmarkEnd w:id="199"/>
      <w:r>
        <w:t xml:space="preserve"> </w:t>
      </w:r>
      <w:r>
        <w:t xml:space="preserve">is unaffected, having been measured on delivered</w:t>
      </w:r>
      <w:r>
        <w:t xml:space="preserve"> </w:t>
      </w:r>
      <w:r>
        <w:t xml:space="preserve">masks.</w:t>
      </w:r>
    </w:p>
    <w:bookmarkEnd w:id="200"/>
    <w:bookmarkStart w:id="202" w:name="scope."/>
    <w:p>
      <w:pPr>
        <w:pStyle w:val="Heading4"/>
      </w:pPr>
      <w:r>
        <w:t xml:space="preserve">Scope.</w:t>
      </w:r>
    </w:p>
    <w:p>
      <w:pPr>
        <w:pStyle w:val="FirstParagraph"/>
      </w:pPr>
      <w:r>
        <w:rPr>
          <w:smallCaps/>
        </w:rPr>
        <w:t xml:space="preserve">envelope</w:t>
      </w:r>
      <w:r>
        <w:t xml:space="preserve"> </w:t>
      </w:r>
      <w:r>
        <w:t xml:space="preserve">shares the same collation path and the same</w:t>
      </w:r>
      <w:r>
        <w:t xml:space="preserve"> </w:t>
      </w:r>
      <w:r>
        <w:t xml:space="preserve">directional clipping, but sets no exact coverage target, so it has no comparable</w:t>
      </w:r>
      <w:r>
        <w:t xml:space="preserve"> </w:t>
      </w:r>
      <w:r>
        <w:t xml:space="preserve">optimisation to defeat. The anatomy arms instead resample every target to a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cells. Contrasts within the rectangle family are collated identically</w:t>
      </w:r>
      <w:r>
        <w:t xml:space="preserve"> </w:t>
      </w:r>
      <w:r>
        <w:t xml:space="preserve">and are unaffected. The anatomy-versus-rectangle contrast is not, and we treat it</w:t>
      </w:r>
      <w:r>
        <w:t xml:space="preserve"> </w:t>
      </w:r>
      <w:r>
        <w:t xml:space="preserve">accordingly in Section </w:t>
      </w:r>
      <w:bookmarkStart w:id="201" w:name="jeparef0100"/>
      <w:r>
        <w:t xml:space="preserve">5</w:t>
      </w:r>
      <w:bookmarkEnd w:id="201"/>
      <w:r>
        <w:t xml:space="preserve">. A corrected coverage arm must be</w:t>
      </w:r>
      <w:r>
        <w:t xml:space="preserve"> </w:t>
      </w:r>
      <w:r>
        <w:t xml:space="preserve">retrained from the shared ancestor, since patching mid-trajectory would splice</w:t>
      </w:r>
      <w:r>
        <w:t xml:space="preserve"> </w:t>
      </w:r>
      <w:r>
        <w:t xml:space="preserve">two masking policies into one curve.</w:t>
      </w:r>
    </w:p>
    <w:bookmarkEnd w:id="202"/>
    <w:bookmarkStart w:id="203" w:name="status-of-a-corrected-run."/>
    <w:p>
      <w:pPr>
        <w:pStyle w:val="Heading4"/>
      </w:pPr>
      <w:r>
        <w:t xml:space="preserve">Status of a corrected run.</w:t>
      </w:r>
    </w:p>
    <w:p>
      <w:pPr>
        <w:pStyle w:val="FirstParagraph"/>
      </w:pPr>
      <w:r>
        <w:t xml:space="preserve">At submission the corrected arm is</w:t>
      </w:r>
      <w:r>
        <w:t xml:space="preserve"> </w:t>
      </w:r>
      <w:r>
        <w:t xml:space="preserve">not run. Until it exists, the question this arm was built to answer</w:t>
      </w:r>
      <w:r>
        <w:t xml:space="preserve"> </w:t>
      </w:r>
      <w:r>
        <w:t xml:space="preserve">(whether hiding most of the anatomy is harmful) remains</w:t>
      </w:r>
      <w:r>
        <w:t xml:space="preserve"> </w:t>
      </w:r>
      <w:r>
        <w:rPr>
          <w:i/>
          <w:iCs/>
        </w:rPr>
        <w:t xml:space="preserve">open</w:t>
      </w:r>
      <w:r>
        <w:t xml:space="preserve">.</w:t>
      </w:r>
    </w:p>
    <w:bookmarkEnd w:id="203"/>
    <w:bookmarkEnd w:id="204"/>
    <w:bookmarkStart w:id="218" w:name="app:delivered_audit"/>
    <w:p>
      <w:pPr>
        <w:pStyle w:val="Heading1"/>
      </w:pPr>
      <w:r>
        <w:t xml:space="preserve">Delivered-task replay and versioned corrections</w:t>
      </w:r>
    </w:p>
    <w:bookmarkStart w:id="206" w:name="scope.-1"/>
    <w:p>
      <w:pPr>
        <w:pStyle w:val="Heading4"/>
      </w:pPr>
      <w:r>
        <w:t xml:space="preserve">Scope.</w:t>
      </w:r>
    </w:p>
    <w:p>
      <w:pPr>
        <w:pStyle w:val="FirstParagraph"/>
      </w:pPr>
      <w:r>
        <w:t xml:space="preserve">We replayed the actual guided dataset, paired transforms, DataLoader worker</w:t>
      </w:r>
      <w:r>
        <w:t xml:space="preserve"> </w:t>
      </w:r>
      <w:r>
        <w:t xml:space="preserve">collator and returned mask tensors on the existing 600-view Training scope</w:t>
      </w:r>
      <w:r>
        <w:t xml:space="preserve"> </w:t>
      </w:r>
      <w:r>
        <w:t xml:space="preserve">(24 volumes, 25 views each), using fixed new crop draws shared across policies.</w:t>
      </w:r>
      <w:r>
        <w:t xml:space="preserve"> </w:t>
      </w:r>
      <w:r>
        <w:t xml:space="preserve">These are not reconstructed historical training crops. Drawn block sizes were</w:t>
      </w:r>
      <w:r>
        <w:t xml:space="preserve"> </w:t>
      </w:r>
      <w:r>
        <w:t xml:space="preserve">injected independently of placement; equal seeds alone do not pair</w:t>
      </w:r>
      <w:r>
        <w:t xml:space="preserve"> </w:t>
      </w:r>
      <w:r>
        <w:t xml:space="preserve">policy-dependent rejection sampling. The production-size subset contains</w:t>
      </w:r>
      <w:r>
        <w:t xml:space="preserve"> </w:t>
      </w:r>
      <w:r>
        <w:t xml:space="preserve">576 views in complete batches of 64, with 573 valid</w:t>
      </w:r>
      <w:r>
        <w:t xml:space="preserve"> </w:t>
      </w:r>
      <w:r>
        <w:t xml:space="preserve">post-crop guides. The shorter final batch is excluded from</w:t>
      </w:r>
      <w:r>
        <w:t xml:space="preserve"> </w:t>
      </w:r>
      <w:r>
        <w:t xml:space="preserve">Table </w:t>
      </w:r>
      <w:bookmarkStart w:id="205" w:name="jeparef0101"/>
      <w:r>
        <w:t xml:space="preserve">10</w:t>
      </w:r>
      <w:bookmarkEnd w:id="205"/>
      <w:r>
        <w:t xml:space="preserve">. Views within volumes are correlated, so these</w:t>
      </w:r>
      <w:r>
        <w:t xml:space="preserve"> </w:t>
      </w:r>
      <w:r>
        <w:t xml:space="preserve">are descriptive engineering counts, not independent training replications.</w:t>
      </w:r>
    </w:p>
    <w:bookmarkEnd w:id="206"/>
    <w:bookmarkStart w:id="208" w:name="what-is-measured."/>
    <w:p>
      <w:pPr>
        <w:pStyle w:val="Heading4"/>
      </w:pPr>
      <w:r>
        <w:t xml:space="preserve">What is measured.</w:t>
      </w:r>
    </w:p>
    <w:p>
      <w:pPr>
        <w:pStyle w:val="FirstParagraph"/>
      </w:pPr>
      <w:r>
        <w:t xml:space="preserve">Target coverage is measured both at scoring and after target collation.</w:t>
      </w:r>
      <w:r>
        <w:t xml:space="preserve"> </w:t>
      </w:r>
      <w:r>
        <w:t xml:space="preserve">Encoder-visible tissue is counted only in the final encoder indices, not</w:t>
      </w:r>
      <w:r>
        <w:t xml:space="preserve"> </w:t>
      </w:r>
      <w:r>
        <w:t xml:space="preserve">in the full-grid target complement. Tissue is a guide occupancy thresholded</w:t>
      </w:r>
      <w:r>
        <w:t xml:space="preserve"> </w:t>
      </w:r>
      <w:r>
        <w:t xml:space="preserve">at</w:t>
      </w:r>
      <w:r>
        <w:t xml:space="preserve"> </w:t>
      </w:r>
      <m:oMath>
        <m:r>
          <m:t>0.25</m:t>
        </m:r>
      </m:oMath>
      <w:r>
        <w:t xml:space="preserve">, not clinical ground truth. The context criterion is at least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⌈</m:t>
        </m:r>
        <m:r>
          <m:t>0.21</m:t>
        </m:r>
        <m:sSub>
          <m:e>
            <m:r>
              <m:t>N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⌉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non-target tissue cells. It is an explicit occupancy-cell diagnostic and</w:t>
      </w:r>
      <w:r>
        <w:t xml:space="preserve"> </w:t>
      </w:r>
      <w:r>
        <w:t xml:space="preserve">corrected-policy guarantee, distinct from the historical soft-mass constraint</w:t>
      </w:r>
      <w:r>
        <w:t xml:space="preserve"> </w:t>
      </w:r>
      <w:r>
        <w:t xml:space="preserve">on the target complement.</w:t>
      </w:r>
    </w:p>
    <w:bookmarkStart w:id="207" w:name="tab:delivered_repair"/>
    <w:p>
      <w:pPr>
        <w:pStyle w:val="TableCaption"/>
      </w:pPr>
      <w:r>
        <w:t xml:space="preserve">Full-batch delivered-task replay on 576 Training views.</w:t>
      </w:r>
      <w:r>
        <w:t xml:space="preserve"> </w:t>
      </w:r>
      <w:r>
        <w:t xml:space="preserve">Floor misses count only the 573 valid guides; invalid guides</w:t>
      </w:r>
      <w:r>
        <w:t xml:space="preserve"> </w:t>
      </w:r>
      <w:r>
        <w:t xml:space="preserve">are never certified as satisfying a guarantee. Scored and delivered coverage</w:t>
      </w:r>
      <w:r>
        <w:t xml:space="preserve"> </w:t>
      </w:r>
      <w:r>
        <w:t xml:space="preserve">refer to supported soft guide mass. Context counts include all views.</w:t>
      </w:r>
      <w:r>
        <w:t xml:space="preserve"> </w:t>
      </w:r>
      <w:r>
        <w:t xml:space="preserve">The corrected columns are sampler diagnostics, not pretrained-model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ull-batch delivered-task replay on 576 Training views. Floor misses count only the 573 valid guides; invalid guides are never certified as satisfying a guarantee. Scored and delivered coverage refer to supported soft guide mass. Context counts include all views. The corrected columns are sampler diagnostics, not pretrained-model resul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Historical COVER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Exact-prefix v2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v2 + context 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Views losing tissue targets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Valid-guide context-floor misses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Views with zero tissue context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Scored hidden guide mass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Delivered hidden guide mass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encoder-visible tissue 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15.12</w:t>
            </w:r>
          </w:p>
        </w:tc>
      </w:tr>
    </w:tbl>
    <w:bookmarkEnd w:id="207"/>
    <w:bookmarkEnd w:id="208"/>
    <w:bookmarkStart w:id="214" w:name="two-separate-corrections."/>
    <w:p>
      <w:pPr>
        <w:pStyle w:val="Heading4"/>
      </w:pPr>
      <w:r>
        <w:t xml:space="preserve">Two separate corrections.</w:t>
      </w:r>
    </w:p>
    <w:p>
      <w:pPr>
        <w:pStyle w:val="FirstParagraph"/>
      </w:pPr>
      <w:r>
        <w:t xml:space="preserve">The opt-in exact-prefix implementation scores the target shapes that will</w:t>
      </w:r>
      <w:r>
        <w:t xml:space="preserve"> </w:t>
      </w:r>
      <w:r>
        <w:t xml:space="preserve">actually be returned, preserving the drawn rectangle sizes and delivered</w:t>
      </w:r>
      <w:r>
        <w:t xml:space="preserve"> </w:t>
      </w:r>
      <w:r>
        <w:t xml:space="preserve">target-token budget. Context exclusion then uses delivered targets rather</w:t>
      </w:r>
      <w:r>
        <w:t xml:space="preserve"> </w:t>
      </w:r>
      <w:r>
        <w:t xml:space="preserve">than also excluding discarded candidate cells. The optional context guard</w:t>
      </w:r>
      <w:r>
        <w:t xml:space="preserve"> </w:t>
      </w:r>
      <w:r>
        <w:t xml:space="preserve">reselects non-target tissue while retaining the final context token count.</w:t>
      </w:r>
      <w:r>
        <w:t xml:space="preserve"> </w:t>
      </w:r>
      <w:r>
        <w:t xml:space="preserve">It can select outside the original context rectangle and is therefore a</w:t>
      </w:r>
      <w:r>
        <w:t xml:space="preserve"> </w:t>
      </w:r>
      <w:r>
        <w:t xml:space="preserve">second guide-aware intervention, not a pure placement correction.</w:t>
      </w:r>
      <w:r>
        <w:t xml:space="preserve"> </w:t>
      </w:r>
      <w:r>
        <w:t xml:space="preserve">Targets and token budgets are exactly matched between v2 and guarded v2.</w:t>
      </w:r>
      <w:r>
        <w:t xml:space="preserve"> </w:t>
      </w:r>
      <w:r>
        <w:t xml:space="preserve">The one zero-tissue context in the guarded column has an invalid guide and</w:t>
      </w:r>
      <w:r>
        <w:t xml:space="preserve"> </w:t>
      </w:r>
      <w:r>
        <w:t xml:space="preserve">is explicitly uncertified. Historical behavior remains separately replayable.</w:t>
      </w:r>
    </w:p>
    <w:bookmarkStart w:id="213" w:name="fig:delivered_task"/>
    <w:p>
      <w:pPr>
        <w:pStyle w:val="CaptionedFigure"/>
      </w:pPr>
      <w:r>
        <w:drawing>
          <wp:inline>
            <wp:extent cx="5046020" cy="5137765"/>
            <wp:effectExtent b="0" l="0" r="0" t="0"/>
            <wp:docPr descr="" title="" id="210" name="Picture"/>
            <a:graphic>
              <a:graphicData uri="http://schemas.openxmlformats.org/drawingml/2006/picture">
                <pic:pic>
                  <pic:nvPicPr>
                    <pic:cNvPr descr="fig_delivered_task_token_map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020" cy="5137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Intended and delivered token sets for one previously identified</w:t>
      </w:r>
      <w:r>
        <w:t xml:space="preserve"> </w:t>
      </w:r>
      <w:r>
        <w:t xml:space="preserve">Training-view failure, not a randomly selected example. Orange cells are target</w:t>
      </w:r>
      <w:r>
        <w:t xml:space="preserve"> </w:t>
      </w:r>
      <w:r>
        <w:t xml:space="preserve">unions, hatched blue cells encoder context, and circles guide-positive tissue.</w:t>
      </w:r>
      <w:r>
        <w:t xml:space="preserve"> </w:t>
      </w:r>
      <w:r>
        <w:t xml:space="preserve">No raw OCT pixels are displayed. Historical collation removes guide-positive targets</w:t>
      </w:r>
      <w:r>
        <w:t xml:space="preserve"> </w:t>
      </w:r>
      <w:r>
        <w:t xml:space="preserve">and all guide-positive tissue from the encoder context in this case. Exact-prefix scoring and</w:t>
      </w:r>
      <w:r>
        <w:t xml:space="preserve"> </w:t>
      </w:r>
      <w:r>
        <w:t xml:space="preserve">the separate context guard change the delivered sets; the guard may select</w:t>
      </w:r>
      <w:r>
        <w:t xml:space="preserve"> </w:t>
      </w:r>
      <w:r>
        <w:t xml:space="preserve">outside the candidate context rectangle. Input and drawn sizes are shared,</w:t>
      </w:r>
      <w:r>
        <w:t xml:space="preserve"> </w:t>
      </w:r>
      <w:r>
        <w:t xml:space="preserve">but historical and corrected placements are not exactly paired.</w:t>
      </w:r>
      <w:r>
        <w:t xml:space="preserve"> </w:t>
      </w:r>
      <w:r>
        <w:t xml:space="preserve">Aggregate evidence is in Table </w:t>
      </w:r>
      <w:bookmarkStart w:id="212" w:name="jeparef0102"/>
      <w:r>
        <w:t xml:space="preserve">10</w:t>
      </w:r>
      <w:bookmarkEnd w:id="212"/>
      <w:r>
        <w:t xml:space="preserve">; this illustration</w:t>
      </w:r>
      <w:r>
        <w:t xml:space="preserve"> </w:t>
      </w:r>
      <w:r>
        <w:t xml:space="preserve">does not imply a downstream AUC improvement.</w:t>
      </w:r>
    </w:p>
    <w:bookmarkEnd w:id="213"/>
    <w:bookmarkEnd w:id="214"/>
    <w:bookmarkStart w:id="215" w:name="random-fill-is-not-a-background-quota."/>
    <w:p>
      <w:pPr>
        <w:pStyle w:val="Heading4"/>
      </w:pPr>
      <w:r>
        <w:t xml:space="preserve">Random fill is not a background quota.</w:t>
      </w:r>
    </w:p>
    <w:p>
      <w:pPr>
        <w:pStyle w:val="FirstParagraph"/>
      </w:pPr>
      <w:r>
        <w:t xml:space="preserve">At full ramp all usable targets take the guided branch, while the</w:t>
      </w:r>
      <w:r>
        <w:t xml:space="preserve"> </w:t>
      </w:r>
      <w:r>
        <w:rPr>
          <w:rStyle w:val="VerbatimChar"/>
        </w:rPr>
        <w:t xml:space="preserve">random_legal</w:t>
      </w:r>
      <w:r>
        <w:t xml:space="preserve"> </w:t>
      </w:r>
      <w:r>
        <w:t xml:space="preserve">fill mechanism is conditional on unused target blocks.</w:t>
      </w:r>
      <w:r>
        <w:t xml:space="preserve"> </w:t>
      </w:r>
      <w:r>
        <w:t xml:space="preserve">Some views have no random-fill blocks. Such blocks can include tissue, and</w:t>
      </w:r>
      <w:r>
        <w:t xml:space="preserve"> </w:t>
      </w:r>
      <w:r>
        <w:t xml:space="preserve">guided blocks can include background, so branch labels cannot stand in for</w:t>
      </w:r>
      <w:r>
        <w:t xml:space="preserve"> </w:t>
      </w:r>
      <w:r>
        <w:t xml:space="preserve">background supervision. Corrected target scoring does not introduce a</w:t>
      </w:r>
      <w:r>
        <w:t xml:space="preserve"> </w:t>
      </w:r>
      <w:r>
        <w:t xml:space="preserve">guaranteed random/background quota. Whether another mixture improves</w:t>
      </w:r>
      <w:r>
        <w:t xml:space="preserve"> </w:t>
      </w:r>
      <w:r>
        <w:t xml:space="preserve">representations requires a separately defined comparison.</w:t>
      </w:r>
    </w:p>
    <w:bookmarkEnd w:id="215"/>
    <w:bookmarkStart w:id="216" w:name="Xaaa7ddbec5070922a4b370bbd7270be8b6b37a0"/>
    <w:p>
      <w:pPr>
        <w:pStyle w:val="Heading4"/>
      </w:pPr>
      <w:r>
        <w:t xml:space="preserve">The delivered tensors reach the objective.</w:t>
      </w:r>
    </w:p>
    <w:p>
      <w:pPr>
        <w:pStyle w:val="FirstParagraph"/>
      </w:pPr>
      <w:r>
        <w:t xml:space="preserve">Using exact masks for one fixed batch of the first 2</w:t>
      </w:r>
      <w:r>
        <w:t xml:space="preserve"> </w:t>
      </w:r>
      <w:r>
        <w:t xml:space="preserve">predeclared views, we ran</w:t>
      </w:r>
      <w:r>
        <w:t xml:space="preserve"> </w:t>
      </w:r>
      <w:r>
        <w:t xml:space="preserve">3 independent fp32 one-update checks from the same historical</w:t>
      </w:r>
      <w:r>
        <w:t xml:space="preserve"> </w:t>
      </w:r>
      <w:r>
        <w:t xml:space="preserve">ancestor, one per COVER implementation. Tissue/background and first/repeated</w:t>
      </w:r>
      <w:r>
        <w:t xml:space="preserve"> </w:t>
      </w:r>
      <w:r>
        <w:t xml:space="preserve">token contributions reconcile with the actual Smooth-L1 loss.</w:t>
      </w:r>
      <w:r>
        <w:t xml:space="preserve"> </w:t>
      </w:r>
      <w:r>
        <w:t xml:space="preserve">Online/predictor gradients and parameter updates were finite and nonzero;</w:t>
      </w:r>
      <w:r>
        <w:t xml:space="preserve"> </w:t>
      </w:r>
      <w:r>
        <w:t xml:space="preserve">teacher gradients were absent and EMA updates matched their stated formula.</w:t>
      </w:r>
      <w:r>
        <w:t xml:space="preserve"> </w:t>
      </w:r>
      <w:r>
        <w:t xml:space="preserve">The guard changed 0 contexts in these selected views,</w:t>
      </w:r>
      <w:r>
        <w:t xml:space="preserve"> </w:t>
      </w:r>
      <w:r>
        <w:t xml:space="preserve">which already met its floor; equality with unguarded v2 is therefore expected.</w:t>
      </w:r>
      <w:r>
        <w:t xml:space="preserve"> </w:t>
      </w:r>
      <w:r>
        <w:t xml:space="preserve">These bounded checks neither train a corrected representation nor estimate</w:t>
      </w:r>
      <w:r>
        <w:t xml:space="preserve"> </w:t>
      </w:r>
      <w:r>
        <w:t xml:space="preserve">its downstream AUC.</w:t>
      </w:r>
    </w:p>
    <w:bookmarkEnd w:id="216"/>
    <w:bookmarkStart w:id="217" w:name="other-training-safeguards."/>
    <w:p>
      <w:pPr>
        <w:pStyle w:val="Heading4"/>
      </w:pPr>
      <w:r>
        <w:t xml:space="preserve">Other training safeguards.</w:t>
      </w:r>
    </w:p>
    <w:p>
      <w:pPr>
        <w:pStyle w:val="FirstParagraph"/>
      </w:pPr>
      <w:r>
        <w:t xml:space="preserve">The implementation now normalizes short final accumulation windows by their</w:t>
      </w:r>
      <w:r>
        <w:t xml:space="preserve"> </w:t>
      </w:r>
      <w:r>
        <w:t xml:space="preserve">actual length and advances schedules and EMA only after successful optimizer</w:t>
      </w:r>
      <w:r>
        <w:t xml:space="preserve"> </w:t>
      </w:r>
      <w:r>
        <w:t xml:space="preserve">updates. New epoch-boundary checkpoints retain continuation state with explicit</w:t>
      </w:r>
      <w:r>
        <w:t xml:space="preserve"> </w:t>
      </w:r>
      <w:r>
        <w:t xml:space="preserve">exact-resume and intentional-fork modes. CPU regression witnesses establish</w:t>
      </w:r>
      <w:r>
        <w:t xml:space="preserve"> </w:t>
      </w:r>
      <w:r>
        <w:t xml:space="preserve">their tested contracts; they do not reconstruct historical overflow counts,</w:t>
      </w:r>
      <w:r>
        <w:t xml:space="preserve"> </w:t>
      </w:r>
      <w:r>
        <w:t xml:space="preserve">persistent-worker streams or multi-rank execution. No existing checkpoint or</w:t>
      </w:r>
      <w:r>
        <w:t xml:space="preserve"> </w:t>
      </w:r>
      <w:r>
        <w:t xml:space="preserve">prediction has been reassigned to corrected code. A corrected multi-arm</w:t>
      </w:r>
      <w:r>
        <w:t xml:space="preserve"> </w:t>
      </w:r>
      <w:r>
        <w:t xml:space="preserve">pretraining comparison remains subsequent work.</w:t>
      </w:r>
    </w:p>
    <w:bookmarkEnd w:id="217"/>
    <w:bookmarkEnd w:id="218"/>
    <w:bookmarkStart w:id="223" w:name="app:bg"/>
    <w:p>
      <w:pPr>
        <w:pStyle w:val="Heading1"/>
      </w:pPr>
      <w:r>
        <w:t xml:space="preserve">Background representation diagnostics</w:t>
      </w:r>
    </w:p>
    <w:p>
      <w:pPr>
        <w:pStyle w:val="FirstParagraph"/>
      </w:pPr>
      <w:r>
        <w:t xml:space="preserve">Unguided masking spends most of its predictor targets on background, yet it</w:t>
      </w:r>
      <w:r>
        <w:t xml:space="preserve"> </w:t>
      </w:r>
      <w:r>
        <w:t xml:space="preserve">reaches within</w:t>
      </w:r>
      <w:r>
        <w:t xml:space="preserve"> </w:t>
      </w:r>
      <m:oMath>
        <m:r>
          <m:rPr>
            <m:sty m:val="p"/>
          </m:rPr>
          <m:t>+</m:t>
        </m:r>
        <m:r>
          <m:t>0.0109</m:t>
        </m:r>
      </m:oMath>
      <w:r>
        <w:t xml:space="preserve"> </w:t>
      </w:r>
      <w:r>
        <w:t xml:space="preserve">of the best policy. We investigated</w:t>
      </w:r>
      <w:r>
        <w:t xml:space="preserve"> </w:t>
      </w:r>
      <w:r>
        <w:t xml:space="preserve">whether background carries diagnostic signal, and whether position embeddings are</w:t>
      </w:r>
      <w:r>
        <w:t xml:space="preserve"> </w:t>
      </w:r>
      <w:r>
        <w:t xml:space="preserve">the mechanism.</w:t>
      </w:r>
    </w:p>
    <w:bookmarkStart w:id="219" w:name="background-is-a-real-pretraining-signal."/>
    <w:p>
      <w:pPr>
        <w:pStyle w:val="Heading4"/>
      </w:pPr>
      <w:r>
        <w:t xml:space="preserve">Background is a real</w:t>
      </w:r>
      <w:r>
        <w:t xml:space="preserve"> </w:t>
      </w:r>
      <w:r>
        <w:rPr>
          <w:i/>
          <w:iCs/>
        </w:rPr>
        <w:t xml:space="preserve">pretraining</w:t>
      </w:r>
      <w:r>
        <w:t xml:space="preserve"> </w:t>
      </w:r>
      <w:r>
        <w:t xml:space="preserve">signal.</w:t>
      </w:r>
    </w:p>
    <w:p>
      <w:pPr>
        <w:pStyle w:val="FirstParagraph"/>
      </w:pPr>
      <w:r>
        <w:t xml:space="preserve">At epoch 100 the</w:t>
      </w:r>
      <w:r>
        <w:t xml:space="preserve"> </w:t>
      </w:r>
      <w:r>
        <w:t xml:space="preserve">random arm’s predictor beats a per-position, no-context reference by</w:t>
      </w:r>
      <w:r>
        <w:t xml:space="preserve"> </w:t>
      </w:r>
      <m:oMath>
        <m:r>
          <m:t>0.680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background targets, above its</w:t>
      </w:r>
      <w:r>
        <w:t xml:space="preserve"> </w:t>
      </w:r>
      <m:oMath>
        <m:r>
          <m:t>0.633</m:t>
        </m:r>
      </m:oMath>
      <w:r>
        <w:t xml:space="preserve"> </w:t>
      </w:r>
      <w:r>
        <w:t xml:space="preserve">on anatomy targets: predicting a background</w:t>
      </w:r>
      <w:r>
        <w:t xml:space="preserve"> </w:t>
      </w:r>
      <w:r>
        <w:t xml:space="preserve">token requires more than knowing where it is. Pretraining also spends capacity</w:t>
      </w:r>
      <w:r>
        <w:t xml:space="preserve"> </w:t>
      </w:r>
      <w:r>
        <w:t xml:space="preserve">reorganising background in the separate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analysis:</w:t>
      </w:r>
      <w:r>
        <w:t xml:space="preserve"> </w:t>
      </w:r>
      <w:r>
        <w:t xml:space="preserve">background self-similarity falls from</w:t>
      </w:r>
      <w:r>
        <w:t xml:space="preserve"> </w:t>
      </w:r>
      <m:oMath>
        <m:r>
          <m:t>0.784</m:t>
        </m:r>
      </m:oMath>
      <w:r>
        <w:t xml:space="preserve"> </w:t>
      </w:r>
      <w:r>
        <w:t xml:space="preserve">untrained to</w:t>
      </w:r>
      <w:r>
        <w:t xml:space="preserve"> </w:t>
      </w:r>
      <m:oMath>
        <m:r>
          <m:t>0.346</m:t>
        </m:r>
      </m:oMath>
      <w:r>
        <w:t xml:space="preserve"> </w:t>
      </w:r>
      <w:r>
        <w:t xml:space="preserve">at epoch 100.</w:t>
      </w:r>
    </w:p>
    <w:bookmarkEnd w:id="219"/>
    <w:bookmarkStart w:id="220" w:name="X51dc86285bf2444f9e7fd804638f0008b0aa99a"/>
    <w:p>
      <w:pPr>
        <w:pStyle w:val="Heading4"/>
      </w:pPr>
      <w:r>
        <w:t xml:space="preserve">Incremental signal under a regional-probe protocol.</w:t>
      </w:r>
    </w:p>
    <w:p>
      <w:pPr>
        <w:pStyle w:val="FirstParagraph"/>
      </w:pPr>
      <w:r>
        <w:t xml:space="preserve">This analysis uses epoch-50 encoders, 25 slices per volume and</w:t>
      </w:r>
      <w:r>
        <w:t xml:space="preserve"> </w:t>
      </w:r>
      <w:r>
        <w:t xml:space="preserve">2</w:t>
      </w:r>
      <w:r>
        <w:t xml:space="preserve">,</w:t>
      </w:r>
      <w:r>
        <w:t xml:space="preserve">000/600/1</w:t>
      </w:r>
      <w:r>
        <w:t xml:space="preserve">,</w:t>
      </w:r>
      <w:r>
        <w:t xml:space="preserve">000 training/validation/test volumes, rather than the main</w:t>
      </w:r>
      <w:r>
        <w:t xml:space="preserve"> </w:t>
      </w:r>
      <w:r>
        <w:t xml:space="preserve">100-slice protocol and full split. Pooled background features are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linearly reconstructible from pooled anatomy features.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test subjects, with fitted transforms and probes fixed, residual background has</w:t>
      </w:r>
      <w:r>
        <w:t xml:space="preserve"> </w:t>
      </w:r>
      <w:r>
        <w:t xml:space="preserve">AUC</w:t>
      </w:r>
      <w:r>
        <w:t xml:space="preserve"> </w:t>
      </w:r>
      <m:oMath>
        <m:r>
          <m:t>0.5515</m:t>
        </m:r>
      </m:oMath>
      <w:r>
        <w:t xml:space="preserve"> </w:t>
      </w:r>
      <w:r>
        <w:t xml:space="preserve">(2</w:t>
      </w:r>
      <w:r>
        <w:t xml:space="preserve">,</w:t>
      </w:r>
      <w:r>
        <w:t xml:space="preserve">000-resample case-percentile CI</w:t>
      </w:r>
      <w:r>
        <w:t xml:space="preserve"> </w:t>
      </w:r>
      <m:oMath>
        <m:r>
          <m:rPr>
            <m:sty m:val="p"/>
          </m:rPr>
          <m:t>[</m:t>
        </m:r>
        <m:r>
          <m:t>0.5165</m:t>
        </m:r>
        <m:r>
          <m:rPr>
            <m:sty m:val="p"/>
          </m:rPr>
          <m:t>,</m:t>
        </m:r>
        <m:r>
          <m:t>0.5893</m:t>
        </m:r>
        <m:r>
          <m:rPr>
            <m:sty m:val="p"/>
          </m:rPr>
          <m:t>]</m:t>
        </m:r>
      </m:oMath>
      <w:r>
        <w:t xml:space="preserve">).</w:t>
      </w:r>
      <w:r>
        <w:t xml:space="preserve"> </w:t>
      </w:r>
      <w:r>
        <w:t xml:space="preserve">A paired bootstrap of the same size puts the change from appending background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0.0076</m:t>
        </m:r>
      </m:oMath>
      <w:r>
        <w:t xml:space="preserve"> </w:t>
      </w:r>
      <w:r>
        <w:t xml:space="preserve">(CI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0.0139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0.0012</m:t>
        </m:r>
        <m:r>
          <m:rPr>
            <m:sty m:val="p"/>
          </m:rPr>
          <m:t>]</m:t>
        </m:r>
      </m:oMath>
      <w:r>
        <w:t xml:space="preserve">) for the random arm and under</w:t>
      </w:r>
      <w:r>
        <w:t xml:space="preserve"> </w:t>
      </w:r>
      <m:oMath>
        <m:r>
          <m:rPr>
            <m:sty m:val="p"/>
          </m:rPr>
          <m:t>±</m:t>
        </m:r>
        <m:r>
          <m:t>0.002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every other. A background-only probe scores</w:t>
      </w:r>
      <w:r>
        <w:t xml:space="preserve"> </w:t>
      </w:r>
      <m:oMath>
        <m:r>
          <m:t>0.867</m:t>
        </m:r>
      </m:oMath>
      <w:r>
        <w:t xml:space="preserve">. Self-attention mixes tissue</w:t>
      </w:r>
      <w:r>
        <w:t xml:space="preserve"> </w:t>
      </w:r>
      <w:r>
        <w:t xml:space="preserve">information into background tokens, so that figure cannot be read as background</w:t>
      </w:r>
      <w:r>
        <w:t xml:space="preserve"> </w:t>
      </w:r>
      <w:r>
        <w:t xml:space="preserve">signal, and we did not measure how much mixing occurs.</w:t>
      </w:r>
    </w:p>
    <w:bookmarkEnd w:id="220"/>
    <w:bookmarkStart w:id="221" w:name="X2c87c5e9f3cd3a113c8f44f1c3e52b47211f0f5"/>
    <w:p>
      <w:pPr>
        <w:pStyle w:val="Heading4"/>
      </w:pPr>
      <w:r>
        <w:t xml:space="preserve">Position dominates background tokens, but is not the whole story.</w:t>
      </w:r>
    </w:p>
    <w:p>
      <w:pPr>
        <w:pStyle w:val="FirstParagraph"/>
      </w:pPr>
      <w:r>
        <w:t xml:space="preserve">At</w:t>
      </w:r>
      <w:r>
        <w:t xml:space="preserve"> </w:t>
      </w:r>
      <w:r>
        <w:t xml:space="preserve">layer 0,</w:t>
      </w:r>
      <w:r>
        <w:t xml:space="preserve"> </w:t>
      </w:r>
      <m:oMath>
        <m:r>
          <m:t>90.8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across-position variance of the encoder input at</w:t>
      </w:r>
      <w:r>
        <w:t xml:space="preserve"> </w:t>
      </w:r>
      <w:r>
        <w:t xml:space="preserve">background cells comes from</w:t>
      </w:r>
      <w:r>
        <w:t xml:space="preserve"> </w:t>
      </w:r>
      <w:r>
        <w:rPr>
          <w:rStyle w:val="VerbatimChar"/>
        </w:rPr>
        <w:t xml:space="preserve">pos_embed</w:t>
      </w:r>
      <w:r>
        <w:t xml:space="preserve">, against</w:t>
      </w:r>
      <w:r>
        <w:t xml:space="preserve"> </w:t>
      </w:r>
      <m:oMath>
        <m:r>
          <m:t>40.8</m:t>
        </m:r>
        <m:r>
          <m:rPr>
            <m:sty m:val="p"/>
          </m:rPr>
          <m:t>%</m:t>
        </m:r>
      </m:oMath>
      <w:r>
        <w:t xml:space="preserve"> </w:t>
      </w:r>
      <w:r>
        <w:t xml:space="preserve">at tissue cells</w:t>
      </w:r>
      <w:r>
        <w:t xml:space="preserve"> </w:t>
      </w:r>
      <w:r>
        <w:t xml:space="preserve">(stable across six thresholds and both checkpoints). Mechanically a background</w:t>
      </w:r>
      <w:r>
        <w:t xml:space="preserve"> </w:t>
      </w:r>
      <w:r>
        <w:t xml:space="preserve">token is close to its position code. That the predictor still beats a</w:t>
      </w:r>
      <w:r>
        <w:t xml:space="preserve"> </w:t>
      </w:r>
      <w:r>
        <w:t xml:space="preserve">per-position reference shows the pretraining signal is not purely positional.</w:t>
      </w:r>
      <w:r>
        <w:t xml:space="preserve"> </w:t>
      </w:r>
      <w:r>
        <w:t xml:space="preserve">The causal chain from this mechanism to downstream AUC remains open.</w:t>
      </w:r>
    </w:p>
    <w:bookmarkEnd w:id="221"/>
    <w:bookmarkStart w:id="222" w:name="X4eb1709af9d3ee70c519d5643197f6fefc86c9c"/>
    <w:p>
      <w:pPr>
        <w:pStyle w:val="Heading4"/>
      </w:pPr>
      <w:r>
        <w:t xml:space="preserve">The two controls that would settle it, neither of which was run.</w:t>
      </w:r>
    </w:p>
    <w:p>
      <w:pPr>
        <w:pStyle w:val="FirstParagraph"/>
      </w:pPr>
      <w:r>
        <w:t xml:space="preserve">First, a regional probe on an</w:t>
      </w:r>
      <w:r>
        <w:t xml:space="preserve"> </w:t>
      </w:r>
      <w:r>
        <w:rPr>
          <w:i/>
          <w:iCs/>
        </w:rPr>
        <w:t xml:space="preserve">eroded</w:t>
      </w:r>
      <w:r>
        <w:t xml:space="preserve"> </w:t>
      </w:r>
      <w:r>
        <w:t xml:space="preserve">background region (background</w:t>
      </w:r>
      <w:r>
        <w:t xml:space="preserve"> </w:t>
      </w:r>
      <w:r>
        <w:t xml:space="preserve">cells at a fixed minimum distance from any tissue cell), which removes the</w:t>
      </w:r>
      <w:r>
        <w:t xml:space="preserve"> </w:t>
      </w:r>
      <w:r>
        <w:t xml:space="preserve">tokens most exposed to local mixing while keeping the probe protocol fixed.</w:t>
      </w:r>
      <w:r>
        <w:t xml:space="preserve"> </w:t>
      </w:r>
      <w:r>
        <w:t xml:space="preserve">Second, a background-content shuffle in which background token</w:t>
      </w:r>
      <w:r>
        <w:t xml:space="preserve"> </w:t>
      </w:r>
      <w:r>
        <w:rPr>
          <w:i/>
          <w:iCs/>
        </w:rPr>
        <w:t xml:space="preserve">contents</w:t>
      </w:r>
      <w:r>
        <w:t xml:space="preserve"> </w:t>
      </w:r>
      <w:r>
        <w:t xml:space="preserve">are permuted across images while positions and token count are held fixed: if</w:t>
      </w:r>
      <w:r>
        <w:t xml:space="preserve"> </w:t>
      </w:r>
      <w:r>
        <w:t xml:space="preserve">the background-only AUC survives that, the signal is positional rather than</w:t>
      </w:r>
      <w:r>
        <w:t xml:space="preserve"> </w:t>
      </w:r>
      <w:r>
        <w:t xml:space="preserve">content-bearing. Neither has been run, so this appendix</w:t>
      </w:r>
      <w:r>
        <w:t xml:space="preserve"> </w:t>
      </w:r>
      <w:r>
        <w:t xml:space="preserve">reports a mechanism that is described but not established.</w:t>
      </w:r>
    </w:p>
    <w:bookmarkEnd w:id="222"/>
    <w:bookmarkEnd w:id="223"/>
    <w:bookmarkStart w:id="236" w:name="app:labeleff"/>
    <w:p>
      <w:pPr>
        <w:pStyle w:val="Heading1"/>
      </w:pPr>
      <w:r>
        <w:t xml:space="preserve">Label efficiency</w:t>
      </w:r>
    </w:p>
    <w:p>
      <w:pPr>
        <w:pStyle w:val="FirstParagraph"/>
      </w:pPr>
      <w:r>
        <w:t xml:space="preserve">We measured each policy as supervision is withdrawn</w:t>
      </w:r>
      <w:r>
        <w:t xml:space="preserve"> </w:t>
      </w:r>
      <w:r>
        <w:t xml:space="preserve">(Section </w:t>
      </w:r>
      <w:bookmarkStart w:id="224" w:name="jeparef0103"/>
      <w:r>
        <w:t xml:space="preserve">5.4</w:t>
      </w:r>
      <w:bookmarkEnd w:id="224"/>
      <w:r>
        <w:t xml:space="preserve">). We</w:t>
      </w:r>
      <w:r>
        <w:t xml:space="preserve"> </w:t>
      </w:r>
      <w:r>
        <w:t xml:space="preserve">subsample the labelled training set to fractions of its size, fit the same frozen</w:t>
      </w:r>
      <w:r>
        <w:t xml:space="preserve"> </w:t>
      </w:r>
      <w:r>
        <w:t xml:space="preserve">linear probe on cached epoch-100 features, and repeat 5 times</w:t>
      </w:r>
      <w:r>
        <w:t xml:space="preserve"> </w:t>
      </w:r>
      <w:r>
        <w:t xml:space="preserve">per fraction. The per-fraction seed depends only on fraction and repeat, never on</w:t>
      </w:r>
      <w:r>
        <w:t xml:space="preserve"> </w:t>
      </w:r>
      <w:r>
        <w:t xml:space="preserve">arm, so all arms see identical label subsets and the comparison is paired.</w:t>
      </w:r>
    </w:p>
    <w:bookmarkStart w:id="235" w:name="protocol-parity."/>
    <w:p>
      <w:pPr>
        <w:pStyle w:val="Heading4"/>
      </w:pPr>
      <w:r>
        <w:t xml:space="preserve">Protocol parity.</w:t>
      </w:r>
    </w:p>
    <w:p>
      <w:pPr>
        <w:pStyle w:val="FirstParagraph"/>
      </w:pPr>
      <w:r>
        <w:t xml:space="preserve">This sweep uses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probe protocol as</w:t>
      </w:r>
      <w:r>
        <w:t xml:space="preserve"> </w:t>
      </w:r>
      <w:r>
        <w:t xml:space="preserve">Table </w:t>
      </w:r>
      <w:bookmarkStart w:id="225" w:name="jeparef0104"/>
      <w:r>
        <w:t xml:space="preserve">1</w:t>
      </w:r>
      <w:bookmarkEnd w:id="225"/>
      <w:r>
        <w:t xml:space="preserve">: minibatches of 256, AdamW at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weight</w:t>
      </w:r>
      <w:r>
        <w:t xml:space="preserve"> </w:t>
      </w:r>
      <w:r>
        <w:t xml:space="preserve">decay 0.05, 50 epochs with 5 warmup and cosine decay, and the epoch selected on</w:t>
      </w:r>
      <w:r>
        <w:t xml:space="preserve"> </w:t>
      </w:r>
      <w:r>
        <w:t xml:space="preserve">validation AUC. An earlier cheaper full-batch fit disagreed with the primary</w:t>
      </w:r>
      <w:r>
        <w:t xml:space="preserve"> </w:t>
      </w:r>
      <w:r>
        <w:t xml:space="preserve">protocol. Under matched protocols, restricting this check to the null and</w:t>
      </w:r>
      <w:r>
        <w:t xml:space="preserve"> </w:t>
      </w:r>
      <w:r>
        <w:rPr>
          <w:smallCaps/>
        </w:rPr>
        <w:t xml:space="preserve">centroid</w:t>
      </w:r>
      <w:r>
        <w:t xml:space="preserve">, their full-supervision results agree to within</w:t>
      </w:r>
      <w:r>
        <w:t xml:space="preserve"> </w:t>
      </w:r>
      <m:oMath>
        <m:r>
          <m:t>0.0003</m:t>
        </m:r>
      </m:oMath>
      <w:r>
        <w:t xml:space="preserve"> </w:t>
      </w:r>
      <w:r>
        <w:t xml:space="preserve">(</w:t>
      </w:r>
      <m:oMath>
        <m:r>
          <m:t>0.8748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0.8746</m:t>
        </m:r>
      </m:oMath>
      <w:r>
        <w:t xml:space="preserve"> </w:t>
      </w:r>
      <w:r>
        <w:t xml:space="preserve">for the null,</w:t>
      </w:r>
      <w:r>
        <w:t xml:space="preserve"> </w:t>
      </w:r>
      <m:oMath>
        <m:r>
          <m:t>0.8856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0.8855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smallCaps/>
        </w:rPr>
        <w:t xml:space="preserve">centroid</w:t>
      </w:r>
      <w:r>
        <w:t xml:space="preserve">), so the curve</w:t>
      </w:r>
      <w:r>
        <w:t xml:space="preserve"> </w:t>
      </w:r>
      <w:r>
        <w:t xml:space="preserve">below and the headline table describe one probe, not two. This two-arm bound is</w:t>
      </w:r>
      <w:r>
        <w:t xml:space="preserve"> </w:t>
      </w:r>
      <w:r>
        <w:t xml:space="preserve">distinct from the four-arm bound reported in Section </w:t>
      </w:r>
      <w:bookmarkStart w:id="226" w:name="jeparef0105"/>
      <w:r>
        <w:t xml:space="preserve">5.4</w:t>
      </w:r>
      <w:bookmarkEnd w:id="226"/>
      <w:r>
        <w:t xml:space="preserve">.</w:t>
      </w:r>
    </w:p>
    <w:p>
      <w:pPr>
        <w:pStyle w:val="BodyText"/>
      </w:pPr>
      <w:r>
        <w:t xml:space="preserve">The observed mean gap is larger in the low-label probe refits</w:t>
      </w:r>
      <w:r>
        <w:t xml:space="preserve"> </w:t>
      </w:r>
      <w:r>
        <w:t xml:space="preserve">(Table </w:t>
      </w:r>
      <w:bookmarkStart w:id="227" w:name="jeparef0106"/>
      <w:r>
        <w:t xml:space="preserve">11</w:t>
      </w:r>
      <w:bookmarkEnd w:id="227"/>
      <w:r>
        <w:t xml:space="preserve">, Figure </w:t>
      </w:r>
      <w:bookmarkStart w:id="228" w:name="jeparef0107"/>
      <w:r>
        <w:t xml:space="preserve">7</w:t>
      </w:r>
      <w:bookmarkEnd w:id="228"/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of labels (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)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leads the null by</w:t>
      </w:r>
      <w:r>
        <w:t xml:space="preserve"> </w:t>
      </w:r>
      <m:oMath>
        <m:r>
          <m:rPr>
            <m:sty m:val="p"/>
          </m:rPr>
          <m:t>+</m:t>
        </m:r>
        <m:r>
          <m:t>0.0496</m:t>
        </m:r>
      </m:oMath>
      <w:r>
        <w:t xml:space="preserve"> </w:t>
      </w:r>
      <w:r>
        <w:t xml:space="preserve">(</w:t>
      </w:r>
      <m:oMath>
        <m:r>
          <m:t>0.8335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0.7839</m:t>
        </m:r>
      </m:oMath>
      <w:r>
        <w:t xml:space="preserve">), against</w:t>
      </w:r>
      <w:r>
        <w:t xml:space="preserve"> </w:t>
      </w:r>
      <m:oMath>
        <m:r>
          <m:rPr>
            <m:sty m:val="p"/>
          </m:rPr>
          <m:t>+</m:t>
        </m:r>
        <m:r>
          <m:t>0.0108</m:t>
        </m:r>
      </m:oMath>
      <w:r>
        <w:t xml:space="preserve"> </w:t>
      </w:r>
      <w:r>
        <w:t xml:space="preserve">at full</w:t>
      </w:r>
      <w:r>
        <w:t xml:space="preserve"> </w:t>
      </w:r>
      <w:r>
        <w:t xml:space="preserve">supervision, more than four times the margin. At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the gap is wider still</w:t>
      </w:r>
      <w:r>
        <w:t xml:space="preserve"> </w:t>
      </w:r>
      <w:r>
        <w:t xml:space="preserve">(</w:t>
      </w:r>
      <m:oMath>
        <m:r>
          <m:t>0.7576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0.6961</m:t>
        </m:r>
      </m:oMath>
      <w:r>
        <w:t xml:space="preserve">), though the standard deviations there</w:t>
      </w:r>
      <w:r>
        <w:t xml:space="preserve"> </w:t>
      </w:r>
      <w:r>
        <w:t xml:space="preserve">(</w:t>
      </w:r>
      <m:oMath>
        <m:r>
          <m:t>0.0359</m:t>
        </m:r>
      </m:oMath>
      <w:r>
        <w:t xml:space="preserve">–</w:t>
      </w:r>
      <m:oMath>
        <m:r>
          <m:t>0.0368</m:t>
        </m:r>
      </m:oMath>
      <w:r>
        <w:t xml:space="preserve"> </w:t>
      </w:r>
      <w:r>
        <w:t xml:space="preserve">across arms) are large enough that we read the</w:t>
      </w:r>
      <w:r>
        <w:t xml:space="preserve"> </w:t>
      </w:r>
      <w:r>
        <w:t xml:space="preserve">ordering but not its precise size.</w:t>
      </w:r>
    </w:p>
    <w:p>
      <w:pPr>
        <w:pStyle w:val="BodyText"/>
      </w:pPr>
      <w:r>
        <w:t xml:space="preserve">The defective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arm (Appendix </w:t>
      </w:r>
      <w:bookmarkStart w:id="229" w:name="jeparef0108"/>
      <w:r>
        <w:t xml:space="preserve">G</w:t>
      </w:r>
      <w:bookmarkEnd w:id="229"/>
      <w:r>
        <w:t xml:space="preserve">) is the worst arm at</w:t>
      </w:r>
      <w:r>
        <w:t xml:space="preserve"> </w:t>
      </w:r>
      <w:r>
        <w:t xml:space="preserve">every fraction, reaching only</w:t>
      </w:r>
      <w:r>
        <w:t xml:space="preserve"> </w:t>
      </w:r>
      <m:oMath>
        <m:r>
          <m:t>0.6879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0.6961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the null. Without corrected-policy training, that deficit cannot be attributed</w:t>
      </w:r>
      <w:r>
        <w:t xml:space="preserve"> </w:t>
      </w:r>
      <w:r>
        <w:t xml:space="preserve">to truncation rather than the other differences between these implementations.</w:t>
      </w:r>
    </w:p>
    <w:bookmarkStart w:id="230" w:name="tab:labeleff"/>
    <w:p>
      <w:pPr>
        <w:pStyle w:val="TableCaption"/>
      </w:pPr>
      <w:r>
        <w:t xml:space="preserve">Label efficiency: frozen-probe test AUC against the fraction of the</w:t>
      </w:r>
      <w:r>
        <w:t xml:space="preserve"> </w:t>
      </w:r>
      <w:r>
        <w:t xml:space="preserve">labelled training set used. All values measured, 5 repeats per</w:t>
      </w:r>
      <w:r>
        <w:t xml:space="preserve"> </w:t>
      </w:r>
      <w:r>
        <w:t xml:space="preserve">fraction except at full data, which is deterministic.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abel efficiency: frozen-probe test AUC against the fraction of the labelled training set used. All values measured, 5 repeats per fraction except at full data, which is deterministic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cover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0.8586</w:t>
            </w:r>
          </w:p>
        </w:tc>
      </w:tr>
    </w:tbl>
    <w:bookmarkEnd w:id="230"/>
    <w:bookmarkStart w:id="234" w:name="fig:labeleff"/>
    <w:p>
      <w:pPr>
        <w:pStyle w:val="CaptionedFigure"/>
      </w:pPr>
      <w:r>
        <w:drawing>
          <wp:inline>
            <wp:extent cx="3200400" cy="1718733"/>
            <wp:effectExtent b="0" l="0" r="0" t="0"/>
            <wp:docPr descr="" title="" id="232" name="Picture"/>
            <a:graphic>
              <a:graphicData uri="http://schemas.openxmlformats.org/drawingml/2006/picture">
                <pic:pic>
                  <pic:nvPicPr>
                    <pic:cNvPr descr="fig_labeleff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18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Frozen-probe results across label fractions. Shading is one standard</w:t>
      </w:r>
      <w:r>
        <w:t xml:space="preserve"> </w:t>
      </w:r>
      <w:r>
        <w:t xml:space="preserve">deviation over 5 label subsets, with every arm seeing identical</w:t>
      </w:r>
      <w:r>
        <w:t xml:space="preserve"> </w:t>
      </w:r>
      <w:r>
        <w:t xml:space="preserve">subsets. The full-supervision four-arm AUC spread is approximately</w:t>
      </w:r>
      <w:r>
        <w:t xml:space="preserve"> </w:t>
      </w:r>
      <m:oMath>
        <m:r>
          <m:t>0.027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the spread is</w:t>
      </w:r>
      <w:r>
        <w:t xml:space="preserve"> </w:t>
      </w:r>
      <m:oMath>
        <m:r>
          <m:t>0.085</m:t>
        </m:r>
      </m:oMath>
      <w:r>
        <w:t xml:space="preserve">.</w:t>
      </w:r>
    </w:p>
    <w:bookmarkEnd w:id="234"/>
    <w:bookmarkEnd w:id="235"/>
    <w:bookmarkEnd w:id="236"/>
    <w:bookmarkStart w:id="237" w:name="app:interp"/>
    <w:p>
      <w:pPr>
        <w:pStyle w:val="Heading1"/>
      </w:pPr>
      <w:r>
        <w:t xml:space="preserve">Unavailable attribution evidence</w:t>
      </w:r>
    </w:p>
    <w:p>
      <w:pPr>
        <w:pStyle w:val="FirstParagraph"/>
      </w:pPr>
      <w:r>
        <w:t xml:space="preserve">Earlier drafts included occlusion curves and heat maps from fine-tuned models.</w:t>
      </w:r>
      <w:r>
        <w:t xml:space="preserve"> </w:t>
      </w:r>
      <w:r>
        <w:t xml:space="preserve">Their archived images remain available, but the underlying per-volume numerical</w:t>
      </w:r>
      <w:r>
        <w:t xml:space="preserve"> </w:t>
      </w:r>
      <w:r>
        <w:t xml:space="preserve">arrays and a complete normalization record are not retained in the evidence</w:t>
      </w:r>
      <w:r>
        <w:t xml:space="preserve"> </w:t>
      </w:r>
      <w:r>
        <w:t xml:space="preserve">used for this submission. We therefore exclude those quantitative displays and</w:t>
      </w:r>
      <w:r>
        <w:t xml:space="preserve"> </w:t>
      </w:r>
      <w:r>
        <w:t xml:space="preserve">do not use them to support spatial-consistency, laterality or masking-mechanism</w:t>
      </w:r>
      <w:r>
        <w:t xml:space="preserve"> </w:t>
      </w:r>
      <w:r>
        <w:t xml:space="preserve">claims. This does not change the saved frozen-probe AUC comparisons.</w:t>
      </w:r>
      <w:r>
        <w:t xml:space="preserve"> </w:t>
      </w:r>
      <w:r>
        <w:t xml:space="preserve">Recovering the producing arrays, checkpoint identities and plotting transforms</w:t>
      </w:r>
      <w:r>
        <w:t xml:space="preserve"> </w:t>
      </w:r>
      <w:r>
        <w:t xml:space="preserve">would be necessary before restoring those analyses. No new attribution campaign</w:t>
      </w:r>
      <w:r>
        <w:t xml:space="preserve"> </w:t>
      </w:r>
      <w:r>
        <w:t xml:space="preserve">was run to replace the missing evidence.</w:t>
      </w:r>
    </w:p>
    <w:bookmarkEnd w:id="237"/>
    <w:bookmarkStart w:id="251" w:name="app:operating"/>
    <w:p>
      <w:pPr>
        <w:pStyle w:val="Heading1"/>
      </w:pPr>
      <w:r>
        <w:t xml:space="preserve">Clinical operating points and calibration</w:t>
      </w:r>
    </w:p>
    <w:p>
      <w:pPr>
        <w:pStyle w:val="FirstParagraph"/>
      </w:pPr>
      <w:r>
        <w:t xml:space="preserve">AUC is threshold-free, but a screening tool is deployed at a threshold. The</w:t>
      </w:r>
      <w:r>
        <w:t xml:space="preserve"> </w:t>
      </w:r>
      <w:r>
        <w:t xml:space="preserve">threshold is selected on the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arm’s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split at a</w:t>
      </w:r>
      <w:r>
        <w:t xml:space="preserve"> </w:t>
      </w:r>
      <w:r>
        <w:t xml:space="preserve">fixed target specificity and then applied unchanged to every arm on the test</w:t>
      </w:r>
      <w:r>
        <w:t xml:space="preserve"> </w:t>
      </w:r>
      <w:r>
        <w:t xml:space="preserve">split: one shared threshold rather than one selected separately for each arm.</w:t>
      </w:r>
      <w:r>
        <w:t xml:space="preserve"> </w:t>
      </w:r>
      <w:r>
        <w:t xml:space="preserve">This is a threshold-transfer analysis, not a clinical deployment evaluation.</w:t>
      </w:r>
      <w:r>
        <w:t xml:space="preserve"> </w:t>
      </w:r>
      <w:r>
        <w:t xml:space="preserve">The achieved test specificity shows whether the threshold</w:t>
      </w:r>
      <w:r>
        <w:t xml:space="preserve"> </w:t>
      </w:r>
      <w:r>
        <w:t xml:space="preserve">survives the shift. Cohort prevalence is</w:t>
      </w:r>
      <w:r>
        <w:t xml:space="preserve"> </w:t>
      </w:r>
      <m:oMath>
        <m:r>
          <m:t>0.4887</m:t>
        </m:r>
      </m:oMath>
      <w:r>
        <w:t xml:space="preserve">.</w:t>
      </w:r>
    </w:p>
    <w:bookmarkStart w:id="238" w:name="tab:operating"/>
    <w:p>
      <w:pPr>
        <w:pStyle w:val="TableCaption"/>
      </w:pPr>
      <w:r>
        <w:t xml:space="preserve">Operating points at matched epoch 100. One threshold, chosen on the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validation split to hit the target specificity, is applied</w:t>
      </w:r>
      <w:r>
        <w:t xml:space="preserve"> </w:t>
      </w:r>
      <w:r>
        <w:t xml:space="preserve">unchanged to all arms on test. ECE is a</w:t>
      </w:r>
      <w:r>
        <w:t xml:space="preserve"> </w:t>
      </w:r>
      <w:r>
        <w:t xml:space="preserve">15-bin expected calibration error.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ng points at matched epoch 100. One threshold, chosen on the random validation split to hit the target specificity, is applied unchanged to all arms on test. ECE is a 15-bin expected calibration error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spec. (test)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PPV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NPV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0.0320</w:t>
            </w:r>
          </w:p>
        </w:tc>
      </w:tr>
    </w:tbl>
    <w:bookmarkEnd w:id="238"/>
    <w:p>
      <w:pPr>
        <w:pStyle w:val="BodyText"/>
      </w:pPr>
      <w:r>
        <w:t xml:space="preserve">Two observations (Table </w:t>
      </w:r>
      <w:bookmarkStart w:id="239" w:name="jeparef0109"/>
      <w:r>
        <w:t xml:space="preserve">12</w:t>
      </w:r>
      <w:bookmarkEnd w:id="239"/>
      <w:r>
        <w:t xml:space="preserve">). First, the threshold transfers</w:t>
      </w:r>
      <w:r>
        <w:t xml:space="preserve"> </w:t>
      </w:r>
      <w:r>
        <w:t xml:space="preserve">imperfectly: a validation target</w:t>
      </w:r>
      <w:r>
        <w:t xml:space="preserve"> </w:t>
      </w:r>
      <w:r>
        <w:t xml:space="preserve">of</w:t>
      </w:r>
      <w:r>
        <w:t xml:space="preserve"> </w:t>
      </w:r>
      <m:oMath>
        <m:r>
          <m:t>0.90</m:t>
        </m:r>
      </m:oMath>
      <w:r>
        <w:t xml:space="preserve"> </w:t>
      </w:r>
      <w:r>
        <w:t xml:space="preserve">yields test specificity</w:t>
      </w:r>
      <w:r>
        <w:t xml:space="preserve"> </w:t>
      </w:r>
      <m:oMath>
        <m:r>
          <m:t>0.8696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0.8807</m:t>
        </m:r>
      </m:oMath>
      <w:r>
        <w:t xml:space="preserve"> </w:t>
      </w:r>
      <w:r>
        <w:t xml:space="preserve">across the three arms, so the operating point moves</w:t>
      </w:r>
      <w:r>
        <w:t xml:space="preserve"> </w:t>
      </w:r>
      <w:r>
        <w:t xml:space="preserve">by roughly one point between arms and the comparison below is at a shared</w:t>
      </w:r>
      <w:r>
        <w:t xml:space="preserve"> </w:t>
      </w:r>
      <w:r>
        <w:t xml:space="preserve">threshold rather than at a shared false-positive rate.</w:t>
      </w:r>
      <w:r>
        <w:t xml:space="preserve"> </w:t>
      </w:r>
      <w:r>
        <w:t xml:space="preserve">Second, sensitivity is higher at this shared threshold. At a target</w:t>
      </w:r>
      <w:r>
        <w:t xml:space="preserve"> </w:t>
      </w:r>
      <w:r>
        <w:t xml:space="preserve">specificity of</w:t>
      </w:r>
      <w:r>
        <w:t xml:space="preserve"> </w:t>
      </w:r>
      <m:oMath>
        <m:r>
          <m:t>0.90</m:t>
        </m:r>
      </m:oMath>
      <w:r>
        <w:t xml:space="preserve">,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detects</w:t>
      </w:r>
      <w:r>
        <w:t xml:space="preserve"> </w:t>
      </w:r>
      <m:oMath>
        <m:r>
          <m:t>0.7428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cases against</w:t>
      </w:r>
      <w:r>
        <w:t xml:space="preserve"> </w:t>
      </w:r>
      <m:oMath>
        <m:r>
          <m:t>0.7162</m:t>
        </m:r>
      </m:oMath>
      <w:r>
        <w:t xml:space="preserve"> </w:t>
      </w:r>
      <w:r>
        <w:t xml:space="preserve">for the unguided null, a paired difference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+</m:t>
        </m:r>
        <m:r>
          <m:t>0.0266</m:t>
        </m:r>
      </m:oMath>
      <w:r>
        <w:t xml:space="preserve"> </w:t>
      </w:r>
      <w:r>
        <w:t xml:space="preserve">(CI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0.0136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+</m:t>
        </m:r>
        <m:r>
          <m:t>0.0396</m:t>
        </m:r>
        <m:r>
          <m:rPr>
            <m:sty m:val="p"/>
          </m:rPr>
          <m:t>]</m:t>
        </m:r>
      </m:oMath>
      <w:r>
        <w:t xml:space="preserve">, excluding zero),</w:t>
      </w:r>
      <w:r>
        <w:t xml:space="preserve"> </w:t>
      </w:r>
      <w:r>
        <w:t xml:space="preserve">with the specificity caveat above. At</w:t>
      </w:r>
      <w:r>
        <w:t xml:space="preserve"> </w:t>
      </w:r>
      <w:r>
        <w:t xml:space="preserve">a target of</w:t>
      </w:r>
      <w:r>
        <w:t xml:space="preserve"> </w:t>
      </w:r>
      <m:oMath>
        <m:r>
          <m:t>0.85</m:t>
        </m:r>
      </m:oMath>
      <w:r>
        <w:t xml:space="preserve"> </w:t>
      </w:r>
      <w:r>
        <w:t xml:space="preserve">the gain is</w:t>
      </w:r>
      <w:r>
        <w:t xml:space="preserve"> </w:t>
      </w:r>
      <m:oMath>
        <m:r>
          <m:rPr>
            <m:sty m:val="p"/>
          </m:rPr>
          <m:t>+</m:t>
        </m:r>
        <m:r>
          <m:t>0.0150</m:t>
        </m:r>
      </m:oMath>
      <w:r>
        <w:t xml:space="preserve"> </w:t>
      </w:r>
      <w:r>
        <w:t xml:space="preserve">(CI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0.0020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+</m:t>
        </m:r>
        <m:r>
          <m:t>0.0280</m:t>
        </m:r>
        <m:r>
          <m:rPr>
            <m:sty m:val="p"/>
          </m:rPr>
          <m:t>]</m:t>
        </m:r>
      </m:oMath>
      <w:r>
        <w:t xml:space="preserve">). These four arm-by-target CIs use</w:t>
      </w:r>
      <w:r>
        <w:t xml:space="preserve"> </w:t>
      </w:r>
      <w:r>
        <w:t xml:space="preserve">10</w:t>
      </w:r>
      <w:r>
        <w:t xml:space="preserve">,</w:t>
      </w:r>
      <w:r>
        <w:t xml:space="preserve">000 class-stratified percentile subject resamples with fitted heads and</w:t>
      </w:r>
      <w:r>
        <w:t xml:space="preserve"> </w:t>
      </w:r>
      <w:r>
        <w:t xml:space="preserve">thresholds fixed. They are one unadjusted exploratory family.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also has</w:t>
      </w:r>
      <w:r>
        <w:t xml:space="preserve"> </w:t>
      </w:r>
      <w:r>
        <w:t xml:space="preserve">lower measured overall Brier score (</w:t>
      </w:r>
      <m:oMath>
        <m:r>
          <m:t>0.1341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0.1416</m:t>
        </m:r>
      </m:oMath>
      <w:r>
        <w:t xml:space="preserve">)</w:t>
      </w:r>
      <w:r>
        <w:t xml:space="preserve"> </w:t>
      </w:r>
      <w:r>
        <w:t xml:space="preserve">and ECE (</w:t>
      </w:r>
      <m:oMath>
        <m:r>
          <m:t>0.0320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0.0355</m:t>
        </m:r>
      </m:oMath>
      <w:r>
        <w:t xml:space="preserve">). These are calibration point</w:t>
      </w:r>
      <w:r>
        <w:t xml:space="preserve"> </w:t>
      </w:r>
      <w:r>
        <w:t xml:space="preserve">estimates on this split, without uncertainty or a reliability-curve comparison;</w:t>
      </w:r>
      <w:r>
        <w:t xml:space="preserve"> </w:t>
      </w:r>
      <w:r>
        <w:t xml:space="preserve">they do not establish uniformly better calibration across subgroups.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w:r>
        <w:t xml:space="preserve">AUC difference is hard to interpret clinically, and the ROC curves are</w:t>
      </w:r>
      <w:r>
        <w:t xml:space="preserve"> </w:t>
      </w:r>
      <w:r>
        <w:t xml:space="preserve">nearly superimposed (Figure </w:t>
      </w:r>
      <w:bookmarkStart w:id="240" w:name="jeparef0110"/>
      <w:r>
        <w:t xml:space="preserve">8</w:t>
      </w:r>
      <w:bookmarkEnd w:id="240"/>
      <w:r>
        <w:t xml:space="preserve">), whereas a change in cases detected at</w:t>
      </w:r>
      <w:r>
        <w:t xml:space="preserve"> </w:t>
      </w:r>
      <w:r>
        <w:t xml:space="preserve">a fixed threshold is not. We state that comparison carefully:</w:t>
      </w:r>
      <w:r>
        <w:t xml:space="preserve"> </w:t>
      </w:r>
      <w:r>
        <w:t xml:space="preserve">transferring one threshold moves achieved specificity from</w:t>
      </w:r>
      <w:r>
        <w:t xml:space="preserve"> </w:t>
      </w:r>
      <m:oMath>
        <m:r>
          <m:t>0.8794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0.8696</m:t>
        </m:r>
      </m:oMath>
      <w:r>
        <w:t xml:space="preserve">, so the arms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compared at an</w:t>
      </w:r>
      <w:r>
        <w:t xml:space="preserve"> </w:t>
      </w:r>
      <w:r>
        <w:t xml:space="preserve">identical false-positive rate and the sensitivity change partly reflects that</w:t>
      </w:r>
      <w:r>
        <w:t xml:space="preserve"> </w:t>
      </w:r>
      <w:r>
        <w:t xml:space="preserve">shift. A deployment-grade comparison would select each arm’s threshold on</w:t>
      </w:r>
      <w:r>
        <w:t xml:space="preserve"> </w:t>
      </w:r>
      <w:r>
        <w:t xml:space="preserve">validation to meet the same specificity, lock it, and evaluate on an untouched</w:t>
      </w:r>
      <w:r>
        <w:t xml:space="preserve"> </w:t>
      </w:r>
      <w:r>
        <w:t xml:space="preserve">cohort. One dataset, one split, one pretraining run per policy.</w:t>
      </w:r>
    </w:p>
    <w:bookmarkStart w:id="242" w:name="X632bc1518ff43798acf9bb8525a999cdb660752"/>
    <w:p>
      <w:pPr>
        <w:pStyle w:val="Heading4"/>
      </w:pPr>
      <w:r>
        <w:t xml:space="preserve">Who receives the benefit at the deployed threshold.</w:t>
      </w:r>
    </w:p>
    <w:p>
      <w:pPr>
        <w:pStyle w:val="FirstParagraph"/>
      </w:pPr>
      <w:r>
        <w:t xml:space="preserve">Subgroup AUC is</w:t>
      </w:r>
      <w:r>
        <w:t xml:space="preserve"> </w:t>
      </w:r>
      <w:r>
        <w:t xml:space="preserve">also threshold-free, so it cannot answer the question a deployment actually</w:t>
      </w:r>
      <w:r>
        <w:t xml:space="preserve"> </w:t>
      </w:r>
      <w:r>
        <w:t xml:space="preserve">raises: a screen ships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threshold shared by everyone, and a model can</w:t>
      </w:r>
      <w:r>
        <w:t xml:space="preserve"> </w:t>
      </w:r>
      <w:r>
        <w:t xml:space="preserve">lift every subgroup’s AUC while delivering the gain unevenly at that single</w:t>
      </w:r>
      <w:r>
        <w:t xml:space="preserve"> </w:t>
      </w:r>
      <w:r>
        <w:t xml:space="preserve">operating point. We therefore fix the threshold on validation at specificity</w:t>
      </w:r>
      <w:r>
        <w:t xml:space="preserve"> </w:t>
      </w:r>
      <m:oMath>
        <m:r>
          <m:t>0.90</m:t>
        </m:r>
      </m:oMath>
      <w:r>
        <w:t xml:space="preserve"> </w:t>
      </w:r>
      <w:r>
        <w:t xml:space="preserve">(</w:t>
      </w:r>
      <m:oMath>
        <m:r>
          <m:t>0.5552</m:t>
        </m:r>
      </m:oMath>
      <w:r>
        <w:t xml:space="preserve">), transfer it unchanged, and measure the</w:t>
      </w:r>
      <w:r>
        <w:t xml:space="preserve"> </w:t>
      </w:r>
      <w:r>
        <w:t xml:space="preserve">change in sensitivity within each stratum</w:t>
      </w:r>
      <w:r>
        <w:t xml:space="preserve"> </w:t>
      </w:r>
      <w:r>
        <w:t xml:space="preserve">(Table </w:t>
      </w:r>
      <w:bookmarkStart w:id="241" w:name="jeparef0111"/>
      <w:r>
        <w:t xml:space="preserve">13</w:t>
      </w:r>
      <w:bookmarkEnd w:id="241"/>
      <w:r>
        <w:t xml:space="preserve">). Overall sensitivity rises from</w:t>
      </w:r>
      <w:r>
        <w:t xml:space="preserve"> </w:t>
      </w:r>
      <m:oMath>
        <m:r>
          <m:t>0.7162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0.7428</m:t>
        </m:r>
      </m:oMath>
      <w:r>
        <w:t xml:space="preserve">.</w:t>
      </w:r>
    </w:p>
    <w:p>
      <w:pPr>
        <w:pStyle w:val="BodyText"/>
      </w:pPr>
      <w:r>
        <w:t xml:space="preserve">The point estimates alone suggest the gain is concentrated in the largest group:</w:t>
      </w:r>
      <w:r>
        <w:t xml:space="preserve"> </w:t>
      </w:r>
      <m:oMath>
        <m:r>
          <m:rPr>
            <m:sty m:val="p"/>
          </m:rPr>
          <m:t>+</m:t>
        </m:r>
        <m:r>
          <m:t>0.0343</m:t>
        </m:r>
      </m:oMath>
      <w:r>
        <w:t xml:space="preserve"> </w:t>
      </w:r>
      <w:r>
        <w:t xml:space="preserve">for white patients against</w:t>
      </w:r>
      <w:r>
        <w:t xml:space="preserve"> </w:t>
      </w:r>
      <m:oMath>
        <m:r>
          <m:rPr>
            <m:sty m:val="p"/>
          </m:rPr>
          <m:t>+</m:t>
        </m:r>
        <m:r>
          <m:t>0.0037</m:t>
        </m:r>
      </m:oMath>
      <w:r>
        <w:t xml:space="preserve"> </w:t>
      </w:r>
      <w:r>
        <w:t xml:space="preserve">for black patients, an</w:t>
      </w:r>
      <w:r>
        <w:t xml:space="preserve"> </w:t>
      </w:r>
      <w:r>
        <w:t xml:space="preserve">apparent ninefold difference.</w:t>
      </w:r>
      <w:r>
        <w:t xml:space="preserve"> </w:t>
      </w:r>
      <w:r>
        <w:rPr>
          <w:b/>
          <w:bCs/>
        </w:rPr>
        <w:t xml:space="preserve">The intervals do not support that reading.</w:t>
      </w:r>
      <w:r>
        <w:t xml:space="preserve"> </w:t>
      </w:r>
      <w:r>
        <w:t xml:space="preserve">The black interval (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0.0375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+</m:t>
        </m:r>
        <m:r>
          <m:t>0.0449</m:t>
        </m:r>
        <m:r>
          <m:rPr>
            <m:sty m:val="p"/>
          </m:rPr>
          <m:t>]</m:t>
        </m:r>
      </m:oMath>
      <w:r>
        <w:t xml:space="preserve">) reaches almost exactly the white point</w:t>
      </w:r>
      <w:r>
        <w:t xml:space="preserve"> </w:t>
      </w:r>
      <w:r>
        <w:t xml:space="preserve">estimate, so the two are not separated. What distinguishes them is positive</w:t>
      </w:r>
      <w:r>
        <w:t xml:space="preserve"> </w:t>
      </w:r>
      <w:r>
        <w:t xml:space="preserve">count (</w:t>
      </w:r>
      <m:oMath>
        <m:r>
          <m:t>1080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268</m:t>
        </m:r>
      </m:oMath>
      <w:r>
        <w:t xml:space="preserve">), not demonstrated benefit. Only</w:t>
      </w:r>
      <w:r>
        <w:t xml:space="preserve"> </w:t>
      </w:r>
      <w:r>
        <w:t xml:space="preserve">the white, female and male gains exclude zero. All three remain after simultaneous</w:t>
      </w:r>
      <w:r>
        <w:t xml:space="preserve"> </w:t>
      </w:r>
      <w:r>
        <w:t xml:space="preserve">adjustment over the five-contrast family, and they are the three largest strata.</w:t>
      </w:r>
      <w:r>
        <w:t xml:space="preserve"> </w:t>
      </w:r>
      <w:r>
        <w:t xml:space="preserve">This is a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limitation of the cohort: the study cannot certify</w:t>
      </w:r>
      <w:r>
        <w:t xml:space="preserve"> </w:t>
      </w:r>
      <w:r>
        <w:t xml:space="preserve">that the smaller strata benefit, and equally cannot show they do not. Certifying</w:t>
      </w:r>
      <w:r>
        <w:t xml:space="preserve"> </w:t>
      </w:r>
      <w:r>
        <w:t xml:space="preserve">subgroup benefit at a deployed</w:t>
      </w:r>
      <w:r>
        <w:t xml:space="preserve"> </w:t>
      </w:r>
      <w:r>
        <w:t xml:space="preserve">threshold would need a cohort with more positives in the smaller strata.</w:t>
      </w:r>
    </w:p>
    <w:bookmarkEnd w:id="242"/>
    <w:bookmarkStart w:id="243" w:name="Xbe0f4953153359076bf0e864c836b3619315845"/>
    <w:p>
      <w:pPr>
        <w:pStyle w:val="Heading4"/>
      </w:pPr>
      <w:r>
        <w:t xml:space="preserve">The threshold itself does not transfer evenly across strata.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same table answers a question the sensitivity column does not. A threshold</w:t>
      </w:r>
      <w:r>
        <w:t xml:space="preserve"> </w:t>
      </w:r>
      <w:r>
        <w:t xml:space="preserve">selected on validation to achieve specificity</w:t>
      </w:r>
      <w:r>
        <w:t xml:space="preserve"> </w:t>
      </w:r>
      <m:oMath>
        <m:r>
          <m:t>0.90</m:t>
        </m:r>
      </m:oMath>
      <w:r>
        <w:t xml:space="preserve"> </w:t>
      </w:r>
      <w:r>
        <w:t xml:space="preserve">does not achieve it</w:t>
      </w:r>
      <w:r>
        <w:t xml:space="preserve"> </w:t>
      </w:r>
      <w:r>
        <w:t xml:space="preserve">uniformly on test: under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it realises</w:t>
      </w:r>
      <w:r>
        <w:t xml:space="preserve"> </w:t>
      </w:r>
      <m:oMath>
        <m:r>
          <m:t>0.895</m:t>
        </m:r>
      </m:oMath>
      <w:r>
        <w:t xml:space="preserve"> </w:t>
      </w:r>
      <w:r>
        <w:t xml:space="preserve">specificity in the</w:t>
      </w:r>
      <w:r>
        <w:t xml:space="preserve"> </w:t>
      </w:r>
      <w:r>
        <w:t xml:space="preserve">white stratum but</w:t>
      </w:r>
      <w:r>
        <w:t xml:space="preserve"> </w:t>
      </w:r>
      <m:oMath>
        <m:r>
          <m:t>0.736</m:t>
        </m:r>
      </m:oMath>
      <w:r>
        <w:t xml:space="preserve"> </w:t>
      </w:r>
      <w:r>
        <w:t xml:space="preserve">in the black stratum, a shortfall of roughly sixteen</w:t>
      </w:r>
      <w:r>
        <w:t xml:space="preserve"> </w:t>
      </w:r>
      <w:r>
        <w:t xml:space="preserve">points, and under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the same threshold realises</w:t>
      </w:r>
      <w:r>
        <w:t xml:space="preserve"> </w:t>
      </w:r>
      <m:oMath>
        <m:r>
          <m:t>0.879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0.761</m:t>
        </m:r>
      </m:oMath>
      <w:r>
        <w:t xml:space="preserve">.</w:t>
      </w:r>
      <w:r>
        <w:t xml:space="preserve"> </w:t>
      </w:r>
      <w:r>
        <w:t xml:space="preserve">The shortfall is therefore a property of transferring one threshold to a cohort</w:t>
      </w:r>
      <w:r>
        <w:t xml:space="preserve"> </w:t>
      </w:r>
      <w:r>
        <w:t xml:space="preserve">whose strata have different score distributions, and it is present under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arms. No masking policy here causes it and none of them repairs it.</w:t>
      </w:r>
      <w:r>
        <w:t xml:space="preserve"> </w:t>
      </w:r>
      <w:r>
        <w:t xml:space="preserve">For a screening context this is a larger effect than any AUC difference in this</w:t>
      </w:r>
      <w:r>
        <w:t xml:space="preserve"> </w:t>
      </w:r>
      <w:r>
        <w:t xml:space="preserve">paper.</w:t>
      </w:r>
    </w:p>
    <w:bookmarkEnd w:id="243"/>
    <w:bookmarkStart w:id="250" w:name="X4b167da261785c041e7d9b684323b21ac933338"/>
    <w:p>
      <w:pPr>
        <w:pStyle w:val="Heading4"/>
      </w:pPr>
      <w:r>
        <w:t xml:space="preserve">The sensitivity gain is not a uniform trade.</w:t>
      </w:r>
    </w:p>
    <w:p>
      <w:pPr>
        <w:pStyle w:val="FirstParagraph"/>
      </w:pPr>
      <w:r>
        <w:t xml:space="preserve">Reporting sensitivity</w:t>
      </w:r>
      <w:r>
        <w:t xml:space="preserve"> </w:t>
      </w:r>
      <w:r>
        <w:t xml:space="preserve">alone would make the change from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look like pure</w:t>
      </w:r>
      <w:r>
        <w:t xml:space="preserve"> </w:t>
      </w:r>
      <w:r>
        <w:t xml:space="preserve">benefit where it is in fact a trade. In the white stratum sensitivity rises by</w:t>
      </w:r>
      <w:r>
        <w:t xml:space="preserve"> </w:t>
      </w:r>
      <m:oMath>
        <m:r>
          <m:rPr>
            <m:sty m:val="p"/>
          </m:rPr>
          <m:t>+</m:t>
        </m:r>
        <m:r>
          <m:t>0.034</m:t>
        </m:r>
      </m:oMath>
      <w:r>
        <w:t xml:space="preserve"> </w:t>
      </w:r>
      <w:r>
        <w:t xml:space="preserve">while specificity falls by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. In the black stratum specificity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+</m:t>
        </m:r>
        <m:r>
          <m:t>0.025</m:t>
        </m:r>
      </m:oMath>
      <w:r>
        <w:t xml:space="preserve"> </w:t>
      </w:r>
      <w:r>
        <w:t xml:space="preserve">and in the asian stratum by</w:t>
      </w:r>
      <w:r>
        <w:t xml:space="preserve"> </w:t>
      </w:r>
      <m:oMath>
        <m:r>
          <m:rPr>
            <m:sty m:val="p"/>
          </m:rPr>
          <m:t>+</m:t>
        </m:r>
        <m:r>
          <m:t>0.008</m:t>
        </m:r>
      </m:oMath>
      <w:r>
        <w:t xml:space="preserve">, alongside</w:t>
      </w:r>
      <w:r>
        <w:t xml:space="preserve"> </w:t>
      </w:r>
      <w:r>
        <w:t xml:space="preserve">sensitivity changes (</w:t>
      </w:r>
      <m:oMath>
        <m:r>
          <m:rPr>
            <m:sty m:val="p"/>
          </m:rPr>
          <m:t>+</m:t>
        </m:r>
        <m:r>
          <m:t>0.004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0.008</m:t>
        </m:r>
      </m:oMath>
      <w:r>
        <w:t xml:space="preserve">) whose intervals contain zero. By</w:t>
      </w:r>
      <w:r>
        <w:t xml:space="preserve"> </w:t>
      </w:r>
      <w:r>
        <w:t xml:space="preserve">gender, both strata gain sensitivity (</w:t>
      </w:r>
      <m:oMath>
        <m:r>
          <m:rPr>
            <m:sty m:val="p"/>
          </m:rPr>
          <m:t>+</m:t>
        </m:r>
        <m:r>
          <m:t>0.026</m:t>
        </m:r>
      </m:oMath>
      <w:r>
        <w:t xml:space="preserve"> </w:t>
      </w:r>
      <w:r>
        <w:t xml:space="preserve">female,</w:t>
      </w:r>
      <w:r>
        <w:t xml:space="preserve"> </w:t>
      </w:r>
      <m:oMath>
        <m:r>
          <m:rPr>
            <m:sty m:val="p"/>
          </m:rPr>
          <m:t>+</m:t>
        </m:r>
        <m:r>
          <m:t>0.027</m:t>
        </m:r>
      </m:oMath>
      <w:r>
        <w:t xml:space="preserve"> </w:t>
      </w:r>
      <w:r>
        <w:t xml:space="preserve">male) and lose</w:t>
      </w:r>
      <w:r>
        <w:t xml:space="preserve"> </w:t>
      </w:r>
      <w:r>
        <w:t xml:space="preserve">specificity (</w:t>
      </w:r>
      <m:oMath>
        <m:r>
          <m:rPr>
            <m:sty m:val="p"/>
          </m:rPr>
          <m:t>−</m:t>
        </m:r>
        <m:r>
          <m:t>0.008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). Subgroup calibration moves the same way and</w:t>
      </w:r>
      <w:r>
        <w:t xml:space="preserve"> </w:t>
      </w:r>
      <w:r>
        <w:t xml:space="preserve">not entirely in our favour: expected calibration error improves overall</w:t>
      </w:r>
      <w:r>
        <w:t xml:space="preserve"> </w:t>
      </w:r>
      <w:r>
        <w:t xml:space="preserve">(</w:t>
      </w:r>
      <m:oMath>
        <m:r>
          <m:t>0.0355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0.0320</m:t>
        </m:r>
      </m:oMath>
      <w:r>
        <w:t xml:space="preserve">) and in the white (</w:t>
      </w:r>
      <m:oMath>
        <m:r>
          <m:t>0.0382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0.0321</m:t>
        </m:r>
      </m:oMath>
      <w:r>
        <w:t xml:space="preserve">) and asian</w:t>
      </w:r>
      <w:r>
        <w:t xml:space="preserve"> </w:t>
      </w:r>
      <w:r>
        <w:t xml:space="preserve">(</w:t>
      </w:r>
      <m:oMath>
        <m:r>
          <m:t>0.0832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0.0729</m:t>
        </m:r>
      </m:oMath>
      <w:r>
        <w:t xml:space="preserve">) strata, but</w:t>
      </w:r>
      <w:r>
        <w:t xml:space="preserve"> </w:t>
      </w:r>
      <w:r>
        <w:rPr>
          <w:i/>
          <w:iCs/>
        </w:rPr>
        <w:t xml:space="preserve">worsens</w:t>
      </w:r>
      <w:r>
        <w:t xml:space="preserve"> </w:t>
      </w:r>
      <w:r>
        <w:t xml:space="preserve">in the black stratum</w:t>
      </w:r>
      <w:r>
        <w:t xml:space="preserve"> </w:t>
      </w:r>
      <w:r>
        <w:t xml:space="preserve">(</w:t>
      </w:r>
      <m:oMath>
        <m:r>
          <m:t>0.0525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0.0569</m:t>
        </m:r>
      </m:oMath>
      <w:r>
        <w:t xml:space="preserve">). Race is the only attribute for which we report</w:t>
      </w:r>
      <w:r>
        <w:t xml:space="preserve"> </w:t>
      </w:r>
      <w:r>
        <w:t xml:space="preserve">stratified calibration. All values in these two paragraphs are measured at the</w:t>
      </w:r>
      <w:r>
        <w:t xml:space="preserve"> </w:t>
      </w:r>
      <w:r>
        <w:t xml:space="preserve">same shared threshold as Table </w:t>
      </w:r>
      <w:bookmarkStart w:id="244" w:name="jeparef0112"/>
      <w:r>
        <w:t xml:space="preserve">13</w:t>
      </w:r>
      <w:bookmarkEnd w:id="244"/>
      <w:r>
        <w:t xml:space="preserve">, and the comparison remains at a</w:t>
      </w:r>
      <w:r>
        <w:t xml:space="preserve"> </w:t>
      </w:r>
      <w:r>
        <w:t xml:space="preserve">shared threshold rather than at a shared realised false-positive rate.</w:t>
      </w:r>
    </w:p>
    <w:bookmarkStart w:id="245" w:name="tab:subop"/>
    <w:p>
      <w:pPr>
        <w:pStyle w:val="TableCaption"/>
      </w:pPr>
      <w:r>
        <w:t xml:space="preserve">Change in sensitivity from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at one shared</w:t>
      </w:r>
      <w:r>
        <w:t xml:space="preserve"> </w:t>
      </w:r>
      <w:r>
        <w:t xml:space="preserve">validation-selected threshold, by stratum. The five contrasts form one</w:t>
      </w:r>
      <w:r>
        <w:t xml:space="preserve"> </w:t>
      </w:r>
      <w:r>
        <w:t xml:space="preserve">exploratory family. Reported CIs are 95% single-step max-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</m:oMath>
      <w:r>
        <w:t xml:space="preserve"> </w:t>
      </w:r>
      <w:r>
        <w:t xml:space="preserve">simultaneous</w:t>
      </w:r>
      <w:r>
        <w:t xml:space="preserve"> </w:t>
      </w:r>
      <w:r>
        <w:t xml:space="preserve">intervals from 10</w:t>
      </w:r>
      <w:r>
        <w:t xml:space="preserve">,</w:t>
      </w:r>
      <w:r>
        <w:t xml:space="preserve">000 paired positive-subject resamples shared across both</w:t>
      </w:r>
      <w:r>
        <w:t xml:space="preserve"> </w:t>
      </w:r>
      <w:r>
        <w:t xml:space="preserve">fixed heads and all five overlapping race and gender strata, with heads and</w:t>
      </w:r>
      <w:r>
        <w:t xml:space="preserve"> </w:t>
      </w:r>
      <w:r>
        <w:t xml:space="preserve">threshold fixed (family-wise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White,</w:t>
      </w:r>
      <w:r>
        <w:t xml:space="preserve"> </w:t>
      </w:r>
      <w:r>
        <w:t xml:space="preserve">female and male remain above zero after adjustment. Epoch 100.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hange in sensitivity from random to centroid at one shared validation-selected threshold, by stratum. The five contrasts form one exploratory family. Reported CIs are 95% single-step max-|t| simultaneous intervals from 10,000 paired positive-subject resamples shared across both fixed heads and all five overlapping race and gender strata, with heads and threshold fixed (family-wise \alpha=0.05). White, female and male remain above zero after adjustment. Epoch 100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positives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simultaneous 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excludes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0.0085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0.0485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+</m:t>
              </m:r>
              <m:r>
                <m:t>0.0654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0.0037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0.0375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+</m:t>
              </m:r>
              <m:r>
                <m:t>0.0449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0.0343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+</m:t>
              </m:r>
              <m:r>
                <m:t>0.0149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+</m:t>
              </m:r>
              <m:r>
                <m:t>0.0536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0.0259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+</m:t>
              </m:r>
              <m:r>
                <m:t>0.0020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+</m:t>
              </m:r>
              <m:r>
                <m:t>0.0498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0.0275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+</m:t>
              </m:r>
              <m:r>
                <m:t>0.0043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+</m:t>
              </m:r>
              <m:r>
                <m:t>0.0507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bookmarkEnd w:id="245"/>
    <w:bookmarkStart w:id="249" w:name="fig:roc"/>
    <w:p>
      <w:pPr>
        <w:pStyle w:val="CaptionedFigure"/>
      </w:pPr>
      <w:r>
        <w:drawing>
          <wp:inline>
            <wp:extent cx="3307080" cy="3166736"/>
            <wp:effectExtent b="0" l="0" r="0" t="0"/>
            <wp:docPr descr="" title="" id="247" name="Picture"/>
            <a:graphic>
              <a:graphicData uri="http://schemas.openxmlformats.org/drawingml/2006/picture">
                <pic:pic>
                  <pic:nvPicPr>
                    <pic:cNvPr descr="fig_roc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3166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 curves at epoch 100 on the 3000 test volumes. The three arms</w:t>
      </w:r>
      <w:r>
        <w:t xml:space="preserve"> </w:t>
      </w:r>
      <w:r>
        <w:t xml:space="preserve">plotted are nearly superimposed: the separation reported</w:t>
      </w:r>
      <w:r>
        <w:t xml:space="preserve"> </w:t>
      </w:r>
      <w:r>
        <w:t xml:space="preserve">throughout this paper is a small, consistent shift in the high-specificity</w:t>
      </w:r>
      <w:r>
        <w:t xml:space="preserve"> </w:t>
      </w:r>
      <w:r>
        <w:t xml:space="preserve">region rather than a difference visible in the curve as a whole. We include this</w:t>
      </w:r>
      <w:r>
        <w:t xml:space="preserve"> </w:t>
      </w:r>
      <w:r>
        <w:t xml:space="preserve">so the effect size is not overstated by tables alone.</w:t>
      </w:r>
    </w:p>
    <w:bookmarkEnd w:id="249"/>
    <w:bookmarkEnd w:id="250"/>
    <w:bookmarkEnd w:id="251"/>
    <w:bookmarkStart w:id="258" w:name="app:ethics"/>
    <w:p>
      <w:pPr>
        <w:pStyle w:val="Heading1"/>
      </w:pPr>
      <w:r>
        <w:t xml:space="preserve">Broader impact and ethics</w:t>
      </w:r>
    </w:p>
    <w:p>
      <w:pPr>
        <w:pStyle w:val="FirstParagraph"/>
      </w:pPr>
      <w:r>
        <w:t xml:space="preserve">This study uses a public, de-identified retinal dataset (FairVision) under its</w:t>
      </w:r>
      <w:r>
        <w:t xml:space="preserve"> </w:t>
      </w:r>
      <w:r>
        <w:t xml:space="preserve">release terms and involves no new recruitment or data collection. No</w:t>
      </w:r>
      <w:r>
        <w:t xml:space="preserve"> </w:t>
      </w:r>
      <w:r>
        <w:t xml:space="preserve">model reported here is clinically validated or intended for deployment: the</w:t>
      </w:r>
      <w:r>
        <w:t xml:space="preserve"> </w:t>
      </w:r>
      <w:r>
        <w:t xml:space="preserve">frozen-probe AUCs are research measurements on one dataset and one task, and are</w:t>
      </w:r>
      <w:r>
        <w:t xml:space="preserve"> </w:t>
      </w:r>
      <w:r>
        <w:t xml:space="preserve">not evidence of clinical utility.</w:t>
      </w:r>
    </w:p>
    <w:bookmarkStart w:id="252" w:name="dataset-provenance-and-licence."/>
    <w:p>
      <w:pPr>
        <w:pStyle w:val="Heading4"/>
      </w:pPr>
      <w:r>
        <w:t xml:space="preserve">Dataset provenance and licence.</w:t>
      </w:r>
    </w:p>
    <w:p>
      <w:pPr>
        <w:pStyle w:val="FirstParagraph"/>
      </w:pPr>
      <w:r>
        <w:t xml:space="preserve">We name the governing terms</w:t>
      </w:r>
      <w:r>
        <w:t xml:space="preserve"> </w:t>
      </w:r>
      <w:r>
        <w:t xml:space="preserve">explicitly rather than leave</w:t>
      </w:r>
      <w:r>
        <w:t xml:space="preserve"> </w:t>
      </w:r>
      <w:r>
        <w:t xml:space="preserve">“release terms”</w:t>
      </w:r>
      <w:r>
        <w:t xml:space="preserve"> </w:t>
      </w:r>
      <w:r>
        <w:t xml:space="preserve">to stand on its own. The cohort</w:t>
      </w:r>
      <w:r>
        <w:t xml:space="preserve"> </w:t>
      </w:r>
      <w:r>
        <w:t xml:space="preserve">is the glaucoma arm of Harvard-FairVision </w:t>
      </w:r>
      <w:r>
        <w:t xml:space="preserve">(Luo, Khan, et al. 2024)</w:t>
      </w:r>
      <w:r>
        <w:t xml:space="preserve">: 10</w:t>
      </w:r>
      <w:r>
        <w:t xml:space="preserve">,</w:t>
      </w:r>
      <w:r>
        <w:t xml:space="preserve">000</w:t>
      </w:r>
      <w:r>
        <w:t xml:space="preserve"> </w:t>
      </w:r>
      <w:r>
        <w:t xml:space="preserve">subjects distributed with a fixed 6</w:t>
      </w:r>
      <w:r>
        <w:t xml:space="preserve">,</w:t>
      </w:r>
      <w:r>
        <w:t xml:space="preserve">000/1</w:t>
      </w:r>
      <w:r>
        <w:t xml:space="preserve">,</w:t>
      </w:r>
      <w:r>
        <w:t xml:space="preserve">000/3000 training, validation</w:t>
      </w:r>
      <w:r>
        <w:t xml:space="preserve"> </w:t>
      </w:r>
      <w:r>
        <w:t xml:space="preserve">and test partition. The primary downstream comparisons use the</w:t>
      </w:r>
      <w:r>
        <w:t xml:space="preserve"> </w:t>
      </w:r>
      <w:r>
        <w:t xml:space="preserve">3000-subject test partition; secondary diagnostic subsets are identified</w:t>
      </w:r>
      <w:r>
        <w:t xml:space="preserve"> </w:t>
      </w:r>
      <w:r>
        <w:t xml:space="preserve">separately. The distribution states a data licence of</w:t>
      </w:r>
      <w:r>
        <w:t xml:space="preserve"> </w:t>
      </w:r>
      <w:r>
        <w:t xml:space="preserve">CC BY-NC-ND 4.0, which permits non-commercial research and states that the data</w:t>
      </w:r>
      <w:r>
        <w:t xml:space="preserve"> </w:t>
      </w:r>
      <w:r>
        <w:t xml:space="preserve">are not to be used for clinical decisions or patient care. The accompanying code</w:t>
      </w:r>
      <w:r>
        <w:t xml:space="preserve"> </w:t>
      </w:r>
      <w:r>
        <w:t xml:space="preserve">repository carries a separate MIT software licence that covers code only and does</w:t>
      </w:r>
      <w:r>
        <w:t xml:space="preserve"> </w:t>
      </w:r>
      <w:r>
        <w:t xml:space="preserve">not relax the data terms. Our use is non-commercial research measurement with no</w:t>
      </w:r>
      <w:r>
        <w:t xml:space="preserve"> </w:t>
      </w:r>
      <w:r>
        <w:t xml:space="preserve">clinical deployment, which is what those terms allow. The data were taken from</w:t>
      </w:r>
      <w:r>
        <w:t xml:space="preserve"> </w:t>
      </w:r>
      <w:r>
        <w:t xml:space="preserve">the public release. No application, data use agreement or credentialed-access</w:t>
      </w:r>
      <w:r>
        <w:t xml:space="preserve"> </w:t>
      </w:r>
      <w:r>
        <w:t xml:space="preserve">step is recorded for this dataset in our project record. The release is</w:t>
      </w:r>
      <w:r>
        <w:t xml:space="preserve"> </w:t>
      </w:r>
      <w:r>
        <w:t xml:space="preserve">distributed de-identified: each subject archive holds an OCT volume, a binary</w:t>
      </w:r>
      <w:r>
        <w:t xml:space="preserve"> </w:t>
      </w:r>
      <w:r>
        <w:t xml:space="preserve">label, a visual-field mean deviation and coded demographic attributes, with no</w:t>
      </w:r>
      <w:r>
        <w:t xml:space="preserve"> </w:t>
      </w:r>
      <w:r>
        <w:t xml:space="preserve">name, date or free text. We added no identifying field, attempted no</w:t>
      </w:r>
      <w:r>
        <w:t xml:space="preserve"> </w:t>
      </w:r>
      <w:r>
        <w:t xml:space="preserve">re-identification, and linked to no external source. The reproduction artifacts</w:t>
      </w:r>
      <w:r>
        <w:t xml:space="preserve"> </w:t>
      </w:r>
      <w:r>
        <w:t xml:space="preserve">are encoder weights, a fitted probe head and per-case prediction scores.</w:t>
      </w:r>
      <w:r>
        <w:t xml:space="preserve"> </w:t>
      </w:r>
      <w:r>
        <w:t xml:space="preserve">The submission contains no raw OCT volumes.</w:t>
      </w:r>
    </w:p>
    <w:bookmarkEnd w:id="252"/>
    <w:bookmarkStart w:id="257" w:name="what-our-ethics-record-does-not-contain."/>
    <w:p>
      <w:pPr>
        <w:pStyle w:val="Heading4"/>
      </w:pPr>
      <w:r>
        <w:t xml:space="preserve">What our ethics record does not contain.</w:t>
      </w:r>
    </w:p>
    <w:p>
      <w:pPr>
        <w:pStyle w:val="FirstParagraph"/>
      </w:pPr>
      <w:r>
        <w:t xml:space="preserve">This project holds no IRB or</w:t>
      </w:r>
      <w:r>
        <w:t xml:space="preserve"> </w:t>
      </w:r>
      <w:r>
        <w:t xml:space="preserve">ethics-committee approval number, no consent documentation, and no written</w:t>
      </w:r>
      <w:r>
        <w:t xml:space="preserve"> </w:t>
      </w:r>
      <w:r>
        <w:t xml:space="preserve">non-human-subjects or exemption determination for this secondary analysis. None</w:t>
      </w:r>
      <w:r>
        <w:t xml:space="preserve"> </w:t>
      </w:r>
      <w:r>
        <w:t xml:space="preserve">was recorded at the time, and we will not assert one after the fact. The</w:t>
      </w:r>
      <w:r>
        <w:t xml:space="preserve"> </w:t>
      </w:r>
      <w:r>
        <w:t xml:space="preserve">statement above is therefore narrower than a governance statement: it is what the</w:t>
      </w:r>
      <w:r>
        <w:t xml:space="preserve"> </w:t>
      </w:r>
      <w:r>
        <w:t xml:space="preserve">release says and what we did with it. The approval and consent record for the</w:t>
      </w:r>
      <w:r>
        <w:t xml:space="preserve"> </w:t>
      </w:r>
      <w:r>
        <w:t xml:space="preserve">underlying data collection belongs to the FairVision authors’ primary</w:t>
      </w:r>
      <w:r>
        <w:t xml:space="preserve"> </w:t>
      </w:r>
      <w:r>
        <w:t xml:space="preserve">publication and the institutional record behind</w:t>
      </w:r>
      <w:r>
        <w:t xml:space="preserve"> </w:t>
      </w:r>
      <w:r>
        <w:t xml:space="preserve">it </w:t>
      </w:r>
      <w:r>
        <w:t xml:space="preserve">(Luo, Khan, et al. 2024)</w:t>
      </w:r>
      <w:r>
        <w:t xml:space="preserve">, which we did not obtain. Closing this gap would</w:t>
      </w:r>
      <w:r>
        <w:t xml:space="preserve"> </w:t>
      </w:r>
      <w:r>
        <w:t xml:space="preserve">require citing that ethics statement directly and obtaining a written</w:t>
      </w:r>
      <w:r>
        <w:t xml:space="preserve"> </w:t>
      </w:r>
      <w:r>
        <w:t xml:space="preserve">determination from our own institution. A venue requiring a formal determination</w:t>
      </w:r>
      <w:r>
        <w:t xml:space="preserve"> </w:t>
      </w:r>
      <w:r>
        <w:t xml:space="preserve">should treat this item as outstanding rather than satisfied.</w:t>
      </w:r>
    </w:p>
    <w:p>
      <w:pPr>
        <w:pStyle w:val="BodyText"/>
      </w:pPr>
      <w:r>
        <w:t xml:space="preserve">The subgroup analysis in Section </w:t>
      </w:r>
      <w:bookmarkStart w:id="253" w:name="jeparef0113"/>
      <w:r>
        <w:t xml:space="preserve">5.5</w:t>
      </w:r>
      <w:bookmarkEnd w:id="253"/>
      <w:r>
        <w:t xml:space="preserve"> </w:t>
      </w:r>
      <w:r>
        <w:t xml:space="preserve">is a caution, not a</w:t>
      </w:r>
      <w:r>
        <w:t xml:space="preserve"> </w:t>
      </w:r>
      <w:r>
        <w:t xml:space="preserve">contribution. For five of seven attributes the same eligible group is worst-served</w:t>
      </w:r>
      <w:r>
        <w:t xml:space="preserve"> </w:t>
      </w:r>
      <w:r>
        <w:t xml:space="preserve">across the retained probes. The highlighted race, gender and disease-severity</w:t>
      </w:r>
      <w:r>
        <w:t xml:space="preserve"> </w:t>
      </w:r>
      <w:r>
        <w:t xml:space="preserve">point estimates rise at the matched epoch, but this does not hold for every</w:t>
      </w:r>
      <w:r>
        <w:t xml:space="preserve"> </w:t>
      </w:r>
      <w:r>
        <w:t xml:space="preserve">recorded attribute: the divorced group’s point estimate decreases.</w:t>
      </w:r>
      <w:r>
        <w:t xml:space="preserve"> </w:t>
      </w:r>
      <w:r>
        <w:t xml:space="preserve">Paired differential-benefit tests cover specified contrasts, not all seven</w:t>
      </w:r>
      <w:r>
        <w:t xml:space="preserve"> </w:t>
      </w:r>
      <w:r>
        <w:t xml:space="preserve">attributes, and do not establish a general reduction in disparities.</w:t>
      </w:r>
      <w:r>
        <w:t xml:space="preserve"> </w:t>
      </w:r>
      <w:r>
        <w:t xml:space="preserve">We would regard deployment</w:t>
      </w:r>
      <w:r>
        <w:t xml:space="preserve"> </w:t>
      </w:r>
      <w:r>
        <w:t xml:space="preserve">of any encoder reported here, without a dedicated and prospective fairness</w:t>
      </w:r>
      <w:r>
        <w:t xml:space="preserve"> </w:t>
      </w:r>
      <w:r>
        <w:t xml:space="preserve">evaluation on the target population, as inappropriate. We also stress that the</w:t>
      </w:r>
      <w:r>
        <w:t xml:space="preserve"> </w:t>
      </w:r>
      <w:r>
        <w:t xml:space="preserve">audit is incomplete: beyond AUC, the transferred-threshold sensitivity,</w:t>
      </w:r>
      <w:r>
        <w:t xml:space="preserve"> </w:t>
      </w:r>
      <w:r>
        <w:t xml:space="preserve">specificity and calibration of Appendix </w:t>
      </w:r>
      <w:bookmarkStart w:id="254" w:name="jeparef0114"/>
      <w:r>
        <w:t xml:space="preserve">L</w:t>
      </w:r>
      <w:bookmarkEnd w:id="254"/>
      <w:r>
        <w:t xml:space="preserve"> </w:t>
      </w:r>
      <w:r>
        <w:t xml:space="preserve">(whose expected</w:t>
      </w:r>
      <w:r>
        <w:t xml:space="preserve"> </w:t>
      </w:r>
      <w:r>
        <w:t xml:space="preserve">calibration error is stratified by race, the only attribute for which we report</w:t>
      </w:r>
      <w:r>
        <w:t xml:space="preserve"> </w:t>
      </w:r>
      <w:r>
        <w:t xml:space="preserve">it) and the race-by-gender</w:t>
      </w:r>
      <w:r>
        <w:t xml:space="preserve"> </w:t>
      </w:r>
      <w:r>
        <w:t xml:space="preserve">breakdown of Appendix </w:t>
      </w:r>
      <w:bookmarkStart w:id="255" w:name="jeparef0115"/>
      <w:r>
        <w:t xml:space="preserve">E.1</w:t>
      </w:r>
      <w:bookmarkEnd w:id="255"/>
      <w:r>
        <w:t xml:space="preserve">, it contains no</w:t>
      </w:r>
      <w:r>
        <w:t xml:space="preserve"> </w:t>
      </w:r>
      <w:r>
        <w:t xml:space="preserve">predictive-value analysis, no reliability curves, and no calibration stratified</w:t>
      </w:r>
      <w:r>
        <w:t xml:space="preserve"> </w:t>
      </w:r>
      <w:r>
        <w:t xml:space="preserve">by gender, ethnicity or severity, and the intersectional</w:t>
      </w:r>
      <w:r>
        <w:t xml:space="preserve"> </w:t>
      </w:r>
      <w:r>
        <w:t xml:space="preserve">cells carry no paired per-cell intervals, so no per-cell change there is tested</w:t>
      </w:r>
      <w:r>
        <w:t xml:space="preserve"> </w:t>
      </w:r>
      <w:r>
        <w:t xml:space="preserve">against zero.</w:t>
      </w:r>
    </w:p>
    <w:p>
      <w:pPr>
        <w:pStyle w:val="BodyText"/>
      </w:pPr>
      <w:r>
        <w:t xml:space="preserve">Releasing pretrained weights carries the usual dual-use consideration that they</w:t>
      </w:r>
      <w:r>
        <w:t xml:space="preserve"> </w:t>
      </w:r>
      <w:r>
        <w:t xml:space="preserve">may be applied to populations unlike the training cohort. We document the cohort</w:t>
      </w:r>
      <w:r>
        <w:t xml:space="preserve"> </w:t>
      </w:r>
      <w:r>
        <w:t xml:space="preserve">composition (Appendix </w:t>
      </w:r>
      <w:bookmarkStart w:id="256" w:name="jeparef0116"/>
      <w:r>
        <w:t xml:space="preserve">E</w:t>
      </w:r>
      <w:bookmarkEnd w:id="256"/>
      <w:r>
        <w:t xml:space="preserve">) so that such a mismatch is detectable</w:t>
      </w:r>
      <w:r>
        <w:t xml:space="preserve"> </w:t>
      </w:r>
      <w:r>
        <w:t xml:space="preserve">by anyone reusing the weights. The demographic attributes are self-reported</w:t>
      </w:r>
      <w:r>
        <w:t xml:space="preserve"> </w:t>
      </w:r>
      <w:r>
        <w:t xml:space="preserve">categories inherited from the dataset’s coding. They are used only for the</w:t>
      </w:r>
      <w:r>
        <w:t xml:space="preserve"> </w:t>
      </w:r>
      <w:r>
        <w:t xml:space="preserve">subgroup audit and are never model inputs.</w:t>
      </w:r>
    </w:p>
    <w:bookmarkEnd w:id="257"/>
    <w:bookmarkEnd w:id="258"/>
    <w:bookmarkStart w:id="261" w:name="app:counter"/>
    <w:p>
      <w:pPr>
        <w:pStyle w:val="Heading1"/>
      </w:pPr>
      <w:r>
        <w:t xml:space="preserve">Published ablations on informed versus random masking</w:t>
      </w:r>
    </w:p>
    <w:p>
      <w:pPr>
        <w:pStyle w:val="FirstParagraph"/>
      </w:pPr>
      <w:r>
        <w:t xml:space="preserve">Random masking is a strong baseline in the published record and informed</w:t>
      </w:r>
      <w:r>
        <w:t xml:space="preserve"> </w:t>
      </w:r>
      <w:r>
        <w:t xml:space="preserve">masking wins only under some objectives and protocols, the deficit largest under</w:t>
      </w:r>
      <w:r>
        <w:t xml:space="preserve"> </w:t>
      </w:r>
      <w:r>
        <w:t xml:space="preserve">frozen evaluation. Our result should be read against those comparisons</w:t>
      </w:r>
      <w:r>
        <w:t xml:space="preserve"> </w:t>
      </w:r>
      <w:r>
        <w:t xml:space="preserve">(Table </w:t>
      </w:r>
      <w:bookmarkStart w:id="259" w:name="jeparef0117"/>
      <w:r>
        <w:t xml:space="preserve">14</w:t>
      </w:r>
      <w:bookmarkEnd w:id="259"/>
      <w:r>
        <w:t xml:space="preserve">), collected while positioning this work.</w:t>
      </w:r>
    </w:p>
    <w:bookmarkStart w:id="260" w:name="tab:counter"/>
    <w:p>
      <w:pPr>
        <w:pStyle w:val="TableCaption"/>
      </w:pPr>
      <w:r>
        <w:t xml:space="preserve">Published ablations comparing a random or simple baseline against an</w:t>
      </w:r>
      <w:r>
        <w:t xml:space="preserve"> </w:t>
      </w:r>
      <w:r>
        <w:t xml:space="preserve">informed or structured masking scheme. Numbers are as reported by the cited</w:t>
      </w:r>
      <w:r>
        <w:t xml:space="preserve"> </w:t>
      </w:r>
      <w:r>
        <w:t xml:space="preserve">papers; metrics differ across rows and are not comparable between rows.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ublished ablations comparing a random or simple baseline against an informed or structured masking scheme. Numbers are as reported by the cited papers; metrics differ across rows and are not comparable between row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informed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MAE </w:t>
            </w:r>
            <w:r>
              <w:t xml:space="preserve">(He et al.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random-75: 84.9 FT / 73.5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block-75: 82.8 / 63.9; grid-75: 84.0 / 66.0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decisively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SimMIM </w:t>
            </w:r>
            <w:r>
              <w:t xml:space="preserve">(Xie et al.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83.0 top-1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block 82.7; square 82.6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modestly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SemMAE </w:t>
            </w:r>
            <w:r>
              <w:t xml:space="preserve">(Li et al.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66.8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within-part 66.5; whole-part 52.9; adaptive 68.7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naive semantics hurt; scheduled semantics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SemMAE part quality </w:t>
            </w:r>
            <w:r>
              <w:t xml:space="preserve">(Li et al.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parts 63.7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parts 63.6; refined 65.0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imperfect semantic model adds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AutoMAE </w:t>
            </w:r>
            <w:r>
              <w:t xml:space="preserve">(H. Chen et al. 2023)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83.26 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AutoMAE 83.32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effectively tied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HPM </w:t>
            </w:r>
            <w:r>
              <w:t xml:space="preserve">(Wang et al. 2023)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82.49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82.95; hardest-only 81.40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benefit only with retained randomness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AttMask </w:t>
            </w:r>
            <w:r>
              <w:t xml:space="preserve">(Kakogeorgiou et al.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43.4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43.5; hint 43.6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nearly indistinguishable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AttG-MAE </w:t>
            </w:r>
            <w:r>
              <w:t xml:space="preserve">(Sick et al.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78.5 @10%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guided 78.1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guidance loses in this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SSiT </w:t>
            </w:r>
            <w:r>
              <w:t xml:space="preserve">(Huang et al.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saliency 79.48</w:t>
            </w:r>
            <w:r>
              <w:t xml:space="preserve"> </w:t>
            </w: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25% mask 77.53; 50% 79.97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dataset-dependent, non-monotonic</w:t>
            </w:r>
          </w:p>
        </w:tc>
      </w:tr>
    </w:tbl>
    <w:bookmarkEnd w:id="260"/>
    <w:p>
      <w:pPr>
        <w:pStyle w:val="BodyText"/>
      </w:pPr>
      <w:r>
        <w:t xml:space="preserve">Read together, these say that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our finding is not new.</w:t>
      </w:r>
      <w:r>
        <w:t xml:space="preserve"> </w:t>
      </w:r>
      <w:r>
        <w:t xml:space="preserve">What we add is an audited run-level and delivered-task measurement, not a</w:t>
      </w:r>
      <w:r>
        <w:t xml:space="preserve"> </w:t>
      </w:r>
      <w:r>
        <w:t xml:space="preserve">general claim about the sign of the masking effect.</w:t>
      </w:r>
    </w:p>
    <w:bookmarkEnd w:id="261"/>
    <w:bookmarkStart w:id="264" w:name="app:contrasts"/>
    <w:p>
      <w:pPr>
        <w:pStyle w:val="Heading1"/>
      </w:pPr>
      <w:r>
        <w:t xml:space="preserve">Full paired-contrast table</w:t>
      </w:r>
    </w:p>
    <w:bookmarkStart w:id="263" w:name="tab:contrasts"/>
    <w:p>
      <w:pPr>
        <w:pStyle w:val="TableCaption"/>
      </w:pPr>
      <w:r>
        <w:t xml:space="preserve">Primary contrasts: matched epoch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matched precision.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 paired difference on identical test cases; the interval is a</w:t>
      </w:r>
      <w:r>
        <w:t xml:space="preserve"> </w:t>
      </w:r>
      <w:r>
        <w:t xml:space="preserve">10</w:t>
      </w:r>
      <w:r>
        <w:t xml:space="preserve">,</w:t>
      </w:r>
      <w:r>
        <w:t xml:space="preserve">000-resample paired bootstrap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DeLong test for correlated ROC</w:t>
      </w:r>
      <w:r>
        <w:t xml:space="preserve"> </w:t>
      </w:r>
      <w:r>
        <w:t xml:space="preserve">curves.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Benjamini–Hochberg over these nine contrasts. All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values here are descriptive (Section </w:t>
      </w:r>
      <w:bookmarkStart w:id="262" w:name="jeparef0118"/>
      <w:r>
        <w:t xml:space="preserve">6</w:t>
      </w:r>
      <w:bookmarkEnd w:id="262"/>
      <w:r>
        <w:t xml:space="preserve">).</w:t>
      </w:r>
      <w:r>
        <w:t xml:space="preserve"> </w:t>
      </w:r>
      <w:r>
        <w:t xml:space="preserve">Every comparison against the null excludes zero.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mary contrasts: matched epoch and matched precision. \Delta is a paired difference on identical test cases; the interval is a 10,000-resample paired bootstrap and p is a DeLong test for correlated ROC curves. q is Benjamini–Hochberg over these nine contrasts. All p and q values here are descriptive (Section 6). Every comparison against the null excludes zero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[+0.0068, +0.0173]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0.0001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[+0.0028, +0.0132]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[+0.0010, +0.0113]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[+0.0051, +0.0149]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[+0.0063, +0.0164]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0.0001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[+0.0057, +0.0160]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0.0001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[-0.0069, +0.0029]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[-0.0013, +0.0079]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[+0.0004, +0.0091]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0.0378</w:t>
            </w:r>
          </w:p>
        </w:tc>
      </w:tr>
    </w:tbl>
    <w:bookmarkEnd w:id="263"/>
    <w:p>
      <w:pPr>
        <w:pStyle w:val="BodyText"/>
      </w:pPr>
      <w:r>
        <w:t xml:space="preserve">Benjamini–Hochberg is applied within a declared primary family consisting</w:t>
      </w:r>
      <w:r>
        <w:t xml:space="preserve"> </w:t>
      </w:r>
      <w:r>
        <w:t xml:space="preserve">of exactly these nine contrasts (the fp16 comparisons among</w:t>
      </w:r>
      <w:r>
        <w:t xml:space="preserve"> </w:t>
      </w:r>
      <w:r>
        <w:rPr>
          <w:smallCaps/>
        </w:rPr>
        <w:t xml:space="preserve">random</w:t>
      </w:r>
      <w:r>
        <w:t xml:space="preserve">,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at epochs 50, 75 and 100) and the remaining</w:t>
      </w:r>
      <w:r>
        <w:t xml:space="preserve"> </w:t>
      </w:r>
      <w:r>
        <w:t xml:space="preserve">25 exploratory contrasts in the stored statistics are corrected as a separate</w:t>
      </w:r>
      <w:r>
        <w:t xml:space="preserve"> </w:t>
      </w:r>
      <w:r>
        <w:t xml:space="preserve">family. The two families are never pooled, and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values printed above are</w:t>
      </w:r>
      <w:r>
        <w:t xml:space="preserve"> </w:t>
      </w:r>
      <w:r>
        <w:t xml:space="preserve">those of the nine-contrast family only. Declaring the family fixes what is</w:t>
      </w:r>
      <w:r>
        <w:t xml:space="preserve"> </w:t>
      </w:r>
      <w:r>
        <w:t xml:space="preserve">corrected together. It does not make these contrasts confirmatory, because the</w:t>
      </w:r>
      <w:r>
        <w:t xml:space="preserve"> </w:t>
      </w:r>
      <w:r>
        <w:t xml:space="preserve">test split was inspected repeatedly before the family was fixed, and the paper</w:t>
      </w:r>
      <w:r>
        <w:t xml:space="preserve"> </w:t>
      </w:r>
      <w:r>
        <w:t xml:space="preserve">reports them as descriptive throughout.</w:t>
      </w:r>
    </w:p>
    <w:bookmarkEnd w:id="264"/>
    <w:bookmarkStart w:id="282" w:name="app:fp32"/>
    <w:p>
      <w:pPr>
        <w:pStyle w:val="Heading1"/>
      </w:pPr>
      <w:r>
        <w:t xml:space="preserve">Full fp32 re-probe</w:t>
      </w:r>
    </w:p>
    <w:bookmarkStart w:id="268" w:name="fig:paradox"/>
    <w:p>
      <w:pPr>
        <w:pStyle w:val="CaptionedFigure"/>
      </w:pPr>
      <w:r>
        <w:drawing>
          <wp:inline>
            <wp:extent cx="5334000" cy="3059205"/>
            <wp:effectExtent b="0" l="0" r="0" t="0"/>
            <wp:docPr descr="" title="" id="266" name="Picture"/>
            <a:graphic>
              <a:graphicData uri="http://schemas.openxmlformats.org/drawingml/2006/picture">
                <pic:pic>
                  <pic:nvPicPr>
                    <pic:cNvPr descr="fig_purity_auc_ep50_fp32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Delivered target-union tissue purity and frozen-probe test AUC for</w:t>
      </w:r>
      <w:r>
        <w:t xml:space="preserve"> </w:t>
      </w:r>
      <w:r>
        <w:t xml:space="preserve">five policy families. Purity uses the current Table 2 geometry audit; all AUC</w:t>
      </w:r>
      <w:r>
        <w:t xml:space="preserve"> </w:t>
      </w:r>
      <w:r>
        <w:t xml:space="preserve">points use epoch-50 fp32 probes. Centroid is the artifact arm named oracle, and</w:t>
      </w:r>
      <w:r>
        <w:t xml:space="preserve"> </w:t>
      </w:r>
      <w:r>
        <w:t xml:space="preserve">ANATOMY-v2 is the shaped-policy representative; ANATOMY-v1 is not shown.</w:t>
      </w:r>
      <w:r>
        <w:t xml:space="preserve"> </w:t>
      </w:r>
      <w:r>
        <w:t xml:space="preserve">Points are descriptive estimates from the evaluated continuations, with no</w:t>
      </w:r>
      <w:r>
        <w:t xml:space="preserve"> </w:t>
      </w:r>
      <w:r>
        <w:t xml:space="preserve">fitted line or uncertainty intervals. The AUC axis does not start at zero.</w:t>
      </w:r>
      <w:r>
        <w:t xml:space="preserve"> </w:t>
      </w:r>
      <w:r>
        <w:t xml:space="preserve">These confounded implementations do not isolate the effect of tissue purity</w:t>
      </w:r>
      <w:r>
        <w:t xml:space="preserve"> </w:t>
      </w:r>
      <w:r>
        <w:t xml:space="preserve">or establish a policy ranking over retrainings.</w:t>
      </w:r>
    </w:p>
    <w:bookmarkEnd w:id="268"/>
    <w:bookmarkStart w:id="275" w:name="fig:ladder"/>
    <w:p>
      <w:pPr>
        <w:pStyle w:val="CaptionedFigure"/>
      </w:pPr>
      <w:r>
        <w:drawing>
          <wp:inline>
            <wp:extent cx="3840480" cy="1801185"/>
            <wp:effectExtent b="0" l="0" r="0" t="0"/>
            <wp:docPr descr="" title="" id="270" name="Picture"/>
            <a:graphic>
              <a:graphicData uri="http://schemas.openxmlformats.org/drawingml/2006/picture">
                <pic:pic>
                  <pic:nvPicPr>
                    <pic:cNvPr descr="fig_specificity_ladder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1801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matched-epoch-50 result arranged as a ladder of increasing</w:t>
      </w:r>
      <w:r>
        <w:t xml:space="preserve"> </w:t>
      </w:r>
      <w:r>
        <w:t xml:space="preserve">anatomical specificity, measured as the share of tissue each policy’s targets</w:t>
      </w:r>
      <w:r>
        <w:t xml:space="preserve"> </w:t>
      </w:r>
      <w:r>
        <w:t xml:space="preserve">hide (Table </w:t>
      </w:r>
      <w:bookmarkStart w:id="272" w:name="jeparef0119"/>
      <w:r>
        <w:t xml:space="preserve">2</w:t>
      </w:r>
      <w:bookmarkEnd w:id="272"/>
      <w:r>
        <w:t xml:space="preserve">). Points are paired differences in test AUC against</w:t>
      </w:r>
      <w:r>
        <w:t xml:space="preserve"> </w:t>
      </w:r>
      <w:r>
        <w:t xml:space="preserve">the unguided null on identical cases, with 10</w:t>
      </w:r>
      <w:r>
        <w:t xml:space="preserve">,</w:t>
      </w:r>
      <w:r>
        <w:t xml:space="preserve">000-resample percentile bootstrap</w:t>
      </w:r>
      <w:r>
        <w:t xml:space="preserve"> </w:t>
      </w:r>
      <w:r>
        <w:t xml:space="preserve">intervals. The axis is centred on zero, a meaningful baseline for a difference,</w:t>
      </w:r>
      <w:r>
        <w:t xml:space="preserve"> </w:t>
      </w:r>
      <w:r>
        <w:t xml:space="preserve">with the displayed range labeled explicitly. Filled markers</w:t>
      </w:r>
      <w:r>
        <w:t xml:space="preserve"> </w:t>
      </w:r>
      <w:r>
        <w:t xml:space="preserve">denote intervals excluding zero. The two arms that separate from the null are</w:t>
      </w:r>
      <w:r>
        <w:t xml:space="preserve"> </w:t>
      </w:r>
      <w:r>
        <w:t xml:space="preserve">not the two that hide the most anatomy, which is the observation</w:t>
      </w:r>
      <w:r>
        <w:t xml:space="preserve"> </w:t>
      </w:r>
      <w:r>
        <w:t xml:space="preserve">Section </w:t>
      </w:r>
      <w:bookmarkStart w:id="273" w:name="jeparef0120"/>
      <w:r>
        <w:t xml:space="preserve">5.2</w:t>
      </w:r>
      <w:bookmarkEnd w:id="273"/>
      <w:r>
        <w:t xml:space="preserve"> </w:t>
      </w:r>
      <w:r>
        <w:t xml:space="preserve">develops. The intervals concern paired differences,</w:t>
      </w:r>
      <w:r>
        <w:t xml:space="preserve"> </w:t>
      </w:r>
      <w:r>
        <w:t xml:space="preserve">not individual-arm AUC uncertainty. Companion to Figure </w:t>
      </w:r>
      <w:bookmarkStart w:id="274" w:name="jeparef0121"/>
      <w:r>
        <w:t xml:space="preserve">9</w:t>
      </w:r>
      <w:bookmarkEnd w:id="274"/>
      <w:r>
        <w:t xml:space="preserve">.</w:t>
      </w:r>
    </w:p>
    <w:bookmarkEnd w:id="275"/>
    <w:bookmarkStart w:id="279" w:name="fig:geom"/>
    <w:p>
      <w:pPr>
        <w:pStyle w:val="CaptionedFigure"/>
      </w:pPr>
      <w:r>
        <w:drawing>
          <wp:inline>
            <wp:extent cx="5334000" cy="1303583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fig_geometry_panel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3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mask geometry per policy, 600 training slices. Bars start at</w:t>
      </w:r>
      <w:r>
        <w:t xml:space="preserve"> </w:t>
      </w:r>
      <w:r>
        <w:t xml:space="preserve">zero and no interval is drawn; each is a mean over those slices. The four</w:t>
      </w:r>
      <w:r>
        <w:t xml:space="preserve"> </w:t>
      </w:r>
      <w:r>
        <w:t xml:space="preserve">rectangle policies have similar nominal target settings, but differ in realized</w:t>
      </w:r>
      <w:r>
        <w:t xml:space="preserve"> </w:t>
      </w:r>
      <w:r>
        <w:t xml:space="preserve">masking ratio and context as well as anatomy hidden. The anatomy policy differs</w:t>
      </w:r>
      <w:r>
        <w:t xml:space="preserve"> </w:t>
      </w:r>
      <w:r>
        <w:t xml:space="preserve">on all four axes</w:t>
      </w:r>
      <w:r>
        <w:t xml:space="preserve"> </w:t>
      </w:r>
      <w:r>
        <w:t xml:space="preserve">(half the masking ratio,</w:t>
      </w:r>
      <w:r>
        <w:t xml:space="preserve"> </w:t>
      </w:r>
      <m:oMath>
        <m:r>
          <m:t>1.6</m:t>
        </m:r>
        <m:r>
          <m:rPr>
            <m:sty m:val="p"/>
          </m:rPr>
          <m:t>×</m:t>
        </m:r>
      </m:oMath>
      <w:r>
        <w:t xml:space="preserve"> </w:t>
      </w:r>
      <w:r>
        <w:t xml:space="preserve">the context,</w:t>
      </w:r>
      <w:r>
        <w:t xml:space="preserve"> </w:t>
      </w:r>
      <m:oMath>
        <m:r>
          <m:t>0.4</m:t>
        </m:r>
        <m:r>
          <m:rPr>
            <m:sty m:val="p"/>
          </m:rPr>
          <m:t>×</m:t>
        </m:r>
      </m:oMath>
      <w:r>
        <w:t xml:space="preserve"> </w:t>
      </w:r>
      <w:r>
        <w:t xml:space="preserve">the predictor loss</w:t>
      </w:r>
      <w:r>
        <w:t xml:space="preserve"> </w:t>
      </w:r>
      <w:r>
        <w:t xml:space="preserve">slots), so its deficit cannot be attributed to target shape. Bars labelled</w:t>
      </w:r>
      <w:r>
        <w:t xml:space="preserve"> </w:t>
      </w:r>
      <w:r>
        <w:rPr>
          <w:rStyle w:val="VerbatimChar"/>
        </w:rPr>
        <w:t xml:space="preserve">oracle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cover-f0.21</w:t>
      </w:r>
      <w:r>
        <w:t xml:space="preserve"> </w:t>
      </w:r>
      <w:r>
        <w:t xml:space="preserve">are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cover</w:t>
      </w:r>
      <w:r>
        <w:t xml:space="preserve">.</w:t>
      </w:r>
    </w:p>
    <w:bookmarkEnd w:id="279"/>
    <w:p>
      <w:pPr>
        <w:pStyle w:val="BodyText"/>
      </w:pPr>
      <w:r>
        <w:t xml:space="preserve">The</w:t>
      </w:r>
      <w:r>
        <w:t xml:space="preserve"> </w:t>
      </w:r>
      <w:r>
        <w:rPr>
          <w:smallCaps/>
        </w:rPr>
        <w:t xml:space="preserve">random</w:t>
      </w:r>
      <w:r>
        <w:t xml:space="preserve">,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long-horizon probes</w:t>
      </w:r>
      <w:r>
        <w:t xml:space="preserve"> </w:t>
      </w:r>
      <w:r>
        <w:t xml:space="preserve">were originally fitted under the harness default, which enables autocast. To</w:t>
      </w:r>
      <w:r>
        <w:t xml:space="preserve"> </w:t>
      </w:r>
      <w:r>
        <w:t xml:space="preserve">assess whether the headline effect is a precision artifact, we re-ran the</w:t>
      </w:r>
      <w:r>
        <w:t xml:space="preserve"> </w:t>
      </w:r>
      <w:r>
        <w:t xml:space="preserve">complete probe pipeline for those arms with autocast disabled, so that feature</w:t>
      </w:r>
      <w:r>
        <w:t xml:space="preserve"> </w:t>
      </w:r>
      <w:r>
        <w:t xml:space="preserve">extraction, head optimisation and test evaluation are all fp32, under the exact</w:t>
      </w:r>
      <w:r>
        <w:t xml:space="preserve"> </w:t>
      </w:r>
      <w:r>
        <w:t xml:space="preserve">protocol already used by the</w:t>
      </w:r>
      <w:r>
        <w:t xml:space="preserve"> </w:t>
      </w:r>
      <w:r>
        <w:rPr>
          <w:smallCaps/>
        </w:rPr>
        <w:t xml:space="preserve">anatomy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arms</w:t>
      </w:r>
      <w:r>
        <w:t xml:space="preserve"> </w:t>
      </w:r>
      <w:r>
        <w:t xml:space="preserve">(Table </w:t>
      </w:r>
      <w:bookmarkStart w:id="280" w:name="jeparef0122"/>
      <w:r>
        <w:t xml:space="preserve">16</w:t>
      </w:r>
      <w:bookmarkEnd w:id="280"/>
      <w:r>
        <w:t xml:space="preserve">). The</w:t>
      </w:r>
      <w:r>
        <w:t xml:space="preserve"> </w:t>
      </w:r>
      <w:r>
        <w:t xml:space="preserve">encoder checkpoint is SHA-256 hashed before and after each run and verified</w:t>
      </w:r>
      <w:r>
        <w:t xml:space="preserve"> </w:t>
      </w:r>
      <w:r>
        <w:t xml:space="preserve">unchanged, so no result here can be contaminated by an accidental encoder</w:t>
      </w:r>
      <w:r>
        <w:t xml:space="preserve"> </w:t>
      </w:r>
      <w:r>
        <w:t xml:space="preserve">update.</w:t>
      </w:r>
    </w:p>
    <w:bookmarkStart w:id="281" w:name="tab:fp32"/>
    <w:p>
      <w:pPr>
        <w:pStyle w:val="TableCaption"/>
      </w:pPr>
      <w:r>
        <w:t xml:space="preserve">Full fp32 re-probe against the original fp16 result, same frozen</w:t>
      </w:r>
      <w:r>
        <w:t xml:space="preserve"> </w:t>
      </w:r>
      <w:r>
        <w:t xml:space="preserve">encoder in each row. The eight DeLong</w:t>
      </w:r>
      <w:r>
        <w:t xml:space="preserve"> </w:t>
      </w:r>
      <m:oMath>
        <m:r>
          <m:t>p</m:t>
        </m:r>
      </m:oMath>
      <w:r>
        <w:t xml:space="preserve">-values are unadjusted diagnostics, not</w:t>
      </w:r>
      <w:r>
        <w:t xml:space="preserve"> </w:t>
      </w:r>
      <w:r>
        <w:t xml:space="preserve">a family-wise test. The largest difference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ull fp32 re-probe against the original fp16 result, same frozen encoder in each row. The eight DeLong p-values are unadjusted diagnostics, not a family-wise test. The largest difference is 2\times10^{-4}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fp16 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fp32 AUC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0.876064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0.876063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0.880307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envelope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0.880743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+0.000018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0.874030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0.874015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-0.000015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-0.000192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0.864097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+0.000024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0.872302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0.872302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0.874581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0.874485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-0.000096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</w:tbl>
    <w:bookmarkEnd w:id="281"/>
    <w:bookmarkEnd w:id="282"/>
    <w:bookmarkStart w:id="294" w:name="app:repro"/>
    <w:p>
      <w:pPr>
        <w:pStyle w:val="Heading1"/>
      </w:pPr>
      <w:r>
        <w:t xml:space="preserve">Reproducibility and numeric provenance</w:t>
      </w:r>
    </w:p>
    <w:bookmarkStart w:id="284" w:name="software-and-hardware-environment."/>
    <w:p>
      <w:pPr>
        <w:pStyle w:val="Heading4"/>
      </w:pPr>
      <w:r>
        <w:t xml:space="preserve">Software and hardware environment.</w:t>
      </w:r>
    </w:p>
    <w:p>
      <w:pPr>
        <w:pStyle w:val="FirstParagraph"/>
      </w:pPr>
      <w:r>
        <w:t xml:space="preserve">The local analysis and engineering-diagnostic environment was recorded as</w:t>
      </w:r>
      <w:r>
        <w:t xml:space="preserve"> </w:t>
      </w:r>
      <w:r>
        <w:t xml:space="preserve">Python 3.11.9 on 64-bit Windows (build</w:t>
      </w:r>
      <w:r>
        <w:t xml:space="preserve"> </w:t>
      </w:r>
      <w:r>
        <w:t xml:space="preserve">10.0.26200); PyTorch 2.7.1 compiled against CUDA 12.8 with cuDNN 9.7.1; one</w:t>
      </w:r>
      <w:r>
        <w:t xml:space="preserve"> </w:t>
      </w:r>
      <w:r>
        <w:t xml:space="preserve">NVIDIA GeForce RTX 3090 with 24 GiB of memory, driver 610.62. The statistics and</w:t>
      </w:r>
      <w:r>
        <w:t xml:space="preserve"> </w:t>
      </w:r>
      <w:r>
        <w:t xml:space="preserve">figures use NumPy 2.4.4, SciPy 1.17.1 and scikit-learn 1.9.0, and the manuscript</w:t>
      </w:r>
      <w:r>
        <w:t xml:space="preserve"> </w:t>
      </w:r>
      <w:r>
        <w:t xml:space="preserve">is compiled by Tectonic 0.17.0. A lock file pinning 87 distributions accompanies</w:t>
      </w:r>
      <w:r>
        <w:t xml:space="preserve"> </w:t>
      </w:r>
      <w:r>
        <w:t xml:space="preserve">the artifact. At the analysis snapshot those pins matched the installed</w:t>
      </w:r>
      <w:r>
        <w:t xml:space="preserve"> </w:t>
      </w:r>
      <w:r>
        <w:t xml:space="preserve">versions. Additional paper-review tooling is not a reconstruction of every</w:t>
      </w:r>
      <w:r>
        <w:t xml:space="preserve"> </w:t>
      </w:r>
      <w:r>
        <w:t xml:space="preserve">historical training host. The chain</w:t>
      </w:r>
      <w:r>
        <w:t xml:space="preserve"> </w:t>
      </w:r>
      <w:r>
        <w:t xml:space="preserve">from stored per-case predictions through macros, tables and figures to the</w:t>
      </w:r>
      <w:r>
        <w:t xml:space="preserve"> </w:t>
      </w:r>
      <w:r>
        <w:t xml:space="preserve">compiled archive runs as one ordered script, so the retained predictions, the</w:t>
      </w:r>
      <w:r>
        <w:t xml:space="preserve"> </w:t>
      </w:r>
      <w:r>
        <w:t xml:space="preserve">retained head and the numbers printed here are joined by code rather than by</w:t>
      </w:r>
      <w:r>
        <w:t xml:space="preserve"> </w:t>
      </w:r>
      <w:r>
        <w:t xml:space="preserve">transcription. We did not repeat every training and evaluation run under a</w:t>
      </w:r>
      <w:r>
        <w:t xml:space="preserve"> </w:t>
      </w:r>
      <w:r>
        <w:t xml:space="preserve">second CUDA or PyTorch version. The fp32 re-probes and fixed-head cached-feature</w:t>
      </w:r>
      <w:r>
        <w:t xml:space="preserve"> </w:t>
      </w:r>
      <w:r>
        <w:t xml:space="preserve">check have the narrower scopes described in Section </w:t>
      </w:r>
      <w:bookmarkStart w:id="283" w:name="jeparef0123"/>
      <w:r>
        <w:t xml:space="preserve">5.6</w:t>
      </w:r>
      <w:bookmarkEnd w:id="283"/>
      <w:r>
        <w:t xml:space="preserve">.</w:t>
      </w:r>
    </w:p>
    <w:bookmarkEnd w:id="284"/>
    <w:bookmarkStart w:id="285" w:name="why-the-intervals-are-non-parametric."/>
    <w:p>
      <w:pPr>
        <w:pStyle w:val="Heading4"/>
      </w:pPr>
      <w:r>
        <w:t xml:space="preserve">Why the intervals are non-parametric.</w:t>
      </w:r>
    </w:p>
    <w:p>
      <w:pPr>
        <w:pStyle w:val="FirstParagraph"/>
      </w:pPr>
      <w:r>
        <w:t xml:space="preserve">The estimator choice was</w:t>
      </w:r>
      <w:r>
        <w:t xml:space="preserve"> </w:t>
      </w:r>
      <w:r>
        <w:t xml:space="preserve">checked against the data rather than assumed. The per-case paired differences are</w:t>
      </w:r>
      <w:r>
        <w:t xml:space="preserve"> </w:t>
      </w:r>
      <w:r>
        <w:t xml:space="preserve">strongly non-normal with heavy tails (Shapiro–Wilk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0.968</m:t>
        </m:r>
      </m:oMath>
      <w:r>
        <w:t xml:space="preserve">–</w:t>
      </w:r>
      <m:oMath>
        <m:r>
          <m:t>0.981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), and the raw within-arm scores more so (</w:t>
      </w:r>
      <m:oMath>
        <m:r>
          <m:t>p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37</m:t>
            </m:r>
          </m:sup>
        </m:sSup>
      </m:oMath>
      <w:r>
        <w:t xml:space="preserve">).</w:t>
      </w:r>
      <w:r>
        <w:t xml:space="preserve"> </w:t>
      </w:r>
      <w:r>
        <w:t xml:space="preserve">Levene’s test also rejects equal variance across arms (</w:t>
      </w:r>
      <m:oMath>
        <m:r>
          <m:t>F</m:t>
        </m:r>
        <m:r>
          <m:rPr>
            <m:sty m:val="p"/>
          </m:rPr>
          <m:t>=</m:t>
        </m:r>
        <m:r>
          <m:t>21.4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</w:t>
      </w:r>
      <w:r>
        <w:t xml:space="preserve"> </w:t>
      </w:r>
      <w:r>
        <w:t xml:space="preserve">though the variance ratio is only</w:t>
      </w:r>
      <w:r>
        <w:t xml:space="preserve"> </w:t>
      </w:r>
      <m:oMath>
        <m:r>
          <m:t>1.16</m:t>
        </m:r>
      </m:oMath>
      <w:r>
        <w:t xml:space="preserve"> </w:t>
      </w:r>
      <w:r>
        <w:t xml:space="preserve">and is detectable mainly because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000</m:t>
        </m:r>
      </m:oMath>
      <w:r>
        <w:t xml:space="preserve">. None of this invalidates what we report: a percentile bootstrap</w:t>
      </w:r>
      <w:r>
        <w:t xml:space="preserve"> </w:t>
      </w:r>
      <w:r>
        <w:t xml:space="preserve">makes no distributional assumption about the deltas, which is the reason for</w:t>
      </w:r>
      <w:r>
        <w:t xml:space="preserve"> </w:t>
      </w:r>
      <w:r>
        <w:t xml:space="preserve">choosing it, and an AUC is rank-based, so DeLong’s variance is built from</w:t>
      </w:r>
      <w:r>
        <w:t xml:space="preserve"> </w:t>
      </w:r>
      <w:r>
        <w:t xml:space="preserve">placement values rather than from Gaussian scores. The diagnostics are recorded</w:t>
      </w:r>
      <w:r>
        <w:t xml:space="preserve"> </w:t>
      </w:r>
      <w:r>
        <w:t xml:space="preserve">here because</w:t>
      </w:r>
      <w:r>
        <w:t xml:space="preserve"> </w:t>
      </w:r>
      <w:r>
        <w:t xml:space="preserve">“the intervals are non-parametric”</w:t>
      </w:r>
      <w:r>
        <w:t xml:space="preserve"> </w:t>
      </w:r>
      <w:r>
        <w:t xml:space="preserve">is a claim a reader should be</w:t>
      </w:r>
      <w:r>
        <w:t xml:space="preserve"> </w:t>
      </w:r>
      <w:r>
        <w:t xml:space="preserve">able to check, not take on trust.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(the five-arm and</w:t>
      </w:r>
      <w:r>
        <w:t xml:space="preserve"> </w:t>
      </w:r>
      <w:r>
        <w:t xml:space="preserve">four-arm correlations), a normality test has essentially no power, so we treat</w:t>
      </w:r>
      <w:r>
        <w:t xml:space="preserve"> </w:t>
      </w:r>
      <w:r>
        <w:t xml:space="preserve">those as descriptive throughout and draw no inference from them.</w:t>
      </w:r>
    </w:p>
    <w:bookmarkEnd w:id="285"/>
    <w:bookmarkStart w:id="287" w:name="X102ae367d2cfdb5de97d775f752bc022861aa24"/>
    <w:p>
      <w:pPr>
        <w:pStyle w:val="Heading4"/>
      </w:pPr>
      <w:r>
        <w:t xml:space="preserve">Guide provenance differs across the segmenter arms.</w:t>
      </w:r>
    </w:p>
    <w:p>
      <w:pPr>
        <w:pStyle w:val="FirstParagraph"/>
      </w:pPr>
      <w:r>
        <w:t xml:space="preserve">The three</w:t>
      </w:r>
      <w:r>
        <w:t xml:space="preserve"> </w:t>
      </w:r>
      <w:r>
        <w:t xml:space="preserve">segmenter-driven policies do not all read the same anatomy guide.</w:t>
      </w:r>
      <w:r>
        <w:t xml:space="preserve"> </w:t>
      </w:r>
      <w:r>
        <w:rPr>
          <w:smallCaps/>
        </w:rPr>
        <w:t xml:space="preserve">envelope</w:t>
      </w:r>
      <w:r>
        <w:t xml:space="preserve"> </w:t>
      </w:r>
      <w:r>
        <w:t xml:space="preserve">uses the MIRAGE-derived repaired envelope without the</w:t>
      </w:r>
      <w:r>
        <w:t xml:space="preserve"> </w:t>
      </w:r>
      <w:r>
        <w:t xml:space="preserve">residual adapter.</w:t>
      </w:r>
      <w:r>
        <w:t xml:space="preserve"> </w:t>
      </w:r>
      <w:r>
        <w:rPr>
          <w:smallCaps/>
        </w:rPr>
        <w:t xml:space="preserve">anatomy-v1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instead read pre-computed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t xml:space="preserve">guides produced by a MIRAGE whose segmentation path carries a frozen residual</w:t>
      </w:r>
      <w:r>
        <w:t xml:space="preserve"> </w:t>
      </w:r>
      <w:r>
        <w:t xml:space="preserve">adapter, trained label-free to align MIRAGE’s patch-similarity structure with the</w:t>
      </w:r>
      <w:r>
        <w:t xml:space="preserve"> </w:t>
      </w:r>
      <w:r>
        <w:t xml:space="preserve">pretraining teacher’s. That adapter was an abandoned line of work: it reduced</w:t>
      </w:r>
      <w:r>
        <w:t xml:space="preserve"> </w:t>
      </w:r>
      <w:r>
        <w:t xml:space="preserve">its own training objective but never improved segmentation, and the experiment</w:t>
      </w:r>
      <w:r>
        <w:t xml:space="preserve"> </w:t>
      </w:r>
      <w:r>
        <w:t xml:space="preserve">that would have settled its downstream effect was not run, so we make no claim</w:t>
      </w:r>
      <w:r>
        <w:t xml:space="preserve"> </w:t>
      </w:r>
      <w:r>
        <w:t xml:space="preserve">about it here. We record it because it is a further axis on which the anatomy</w:t>
      </w:r>
      <w:r>
        <w:t xml:space="preserve"> </w:t>
      </w:r>
      <w:r>
        <w:t xml:space="preserve">arms and</w:t>
      </w:r>
      <w:r>
        <w:t xml:space="preserve"> </w:t>
      </w:r>
      <w:r>
        <w:rPr>
          <w:smallCaps/>
        </w:rPr>
        <w:t xml:space="preserve">cover</w:t>
      </w:r>
      <w:r>
        <w:t xml:space="preserve"> </w:t>
      </w:r>
      <w:r>
        <w:t xml:space="preserve">differ from</w:t>
      </w:r>
      <w:r>
        <w:t xml:space="preserve"> </w:t>
      </w:r>
      <w:r>
        <w:rPr>
          <w:smallCaps/>
        </w:rPr>
        <w:t xml:space="preserve">envelope</w:t>
      </w:r>
      <w:r>
        <w:t xml:space="preserve">, beyond the geometric axes</w:t>
      </w:r>
      <w:r>
        <w:t xml:space="preserve"> </w:t>
      </w:r>
      <w:r>
        <w:t xml:space="preserve">in Section </w:t>
      </w:r>
      <w:bookmarkStart w:id="286" w:name="jeparef0124"/>
      <w:r>
        <w:t xml:space="preserve">5.2</w:t>
      </w:r>
      <w:bookmarkEnd w:id="286"/>
      <w:r>
        <w:t xml:space="preserve">, and because the guide directory names embed the</w:t>
      </w:r>
      <w:r>
        <w:t xml:space="preserve"> </w:t>
      </w:r>
      <w:r>
        <w:t xml:space="preserve">adapter configuration and would otherwise be unexplained to anyone reproducing</w:t>
      </w:r>
      <w:r>
        <w:t xml:space="preserve"> </w:t>
      </w:r>
      <w:r>
        <w:t xml:space="preserve">this work.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consult no guide of either kind.</w:t>
      </w:r>
    </w:p>
    <w:bookmarkEnd w:id="287"/>
    <w:bookmarkStart w:id="288" w:name="what-is-checked-mechanically."/>
    <w:p>
      <w:pPr>
        <w:pStyle w:val="Heading4"/>
      </w:pPr>
      <w:r>
        <w:t xml:space="preserve">What is checked mechanically.</w:t>
      </w:r>
    </w:p>
    <w:p>
      <w:pPr>
        <w:pStyle w:val="FirstParagraph"/>
      </w:pPr>
      <w:r>
        <w:t xml:space="preserve">Generated result quantities are compared with named source statistics.</w:t>
      </w:r>
      <w:r>
        <w:t xml:space="preserve"> </w:t>
      </w:r>
      <w:r>
        <w:t xml:space="preserve">Protocol constants, literature values and retained illustrations have separate</w:t>
      </w:r>
      <w:r>
        <w:t xml:space="preserve"> </w:t>
      </w:r>
      <w:r>
        <w:t xml:space="preserve">source-review obligations. Resolving macros and compiling a package do not</w:t>
      </w:r>
      <w:r>
        <w:t xml:space="preserve"> </w:t>
      </w:r>
      <w:r>
        <w:t xml:space="preserve">establish scientific correctness or prevent every inconsistency.</w:t>
      </w:r>
      <w:r>
        <w:t xml:space="preserve"> </w:t>
      </w:r>
      <w:r>
        <w:t xml:space="preserve">Release checks cover source bindings, references, declared assets and</w:t>
      </w:r>
      <w:r>
        <w:t xml:space="preserve"> </w:t>
      </w:r>
      <w:r>
        <w:t xml:space="preserve">document structure, with unresolved items distinguished from verified values.</w:t>
      </w:r>
    </w:p>
    <w:bookmarkEnd w:id="288"/>
    <w:bookmarkStart w:id="290" w:name="checkpoint-identity."/>
    <w:p>
      <w:pPr>
        <w:pStyle w:val="Heading4"/>
      </w:pPr>
      <w:r>
        <w:t xml:space="preserve">Checkpoint identity.</w:t>
      </w:r>
    </w:p>
    <w:p>
      <w:pPr>
        <w:pStyle w:val="FirstParagraph"/>
      </w:pPr>
      <w:r>
        <w:t xml:space="preserve">The shared epoch-25 ancestor is identified by</w:t>
      </w:r>
      <w:r>
        <w:t xml:space="preserve"> </w:t>
      </w:r>
      <w:r>
        <w:t xml:space="preserve">SHA-256</w:t>
      </w:r>
      <w:r>
        <w:t xml:space="preserve"> </w:t>
      </w:r>
      <w:r>
        <w:t xml:space="preserve">(</w:t>
      </w:r>
      <w:r>
        <w:rPr>
          <w:rStyle w:val="VerbatimChar"/>
        </w:rPr>
        <w:t xml:space="preserve">e5ad5b0c2aadfa15449409786afbfa39d8b5405b699be8f02f2e540195e97e7b</w:t>
      </w:r>
      <w:r>
        <w:t xml:space="preserve">),</w:t>
      </w:r>
      <w:r>
        <w:t xml:space="preserve"> </w:t>
      </w:r>
      <w:r>
        <w:t xml:space="preserve">which was checked against the retained copies, and the replication chain of</w:t>
      </w:r>
      <w:r>
        <w:t xml:space="preserve"> </w:t>
      </w:r>
      <w:r>
        <w:t xml:space="preserve">Appendix </w:t>
      </w:r>
      <w:bookmarkStart w:id="289" w:name="jeparef0125"/>
      <w:r>
        <w:t xml:space="preserve">B</w:t>
      </w:r>
      <w:bookmarkEnd w:id="289"/>
      <w:r>
        <w:t xml:space="preserve"> </w:t>
      </w:r>
      <w:r>
        <w:t xml:space="preserve">re-hashes it before each leg.</w:t>
      </w:r>
      <w:r>
        <w:t xml:space="preserve"> </w:t>
      </w:r>
      <w:r>
        <w:t xml:space="preserve">The frozen-probe implementation disables encoder gradients; file hashes bind</w:t>
      </w:r>
      <w:r>
        <w:t xml:space="preserve"> </w:t>
      </w:r>
      <w:r>
        <w:t xml:space="preserve">the saved checkpoint but are not, by themselves, a check of every in-memory</w:t>
      </w:r>
      <w:r>
        <w:t xml:space="preserve"> </w:t>
      </w:r>
      <w:r>
        <w:t xml:space="preserve">parameter update. The six proposed replication configurations differ in policy,</w:t>
      </w:r>
      <w:r>
        <w:t xml:space="preserve"> </w:t>
      </w:r>
      <w:r>
        <w:t xml:space="preserve">seed and logging fields, not only seed.</w:t>
      </w:r>
    </w:p>
    <w:bookmarkEnd w:id="290"/>
    <w:bookmarkStart w:id="293" w:name="unretained-evidence."/>
    <w:p>
      <w:pPr>
        <w:pStyle w:val="Heading4"/>
      </w:pPr>
      <w:r>
        <w:t xml:space="preserve">Unretained evidence.</w:t>
      </w:r>
    </w:p>
    <w:p>
      <w:pPr>
        <w:pStyle w:val="FirstParagraph"/>
      </w:pPr>
      <w:r>
        <w:t xml:space="preserve">An earlier per-cell concentration claim and probe-seed noise bound had no</w:t>
      </w:r>
      <w:r>
        <w:t xml:space="preserve"> </w:t>
      </w:r>
      <w:r>
        <w:t xml:space="preserve">retained producing artifacts and are not reported as results here.</w:t>
      </w:r>
      <w:r>
        <w:t xml:space="preserve"> </w:t>
      </w:r>
      <w:r>
        <w:t xml:space="preserve">The corresponding spatial-consistency mechanism is not established</w:t>
      </w:r>
      <w:r>
        <w:t xml:space="preserve"> </w:t>
      </w:r>
      <w:r>
        <w:t xml:space="preserve">(Sections </w:t>
      </w:r>
      <w:bookmarkStart w:id="291" w:name="jeparef0126"/>
      <w:r>
        <w:t xml:space="preserve">5.2</w:t>
      </w:r>
      <w:bookmarkEnd w:id="291"/>
      <w:r>
        <w:t xml:space="preserve"> </w:t>
      </w:r>
      <w:r>
        <w:t xml:space="preserve">and </w:t>
      </w:r>
      <w:bookmarkStart w:id="292" w:name="jeparef0127"/>
      <w:r>
        <w:t xml:space="preserve">6</w:t>
      </w:r>
      <w:bookmarkEnd w:id="292"/>
      <w:r>
        <w:t xml:space="preserve">). Provenance and the</w:t>
      </w:r>
      <w:r>
        <w:t xml:space="preserve"> </w:t>
      </w:r>
      <w:r>
        <w:t xml:space="preserve">appropriateness of the analysis are necessary for a numerical claim, whether</w:t>
      </w:r>
      <w:r>
        <w:t xml:space="preserve"> </w:t>
      </w:r>
      <w:r>
        <w:t xml:space="preserve">the value is written directly or generated.</w:t>
      </w:r>
    </w:p>
    <w:bookmarkEnd w:id="293"/>
    <w:bookmarkEnd w:id="294"/>
    <w:bookmarkStart w:id="297" w:name="fine-tuning-narrows-the-observed-gap"/>
    <w:p>
      <w:pPr>
        <w:pStyle w:val="Heading1"/>
      </w:pPr>
      <w:r>
        <w:t xml:space="preserve">Fine-tuning narrows the observed gap</w:t>
      </w:r>
    </w:p>
    <w:p>
      <w:pPr>
        <w:pStyle w:val="FirstParagraph"/>
      </w:pPr>
      <w:r>
        <w:t xml:space="preserve">Under full fine-tuning rather than a frozen probe,</w:t>
      </w:r>
      <w:r>
        <w:t xml:space="preserve"> </w:t>
      </w:r>
      <w:r>
        <w:rPr>
          <w:smallCaps/>
        </w:rPr>
        <w:t xml:space="preserve">centroid</w:t>
      </w:r>
      <w:r>
        <w:t xml:space="preserve"> </w:t>
      </w:r>
      <w:r>
        <w:t xml:space="preserve">reaches</w:t>
      </w:r>
      <w:r>
        <w:t xml:space="preserve"> </w:t>
      </w:r>
      <m:oMath>
        <m:r>
          <m:t>0.8947</m:t>
        </m:r>
      </m:oMath>
      <w:r>
        <w:t xml:space="preserve"> </w:t>
      </w:r>
      <w:r>
        <w:t xml:space="preserve">(mean-pool head) against</w:t>
      </w:r>
      <w:r>
        <w:t xml:space="preserve"> </w:t>
      </w:r>
      <w:r>
        <w:rPr>
          <w:smallCaps/>
        </w:rPr>
        <w:t xml:space="preserve">random</w:t>
      </w:r>
      <w:r>
        <w:t xml:space="preserve">’s</w:t>
      </w:r>
      <w:r>
        <w:t xml:space="preserve"> </w:t>
      </w:r>
      <m:oMath>
        <m:r>
          <m:t>0.8868</m:t>
        </m:r>
      </m:oMath>
      <w:r>
        <w:t xml:space="preserve">, a gap of</w:t>
      </w:r>
      <w:r>
        <w:t xml:space="preserve"> </w:t>
      </w:r>
      <m:oMath>
        <m:r>
          <m:rPr>
            <m:sty m:val="p"/>
          </m:rPr>
          <m:t>+</m:t>
        </m:r>
        <m:r>
          <m:t>0.0079</m:t>
        </m:r>
      </m:oMath>
      <w:r>
        <w:t xml:space="preserve"> </w:t>
      </w:r>
      <w:r>
        <w:t xml:space="preserve">compared with</w:t>
      </w:r>
      <w:r>
        <w:t xml:space="preserve"> </w:t>
      </w:r>
      <m:oMath>
        <m:r>
          <m:rPr>
            <m:sty m:val="p"/>
          </m:rPr>
          <m:t>+</m:t>
        </m:r>
        <m:r>
          <m:t>0.0109</m:t>
        </m:r>
      </m:oMath>
      <w:r>
        <w:t xml:space="preserve"> </w:t>
      </w:r>
      <w:r>
        <w:t xml:space="preserve">frozen. Taking each arm’s best head instead, the gap is</w:t>
      </w:r>
      <w:r>
        <w:t xml:space="preserve"> </w:t>
      </w:r>
      <m:oMath>
        <m:r>
          <m:rPr>
            <m:sty m:val="p"/>
          </m:rPr>
          <m:t>+</m:t>
        </m:r>
        <m:r>
          <m:t>0.0069</m:t>
        </m:r>
      </m:oMath>
      <w:r>
        <w:t xml:space="preserve">. The</w:t>
      </w:r>
      <w:r>
        <w:t xml:space="preserve"> </w:t>
      </w:r>
      <w:r>
        <w:t xml:space="preserve">observed gap is smaller after supervised adaptation. These test-set-selected</w:t>
      </w:r>
      <w:r>
        <w:t xml:space="preserve"> </w:t>
      </w:r>
      <w:r>
        <w:t xml:space="preserve">head point estimates do not distinguish representation quality from optimisation.</w:t>
      </w:r>
      <w:r>
        <w:t xml:space="preserve"> </w:t>
      </w:r>
      <w:r>
        <w:t xml:space="preserve">These runs used a different</w:t>
      </w:r>
      <w:r>
        <w:t xml:space="preserve"> </w:t>
      </w:r>
      <w:r>
        <w:t xml:space="preserve">head and schedule from the frozen probes and are never pooled with them</w:t>
      </w:r>
      <w:r>
        <w:t xml:space="preserve"> </w:t>
      </w:r>
      <w:r>
        <w:t xml:space="preserve">(Table </w:t>
      </w:r>
      <w:bookmarkStart w:id="295" w:name="jeparef0128"/>
      <w:r>
        <w:t xml:space="preserve">17</w:t>
      </w:r>
      <w:bookmarkEnd w:id="295"/>
      <w:r>
        <w:t xml:space="preserve">).</w:t>
      </w:r>
    </w:p>
    <w:bookmarkStart w:id="296" w:name="tab:finetuned"/>
    <w:p>
      <w:pPr>
        <w:pStyle w:val="TableCaption"/>
      </w:pPr>
      <w:r>
        <w:t xml:space="preserve">Full fine-tuning, same test split: every arm/head combination, ordered</w:t>
      </w:r>
      <w:r>
        <w:t xml:space="preserve"> </w:t>
      </w:r>
      <w:r>
        <w:t xml:space="preserve">by test AUC. Head comparisons are descriptive point estimates, reported</w:t>
      </w:r>
      <w:r>
        <w:t xml:space="preserve"> </w:t>
      </w:r>
      <w:r>
        <w:t xml:space="preserve">separately from frozen probes and never pooled with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ull fine-tuning, same test split: every arm/head combination, ordered by test AUC. Head comparisons are descriptive point estimates, reported separately from frozen probes and never pooled with them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mean-pool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0.894668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cross-attention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0.893717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0.887763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cross-attention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mean-pool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0.886756</w:t>
            </w:r>
          </w:p>
        </w:tc>
      </w:tr>
    </w:tbl>
    <w:bookmarkEnd w:id="296"/>
    <w:bookmarkEnd w:id="297"/>
    <w:bookmarkStart w:id="386" w:name="bibliography"/>
    <w:p>
      <w:pPr>
        <w:pStyle w:val="Heading1"/>
      </w:pPr>
      <w:r>
        <w:t xml:space="preserve">References</w:t>
      </w:r>
    </w:p>
    <w:bookmarkStart w:id="385" w:name="refs"/>
    <w:bookmarkStart w:id="299" w:name="ref-assran2023ijepa"/>
    <w:p>
      <w:pPr>
        <w:pStyle w:val="Bibliography"/>
      </w:pPr>
      <w:r>
        <w:t xml:space="preserve">Assran, Mahmoud, Quentin Duval, Ishan Misra, et al. 2023.</w:t>
      </w:r>
      <w:r>
        <w:t xml:space="preserve"> </w:t>
      </w:r>
      <w:r>
        <w:t xml:space="preserve">“Self-Supervised Learning from Images with a Joint-Embedding Predictive Architecture.”</w:t>
      </w:r>
      <w:r>
        <w:t xml:space="preserve"> </w:t>
      </w:r>
      <w:r>
        <w:rPr>
          <w:i/>
          <w:iCs/>
        </w:rPr>
        <w:t xml:space="preserve">Proceedings of the IEEE/CVF Conference on Computer Vision and Pattern Recognition</w:t>
      </w:r>
      <w:r>
        <w:t xml:space="preserve">, 15619–29.</w:t>
      </w:r>
      <w:r>
        <w:t xml:space="preserve"> </w:t>
      </w:r>
      <w:hyperlink r:id="rId298">
        <w:r>
          <w:rPr>
            <w:rStyle w:val="Hyperlink"/>
          </w:rPr>
          <w:t xml:space="preserve">https://doi.org/10.1109/CVPR52729.2023.01499</w:t>
        </w:r>
      </w:hyperlink>
      <w:r>
        <w:t xml:space="preserve">.</w:t>
      </w:r>
    </w:p>
    <w:bookmarkEnd w:id="299"/>
    <w:bookmarkStart w:id="300" w:name="ref-azizi2021big"/>
    <w:p>
      <w:pPr>
        <w:pStyle w:val="Bibliography"/>
      </w:pPr>
      <w:r>
        <w:t xml:space="preserve">Azizi, Shekoofeh, Basil Mustafa, Fiona Ryan, et al.</w:t>
      </w:r>
      <w:r>
        <w:t xml:space="preserve"> 2021.</w:t>
      </w:r>
      <w:r>
        <w:t xml:space="preserve"> </w:t>
      </w:r>
      <w:r>
        <w:t xml:space="preserve">“Big Self-Supervised Models Advance Medical Image Classification.”</w:t>
      </w:r>
      <w:r>
        <w:t xml:space="preserve"> </w:t>
      </w:r>
      <w:r>
        <w:rPr>
          <w:i/>
          <w:iCs/>
        </w:rPr>
        <w:t xml:space="preserve">Proceedings of the IEEE/CVF International Conference on Computer Vision</w:t>
      </w:r>
      <w:r>
        <w:t xml:space="preserve">.</w:t>
      </w:r>
    </w:p>
    <w:bookmarkEnd w:id="300"/>
    <w:bookmarkStart w:id="302" w:name="ref-baevski2022data2vec"/>
    <w:p>
      <w:pPr>
        <w:pStyle w:val="Bibliography"/>
      </w:pPr>
      <w:r>
        <w:t xml:space="preserve">Baevski, Alexei, Wei-Ning Hsu, Qiantong Xu, Arun Babu, Jiatao Gu, and Michael Auli. 2022.</w:t>
      </w:r>
      <w:r>
        <w:t xml:space="preserve"> </w:t>
      </w:r>
      <w:r>
        <w:t xml:space="preserve">“Data2vec: A General Framework for Self-Supervised Learning in Speech, Vision and Language.”</w:t>
      </w:r>
      <w:r>
        <w:t xml:space="preserve"> </w:t>
      </w:r>
      <w:r>
        <w:rPr>
          <w:i/>
          <w:iCs/>
        </w:rPr>
        <w:t xml:space="preserve">Proceedings of the 39th International Conference on Machine Learning</w:t>
      </w:r>
      <w:r>
        <w:t xml:space="preserve">, Proceedings of machine learning research, vol. 162: 1298–312.</w:t>
      </w:r>
      <w:r>
        <w:t xml:space="preserve"> </w:t>
      </w:r>
      <w:hyperlink r:id="rId301">
        <w:r>
          <w:rPr>
            <w:rStyle w:val="Hyperlink"/>
          </w:rPr>
          <w:t xml:space="preserve">https://proceedings.mlr.press/v162/baevski22a.html</w:t>
        </w:r>
      </w:hyperlink>
      <w:r>
        <w:t xml:space="preserve">.</w:t>
      </w:r>
    </w:p>
    <w:bookmarkEnd w:id="302"/>
    <w:bookmarkStart w:id="304" w:name="ref-balestriero2025lejepa"/>
    <w:p>
      <w:pPr>
        <w:pStyle w:val="Bibliography"/>
      </w:pPr>
      <w:r>
        <w:t xml:space="preserve">Balestriero, Randall, and Yann LeCun. 2025.</w:t>
      </w:r>
      <w:r>
        <w:t xml:space="preserve"> </w:t>
      </w:r>
      <w:r>
        <w:rPr>
          <w:i/>
          <w:iCs/>
        </w:rPr>
        <w:t xml:space="preserve">LeJEPA</w:t>
      </w:r>
      <w:r>
        <w:rPr>
          <w:i/>
          <w:iCs/>
        </w:rPr>
        <w:t xml:space="preserve">: Provable and Scalable Self-Supervised Learning Without the Heuristics</w:t>
      </w:r>
      <w:r>
        <w:t xml:space="preserve">.</w:t>
      </w:r>
      <w:r>
        <w:t xml:space="preserve"> </w:t>
      </w:r>
      <w:hyperlink r:id="rId303">
        <w:r>
          <w:rPr>
            <w:rStyle w:val="Hyperlink"/>
          </w:rPr>
          <w:t xml:space="preserve">https://doi.org/10.48550/arXiv.2511.08544</w:t>
        </w:r>
      </w:hyperlink>
      <w:r>
        <w:t xml:space="preserve">.</w:t>
      </w:r>
    </w:p>
    <w:bookmarkEnd w:id="304"/>
    <w:bookmarkStart w:id="306" w:name="ref-bao2022beit"/>
    <w:p>
      <w:pPr>
        <w:pStyle w:val="Bibliography"/>
      </w:pPr>
      <w:r>
        <w:t xml:space="preserve">Bao, Hangbo, Li Dong, Songhao Piao, and Furu Wei. 2022.</w:t>
      </w:r>
      <w:r>
        <w:t xml:space="preserve"> </w:t>
      </w:r>
      <w:r>
        <w:t xml:space="preserve">“</w:t>
      </w:r>
      <w:r>
        <w:t xml:space="preserve">BEiT</w:t>
      </w:r>
      <w:r>
        <w:t xml:space="preserve">:</w:t>
      </w:r>
      <w:r>
        <w:t xml:space="preserve"> </w:t>
      </w:r>
      <w:r>
        <w:t xml:space="preserve">BERT</w:t>
      </w:r>
      <w:r>
        <w:t xml:space="preserve"> </w:t>
      </w:r>
      <w:r>
        <w:t xml:space="preserve">Pre-Training of Image Transformers.”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305">
        <w:r>
          <w:rPr>
            <w:rStyle w:val="Hyperlink"/>
          </w:rPr>
          <w:t xml:space="preserve">https://openreview.net/forum?id=p-BhZSz59o4</w:t>
        </w:r>
      </w:hyperlink>
      <w:r>
        <w:t xml:space="preserve">.</w:t>
      </w:r>
    </w:p>
    <w:bookmarkEnd w:id="306"/>
    <w:bookmarkStart w:id="308" w:name="ref-bardes2024vjepa"/>
    <w:p>
      <w:pPr>
        <w:pStyle w:val="Bibliography"/>
      </w:pPr>
      <w:r>
        <w:t xml:space="preserve">Bardes, Adrien, Quentin Garrido, Jean Ponce, et al. 2024.</w:t>
      </w:r>
      <w:r>
        <w:t xml:space="preserve"> </w:t>
      </w:r>
      <w:r>
        <w:t xml:space="preserve">“Revisiting Feature Prediction for Learning Visual Representations from Video.”</w:t>
      </w:r>
      <w:r>
        <w:t xml:space="preserve"> </w:t>
      </w:r>
      <w:r>
        <w:rPr>
          <w:i/>
          <w:iCs/>
        </w:rPr>
        <w:t xml:space="preserve">Transactions on Machine Learning Research</w:t>
      </w:r>
      <w:r>
        <w:t xml:space="preserve">.</w:t>
      </w:r>
      <w:r>
        <w:t xml:space="preserve"> </w:t>
      </w:r>
      <w:hyperlink r:id="rId307">
        <w:r>
          <w:rPr>
            <w:rStyle w:val="Hyperlink"/>
          </w:rPr>
          <w:t xml:space="preserve">https://openreview.net/forum?id=QaCCuDfBk2</w:t>
        </w:r>
      </w:hyperlink>
      <w:r>
        <w:t xml:space="preserve">.</w:t>
      </w:r>
    </w:p>
    <w:bookmarkEnd w:id="308"/>
    <w:bookmarkStart w:id="310" w:name="ref-bouthillier2021variance"/>
    <w:p>
      <w:pPr>
        <w:pStyle w:val="Bibliography"/>
      </w:pPr>
      <w:r>
        <w:t xml:space="preserve">Bouthillier, Xavier, Pierre Delaunay, Mirko Bronzi, et al. 2021.</w:t>
      </w:r>
      <w:r>
        <w:t xml:space="preserve"> </w:t>
      </w:r>
      <w:r>
        <w:t xml:space="preserve">“Accounting for Variance in Machine Learning Benchmarks.”</w:t>
      </w:r>
      <w:r>
        <w:t xml:space="preserve"> </w:t>
      </w:r>
      <w:r>
        <w:rPr>
          <w:i/>
          <w:iCs/>
        </w:rPr>
        <w:t xml:space="preserve">Proceedings of Machine Learning and Systems</w:t>
      </w:r>
      <w:r>
        <w:t xml:space="preserve"> </w:t>
      </w:r>
      <w:r>
        <w:t xml:space="preserve">3: 747–69.</w:t>
      </w:r>
      <w:r>
        <w:t xml:space="preserve"> </w:t>
      </w:r>
      <w:hyperlink r:id="rId309">
        <w:r>
          <w:rPr>
            <w:rStyle w:val="Hyperlink"/>
          </w:rPr>
          <w:t xml:space="preserve">https://proceedings.mlsys.org/paper_files/paper/2021/hash/0184b0cd3cfb185989f858a1d9f5c1eb-Abstract.html</w:t>
        </w:r>
      </w:hyperlink>
      <w:r>
        <w:t xml:space="preserve">.</w:t>
      </w:r>
    </w:p>
    <w:bookmarkEnd w:id="310"/>
    <w:bookmarkStart w:id="312" w:name="ref-ceballosarroyo2026anatomymae"/>
    <w:p>
      <w:pPr>
        <w:pStyle w:val="Bibliography"/>
      </w:pPr>
      <w:r>
        <w:t xml:space="preserve">Ceballos Arroyo, Alberto M., Jisoo Kim, Chu-Hsuan Lin, Lei Qin, Geoffrey S. Young, and Huaizu Jiang. 2026.</w:t>
      </w:r>
      <w:r>
        <w:t xml:space="preserve"> </w:t>
      </w:r>
      <w:r>
        <w:t xml:space="preserve">“Anatomically-Guided Masked Autoencoder Pre-Training for Aneurysm Detection.”</w:t>
      </w:r>
      <w:r>
        <w:t xml:space="preserve"> </w:t>
      </w:r>
      <w:r>
        <w:rPr>
          <w:i/>
          <w:iCs/>
        </w:rPr>
        <w:t xml:space="preserve">Proceedings of the IEEE/CVF Winter Conference on Applications of Computer Vision</w:t>
      </w:r>
      <w:r>
        <w:t xml:space="preserve">, 5693–702.</w:t>
      </w:r>
      <w:r>
        <w:t xml:space="preserve"> </w:t>
      </w:r>
      <w:hyperlink r:id="rId311">
        <w:r>
          <w:rPr>
            <w:rStyle w:val="Hyperlink"/>
          </w:rPr>
          <w:t xml:space="preserve">https://doi.org/10.1109/WACV61042.2026.00552</w:t>
        </w:r>
      </w:hyperlink>
      <w:r>
        <w:t xml:space="preserve">.</w:t>
      </w:r>
    </w:p>
    <w:bookmarkEnd w:id="312"/>
    <w:bookmarkStart w:id="314" w:name="ref-chen2023automae"/>
    <w:p>
      <w:pPr>
        <w:pStyle w:val="Bibliography"/>
      </w:pPr>
      <w:r>
        <w:t xml:space="preserve">Chen, Haijian, Wendong Zhang, Yunbo Wang, and Xiaokang Yang. 2023.</w:t>
      </w:r>
      <w:r>
        <w:t xml:space="preserve"> </w:t>
      </w:r>
      <w:r>
        <w:t xml:space="preserve">“Improving Masked Autoencoders by Learning Where to Mask.”</w:t>
      </w:r>
      <w:r>
        <w:t xml:space="preserve"> </w:t>
      </w:r>
      <w:r>
        <w:rPr>
          <w:i/>
          <w:iCs/>
        </w:rPr>
        <w:t xml:space="preserve">Pattern Recognition and Computer Vision</w:t>
      </w:r>
      <w:r>
        <w:t xml:space="preserve">, 377–90.</w:t>
      </w:r>
      <w:r>
        <w:t xml:space="preserve"> </w:t>
      </w:r>
      <w:hyperlink r:id="rId313">
        <w:r>
          <w:rPr>
            <w:rStyle w:val="Hyperlink"/>
          </w:rPr>
          <w:t xml:space="preserve">https://doi.org/10.1007/978-981-99-8543-2_31</w:t>
        </w:r>
      </w:hyperlink>
      <w:r>
        <w:t xml:space="preserve">.</w:t>
      </w:r>
    </w:p>
    <w:bookmarkEnd w:id="314"/>
    <w:bookmarkStart w:id="316" w:name="ref-chen2023mim3d"/>
    <w:p>
      <w:pPr>
        <w:pStyle w:val="Bibliography"/>
      </w:pPr>
      <w:r>
        <w:t xml:space="preserve">Chen, Zekai, Devansh Agarwal, Kshitij Aggarwal, Wiem Safta, Mariann Micsinai Balan, and Kevin Brown. 2023.</w:t>
      </w:r>
      <w:r>
        <w:t xml:space="preserve"> </w:t>
      </w:r>
      <w:r>
        <w:t xml:space="preserve">“Masked Image Modeling Advances 3D Medical Image Analysis.”</w:t>
      </w:r>
      <w:r>
        <w:t xml:space="preserve"> </w:t>
      </w:r>
      <w:r>
        <w:rPr>
          <w:i/>
          <w:iCs/>
        </w:rPr>
        <w:t xml:space="preserve">Proceedings of the IEEE/CVF Winter Conference on Applications of Computer Vision</w:t>
      </w:r>
      <w:r>
        <w:t xml:space="preserve">, 1970–80.</w:t>
      </w:r>
      <w:r>
        <w:t xml:space="preserve"> </w:t>
      </w:r>
      <w:hyperlink r:id="rId315">
        <w:r>
          <w:rPr>
            <w:rStyle w:val="Hyperlink"/>
          </w:rPr>
          <w:t xml:space="preserve">https://doi.org/10.1109/WACV56688.2023.00201</w:t>
        </w:r>
      </w:hyperlink>
      <w:r>
        <w:t xml:space="preserve">.</w:t>
      </w:r>
    </w:p>
    <w:bookmarkEnd w:id="316"/>
    <w:bookmarkStart w:id="318" w:name="ref-delong1988roc"/>
    <w:p>
      <w:pPr>
        <w:pStyle w:val="Bibliography"/>
      </w:pPr>
      <w:r>
        <w:t xml:space="preserve">DeLong, Elizabeth R., David M. DeLong, and Daniel L. Clarke-Pearson. 1988.</w:t>
      </w:r>
      <w:r>
        <w:t xml:space="preserve"> </w:t>
      </w:r>
      <w:r>
        <w:t xml:space="preserve">“Comparing the Areas Under Two or More Correlated Receiver Operating Characteristic Curves: A Nonparametric Approach.”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44 (3): 837–45.</w:t>
      </w:r>
      <w:r>
        <w:t xml:space="preserve"> </w:t>
      </w:r>
      <w:hyperlink r:id="rId317">
        <w:r>
          <w:rPr>
            <w:rStyle w:val="Hyperlink"/>
          </w:rPr>
          <w:t xml:space="preserve">https://doi.org/10.2307/2531595</w:t>
        </w:r>
      </w:hyperlink>
      <w:r>
        <w:t xml:space="preserve">.</w:t>
      </w:r>
    </w:p>
    <w:bookmarkEnd w:id="318"/>
    <w:bookmarkStart w:id="320" w:name="ref-gichoya2022race"/>
    <w:p>
      <w:pPr>
        <w:pStyle w:val="Bibliography"/>
      </w:pPr>
      <w:r>
        <w:t xml:space="preserve">Gichoya, Judy Wawira, Imon Banerjee, Ananth Reddy Bhimireddy, et al. 2022.</w:t>
      </w:r>
      <w:r>
        <w:t xml:space="preserve"> </w:t>
      </w:r>
      <w:r>
        <w:t xml:space="preserve">“</w:t>
      </w:r>
      <w:r>
        <w:t xml:space="preserve">AI</w:t>
      </w:r>
      <w:r>
        <w:t xml:space="preserve"> </w:t>
      </w:r>
      <w:r>
        <w:t xml:space="preserve">Recognition of Patient Race in Medical Imaging: A Modelling Study.”</w:t>
      </w:r>
      <w:r>
        <w:t xml:space="preserve"> </w:t>
      </w:r>
      <w:r>
        <w:rPr>
          <w:i/>
          <w:iCs/>
        </w:rPr>
        <w:t xml:space="preserve">The Lancet Digital Health</w:t>
      </w:r>
      <w:r>
        <w:t xml:space="preserve"> </w:t>
      </w:r>
      <w:r>
        <w:t xml:space="preserve">4 (6): e406–14.</w:t>
      </w:r>
      <w:r>
        <w:t xml:space="preserve"> </w:t>
      </w:r>
      <w:hyperlink r:id="rId319">
        <w:r>
          <w:rPr>
            <w:rStyle w:val="Hyperlink"/>
          </w:rPr>
          <w:t xml:space="preserve">https://doi.org/10.1016/S2589-7500(22)00063-2</w:t>
        </w:r>
      </w:hyperlink>
      <w:r>
        <w:t xml:space="preserve">.</w:t>
      </w:r>
    </w:p>
    <w:bookmarkEnd w:id="320"/>
    <w:bookmarkStart w:id="322" w:name="ref-he2022mae"/>
    <w:p>
      <w:pPr>
        <w:pStyle w:val="Bibliography"/>
      </w:pPr>
      <w:r>
        <w:t xml:space="preserve">He, Kaiming, Xinlei Chen, Saining Xie, Yanghao Li, Piotr Dollár, and Ross Girshick. 2022.</w:t>
      </w:r>
      <w:r>
        <w:t xml:space="preserve"> </w:t>
      </w:r>
      <w:r>
        <w:t xml:space="preserve">“Masked Autoencoders Are Scalable Vision Learners.”</w:t>
      </w:r>
      <w:r>
        <w:t xml:space="preserve"> </w:t>
      </w:r>
      <w:r>
        <w:rPr>
          <w:i/>
          <w:iCs/>
        </w:rPr>
        <w:t xml:space="preserve">Proceedings of the IEEE/CVF Conference on Computer Vision and Pattern Recognition</w:t>
      </w:r>
      <w:r>
        <w:t xml:space="preserve">, 16000–16009.</w:t>
      </w:r>
      <w:r>
        <w:t xml:space="preserve"> </w:t>
      </w:r>
      <w:hyperlink r:id="rId321">
        <w:r>
          <w:rPr>
            <w:rStyle w:val="Hyperlink"/>
          </w:rPr>
          <w:t xml:space="preserve">https://doi.org/10.1109/CVPR52688.2022.01553</w:t>
        </w:r>
      </w:hyperlink>
      <w:r>
        <w:t xml:space="preserve">.</w:t>
      </w:r>
    </w:p>
    <w:bookmarkEnd w:id="322"/>
    <w:bookmarkStart w:id="324" w:name="ref-he2025dseqjepa"/>
    <w:p>
      <w:pPr>
        <w:pStyle w:val="Bibliography"/>
      </w:pPr>
      <w:r>
        <w:t xml:space="preserve">He, Xiangteng, Shunsuke Sakai, Shivam Chandhok, et al. 2025.</w:t>
      </w:r>
      <w:r>
        <w:t xml:space="preserve"> </w:t>
      </w:r>
      <w:r>
        <w:rPr>
          <w:i/>
          <w:iCs/>
        </w:rPr>
        <w:t xml:space="preserve">DSeq-JEPA</w:t>
      </w:r>
      <w:r>
        <w:rPr>
          <w:i/>
          <w:iCs/>
        </w:rPr>
        <w:t xml:space="preserve">: Discriminative Sequential Joint-Embedding Predictive Architecture</w:t>
      </w:r>
      <w:r>
        <w:t xml:space="preserve">.</w:t>
      </w:r>
      <w:r>
        <w:t xml:space="preserve"> </w:t>
      </w:r>
      <w:hyperlink r:id="rId323">
        <w:r>
          <w:rPr>
            <w:rStyle w:val="Hyperlink"/>
          </w:rPr>
          <w:t xml:space="preserve">https://doi.org/10.48550/arXiv.2511.17354</w:t>
        </w:r>
      </w:hyperlink>
      <w:r>
        <w:t xml:space="preserve">.</w:t>
      </w:r>
    </w:p>
    <w:bookmarkEnd w:id="324"/>
    <w:bookmarkStart w:id="326" w:name="ref-huang2026vasomim"/>
    <w:p>
      <w:pPr>
        <w:pStyle w:val="Bibliography"/>
      </w:pPr>
      <w:r>
        <w:t xml:space="preserve">Huang, De-Xing, Xiao-Hu Zhou, Mei-Jiang Gui, et al. 2026.</w:t>
      </w:r>
      <w:r>
        <w:t xml:space="preserve"> </w:t>
      </w:r>
      <w:r>
        <w:t xml:space="preserve">“</w:t>
      </w:r>
      <w:r>
        <w:t xml:space="preserve">VasoMIM</w:t>
      </w:r>
      <w:r>
        <w:t xml:space="preserve">: Vascular Anatomy-Aware Masked Image Modeling for Vessel Segmentation.”</w:t>
      </w:r>
      <w:r>
        <w:t xml:space="preserve"> </w:t>
      </w:r>
      <w:r>
        <w:rPr>
          <w:i/>
          <w:iCs/>
        </w:rPr>
        <w:t xml:space="preserve">Proceedings of the AAAI Conference on Artificial Intelligence</w:t>
      </w:r>
      <w:r>
        <w:t xml:space="preserve"> </w:t>
      </w:r>
      <w:r>
        <w:t xml:space="preserve">40: 4985–93.</w:t>
      </w:r>
      <w:r>
        <w:t xml:space="preserve"> </w:t>
      </w:r>
      <w:hyperlink r:id="rId325">
        <w:r>
          <w:rPr>
            <w:rStyle w:val="Hyperlink"/>
          </w:rPr>
          <w:t xml:space="preserve">https://doi.org/10.1609/aaai.v40i6.42503</w:t>
        </w:r>
      </w:hyperlink>
      <w:r>
        <w:t xml:space="preserve">.</w:t>
      </w:r>
    </w:p>
    <w:bookmarkEnd w:id="326"/>
    <w:bookmarkStart w:id="328" w:name="ref-huang2024ssit"/>
    <w:p>
      <w:pPr>
        <w:pStyle w:val="Bibliography"/>
      </w:pPr>
      <w:r>
        <w:t xml:space="preserve">Huang, Yijin, Junyan Lyu, Pujin Cheng, Roger Tam, and Xiaoying Tang. 2024.</w:t>
      </w:r>
      <w:r>
        <w:t xml:space="preserve"> </w:t>
      </w:r>
      <w:r>
        <w:t xml:space="preserve">“</w:t>
      </w:r>
      <w:r>
        <w:t xml:space="preserve">SSiT</w:t>
      </w:r>
      <w:r>
        <w:t xml:space="preserve">: Saliency-Guided Self-Supervised Image Transformer for Diabetic Retinopathy Grading.”</w:t>
      </w:r>
      <w:r>
        <w:t xml:space="preserve"> </w:t>
      </w:r>
      <w:r>
        <w:rPr>
          <w:i/>
          <w:iCs/>
        </w:rPr>
        <w:t xml:space="preserve">IEEE Journal of Biomedical and Health Informatics</w:t>
      </w:r>
      <w:r>
        <w:t xml:space="preserve"> </w:t>
      </w:r>
      <w:r>
        <w:t xml:space="preserve">28 (5): 2806–17.</w:t>
      </w:r>
      <w:r>
        <w:t xml:space="preserve"> </w:t>
      </w:r>
      <w:hyperlink r:id="rId327">
        <w:r>
          <w:rPr>
            <w:rStyle w:val="Hyperlink"/>
          </w:rPr>
          <w:t xml:space="preserve">https://doi.org/10.1109/JBHI.2024.3362878</w:t>
        </w:r>
      </w:hyperlink>
      <w:r>
        <w:t xml:space="preserve">.</w:t>
      </w:r>
    </w:p>
    <w:bookmarkEnd w:id="328"/>
    <w:bookmarkStart w:id="330" w:name="ref-jin2024fairmedfm"/>
    <w:p>
      <w:pPr>
        <w:pStyle w:val="Bibliography"/>
      </w:pPr>
      <w:r>
        <w:t xml:space="preserve">Jin, Ruinan, Zikang Xu, Yuan Zhong, et al. 2024.</w:t>
      </w:r>
      <w:r>
        <w:t xml:space="preserve"> </w:t>
      </w:r>
      <w:r>
        <w:t xml:space="preserve">“</w:t>
      </w:r>
      <w:r>
        <w:t xml:space="preserve">FairMedFM</w:t>
      </w:r>
      <w:r>
        <w:t xml:space="preserve">: Fairness Benchmarking for Medical Imaging Foundation Models.”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37: 111318–57.</w:t>
      </w:r>
      <w:r>
        <w:t xml:space="preserve"> </w:t>
      </w:r>
      <w:hyperlink r:id="rId329">
        <w:r>
          <w:rPr>
            <w:rStyle w:val="Hyperlink"/>
          </w:rPr>
          <w:t xml:space="preserve">https://doi.org/10.52202/079017-3535</w:t>
        </w:r>
      </w:hyperlink>
      <w:r>
        <w:t xml:space="preserve">.</w:t>
      </w:r>
    </w:p>
    <w:bookmarkEnd w:id="330"/>
    <w:bookmarkStart w:id="332" w:name="ref-kakogeorgiou2022attmask"/>
    <w:p>
      <w:pPr>
        <w:pStyle w:val="Bibliography"/>
      </w:pPr>
      <w:r>
        <w:t xml:space="preserve">Kakogeorgiou, Ioannis, Spyros Gidaris, Bill Psomas, et al. 2022.</w:t>
      </w:r>
      <w:r>
        <w:t xml:space="preserve"> </w:t>
      </w:r>
      <w:r>
        <w:t xml:space="preserve">“What to Hide from Your Students: Attention-Guided Masked Image Modeling.”</w:t>
      </w:r>
      <w:r>
        <w:t xml:space="preserve"> </w:t>
      </w:r>
      <w:r>
        <w:rPr>
          <w:i/>
          <w:iCs/>
        </w:rPr>
        <w:t xml:space="preserve">Computer Vision – ECCV 2022</w:t>
      </w:r>
      <w:r>
        <w:t xml:space="preserve">, 300–318.</w:t>
      </w:r>
      <w:r>
        <w:t xml:space="preserve"> </w:t>
      </w:r>
      <w:hyperlink r:id="rId331">
        <w:r>
          <w:rPr>
            <w:rStyle w:val="Hyperlink"/>
          </w:rPr>
          <w:t xml:space="preserve">https://doi.org/10.1007/978-3-031-20056-4_18</w:t>
        </w:r>
      </w:hyperlink>
      <w:r>
        <w:t xml:space="preserve">.</w:t>
      </w:r>
    </w:p>
    <w:bookmarkEnd w:id="332"/>
    <w:bookmarkStart w:id="334" w:name="ref-larrazabal2020gender"/>
    <w:p>
      <w:pPr>
        <w:pStyle w:val="Bibliography"/>
      </w:pPr>
      <w:r>
        <w:t xml:space="preserve">Larrazabal, Agostina J., Nicolás Nieto, Victoria Peterson, Diego H. Milone, and Enzo Ferrante. 2020.</w:t>
      </w:r>
      <w:r>
        <w:t xml:space="preserve"> </w:t>
      </w:r>
      <w:r>
        <w:t xml:space="preserve">“Gender Imbalance in Medical Imaging Datasets Produces Biased Classifiers for Computer-Aided Diagnosis.”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117 (23): 12592–94.</w:t>
      </w:r>
      <w:r>
        <w:t xml:space="preserve"> </w:t>
      </w:r>
      <w:hyperlink r:id="rId333">
        <w:r>
          <w:rPr>
            <w:rStyle w:val="Hyperlink"/>
          </w:rPr>
          <w:t xml:space="preserve">https://doi.org/10.1073/pnas.1919012117</w:t>
        </w:r>
      </w:hyperlink>
      <w:r>
        <w:t xml:space="preserve">.</w:t>
      </w:r>
    </w:p>
    <w:bookmarkEnd w:id="334"/>
    <w:bookmarkStart w:id="336" w:name="ref-li2022semmae"/>
    <w:p>
      <w:pPr>
        <w:pStyle w:val="Bibliography"/>
      </w:pPr>
      <w:r>
        <w:t xml:space="preserve">Li, Gang, Heliang Zheng, Daqing Liu, Chaoyue Wang, Bing Su, and Changwen Zheng. 2022.</w:t>
      </w:r>
      <w:r>
        <w:t xml:space="preserve"> </w:t>
      </w:r>
      <w:r>
        <w:t xml:space="preserve">“</w:t>
      </w:r>
      <w:r>
        <w:t xml:space="preserve">SemMAE</w:t>
      </w:r>
      <w:r>
        <w:t xml:space="preserve">: Semantic-Guided Masking for Learning Masked Autoencoders.”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35: 14290–302.</w:t>
      </w:r>
      <w:r>
        <w:t xml:space="preserve"> </w:t>
      </w:r>
      <w:hyperlink r:id="rId335">
        <w:r>
          <w:rPr>
            <w:rStyle w:val="Hyperlink"/>
          </w:rPr>
          <w:t xml:space="preserve">https://doi.org/10.52202/068431-1039</w:t>
        </w:r>
      </w:hyperlink>
      <w:r>
        <w:t xml:space="preserve">.</w:t>
      </w:r>
    </w:p>
    <w:bookmarkEnd w:id="336"/>
    <w:bookmarkStart w:id="338" w:name="ref-li2024anatomask"/>
    <w:p>
      <w:pPr>
        <w:pStyle w:val="Bibliography"/>
      </w:pPr>
      <w:r>
        <w:t xml:space="preserve">Li, Yuheng, Tianyu Luan, Yizhou Wu, Shaoyan Pan, Yenho Chen, and Xiaofeng Yang. 2024.</w:t>
      </w:r>
      <w:r>
        <w:t xml:space="preserve"> </w:t>
      </w:r>
      <w:r>
        <w:t xml:space="preserve">“</w:t>
      </w:r>
      <w:r>
        <w:t xml:space="preserve">AnatoMask</w:t>
      </w:r>
      <w:r>
        <w:t xml:space="preserve">: Enhancing Medical Image Segmentation with Reconstruction-Guided Self-Masking.”</w:t>
      </w:r>
      <w:r>
        <w:t xml:space="preserve"> </w:t>
      </w:r>
      <w:r>
        <w:rPr>
          <w:i/>
          <w:iCs/>
        </w:rPr>
        <w:t xml:space="preserve">Computer Vision – ECCV 2024</w:t>
      </w:r>
      <w:r>
        <w:t xml:space="preserve">, 146–63.</w:t>
      </w:r>
      <w:r>
        <w:t xml:space="preserve"> </w:t>
      </w:r>
      <w:hyperlink r:id="rId337">
        <w:r>
          <w:rPr>
            <w:rStyle w:val="Hyperlink"/>
          </w:rPr>
          <w:t xml:space="preserve">https://doi.org/10.1007/978-3-031-73027-6_9</w:t>
        </w:r>
      </w:hyperlink>
      <w:r>
        <w:t xml:space="preserve">.</w:t>
      </w:r>
    </w:p>
    <w:bookmarkEnd w:id="338"/>
    <w:bookmarkStart w:id="340" w:name="ref-liu2026octcube"/>
    <w:p>
      <w:pPr>
        <w:pStyle w:val="Bibliography"/>
      </w:pPr>
      <w:r>
        <w:t xml:space="preserve">Liu, Zixuan, Hanwen Xu, Addie Woicik, et al. 2026.</w:t>
      </w:r>
      <w:r>
        <w:t xml:space="preserve"> </w:t>
      </w:r>
      <w:r>
        <w:t xml:space="preserve">“A Three-Dimensional Multi-Modal Foundation Model for Optical Coherence Tomography.”</w:t>
      </w:r>
      <w:r>
        <w:t xml:space="preserve"> </w:t>
      </w:r>
      <w:r>
        <w:rPr>
          <w:i/>
          <w:iCs/>
        </w:rPr>
        <w:t xml:space="preserve">Nature Biomedical Engineering</w:t>
      </w:r>
      <w:r>
        <w:t xml:space="preserve">, ahead of print.</w:t>
      </w:r>
      <w:r>
        <w:t xml:space="preserve"> </w:t>
      </w:r>
      <w:hyperlink r:id="rId339">
        <w:r>
          <w:rPr>
            <w:rStyle w:val="Hyperlink"/>
          </w:rPr>
          <w:t xml:space="preserve">https://doi.org/10.1038/s41551-026-01662-2</w:t>
        </w:r>
      </w:hyperlink>
      <w:r>
        <w:t xml:space="preserve">.</w:t>
      </w:r>
    </w:p>
    <w:bookmarkEnd w:id="340"/>
    <w:bookmarkStart w:id="342" w:name="ref-luo2024fairvision"/>
    <w:p>
      <w:pPr>
        <w:pStyle w:val="Bibliography"/>
      </w:pPr>
      <w:r>
        <w:t xml:space="preserve">Luo, Yan, Muhammad Osama Khan, Yu Tian, et al. 2024.</w:t>
      </w:r>
      <w:r>
        <w:t xml:space="preserve"> </w:t>
      </w:r>
      <w:r>
        <w:rPr>
          <w:i/>
          <w:iCs/>
        </w:rPr>
        <w:t xml:space="preserve">FairVision</w:t>
      </w:r>
      <w:r>
        <w:rPr>
          <w:i/>
          <w:iCs/>
        </w:rPr>
        <w:t xml:space="preserve">: Equitable Deep Learning for Eye Disease Screening via Fair Identity Scaling</w:t>
      </w:r>
      <w:r>
        <w:t xml:space="preserve">.</w:t>
      </w:r>
      <w:r>
        <w:t xml:space="preserve"> </w:t>
      </w:r>
      <w:hyperlink r:id="rId341">
        <w:r>
          <w:rPr>
            <w:rStyle w:val="Hyperlink"/>
          </w:rPr>
          <w:t xml:space="preserve">https://doi.org/10.48550/arXiv.2310.02492</w:t>
        </w:r>
      </w:hyperlink>
      <w:r>
        <w:t xml:space="preserve">.</w:t>
      </w:r>
    </w:p>
    <w:bookmarkEnd w:id="342"/>
    <w:bookmarkStart w:id="344" w:name="ref-luo2024harvardgf"/>
    <w:p>
      <w:pPr>
        <w:pStyle w:val="Bibliography"/>
      </w:pPr>
      <w:r>
        <w:t xml:space="preserve">Luo, Yan, Yu Tian, Min Shi, et al. 2024.</w:t>
      </w:r>
      <w:r>
        <w:t xml:space="preserve"> </w:t>
      </w:r>
      <w:r>
        <w:t xml:space="preserve">“Harvard Glaucoma Fairness: A Retinal Nerve Disease Dataset for Fairness Learning and Fair Identity Normalization.”</w:t>
      </w:r>
      <w:r>
        <w:t xml:space="preserve"> </w:t>
      </w:r>
      <w:r>
        <w:rPr>
          <w:i/>
          <w:iCs/>
        </w:rPr>
        <w:t xml:space="preserve">IEEE Transactions on Medical Imaging</w:t>
      </w:r>
      <w:r>
        <w:t xml:space="preserve"> </w:t>
      </w:r>
      <w:r>
        <w:t xml:space="preserve">43 (7): 2623–33.</w:t>
      </w:r>
      <w:r>
        <w:t xml:space="preserve"> </w:t>
      </w:r>
      <w:hyperlink r:id="rId343">
        <w:r>
          <w:rPr>
            <w:rStyle w:val="Hyperlink"/>
          </w:rPr>
          <w:t xml:space="preserve">https://doi.org/10.1109/TMI.2024.3377552</w:t>
        </w:r>
      </w:hyperlink>
      <w:r>
        <w:t xml:space="preserve">.</w:t>
      </w:r>
    </w:p>
    <w:bookmarkEnd w:id="344"/>
    <w:bookmarkStart w:id="345" w:name="ref-maetschke2019glaucoma"/>
    <w:p>
      <w:pPr>
        <w:pStyle w:val="Bibliography"/>
      </w:pPr>
      <w:r>
        <w:t xml:space="preserve">Maetschke, Stefan, Bhavna Antony, Hiroshi Ishikawa, Gadi Wollstein, Joel Schuman, and Rahil Garnavi. 2019.</w:t>
      </w:r>
      <w:r>
        <w:t xml:space="preserve"> </w:t>
      </w:r>
      <w:r>
        <w:t xml:space="preserve">“A Feature Agnostic Approach for Glaucoma Detection in</w:t>
      </w:r>
      <w:r>
        <w:t xml:space="preserve"> </w:t>
      </w:r>
      <w:r>
        <w:t xml:space="preserve">OCT</w:t>
      </w:r>
      <w:r>
        <w:t xml:space="preserve"> </w:t>
      </w:r>
      <w:r>
        <w:t xml:space="preserve">Volumes.”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14 (7).</w:t>
      </w:r>
    </w:p>
    <w:bookmarkEnd w:id="345"/>
    <w:bookmarkStart w:id="347" w:name="ref-maierhein2024metricsreloaded"/>
    <w:p>
      <w:pPr>
        <w:pStyle w:val="Bibliography"/>
      </w:pPr>
      <w:r>
        <w:t xml:space="preserve">Maier-Hein, Lena, Annika Reinke, Patrick Godau, et al. 2024.</w:t>
      </w:r>
      <w:r>
        <w:t xml:space="preserve"> </w:t>
      </w:r>
      <w:r>
        <w:t xml:space="preserve">“Metrics Reloaded: Recommendations for Image Analysis Validation.”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21 (2): 195–212.</w:t>
      </w:r>
      <w:r>
        <w:t xml:space="preserve"> </w:t>
      </w:r>
      <w:hyperlink r:id="rId346">
        <w:r>
          <w:rPr>
            <w:rStyle w:val="Hyperlink"/>
          </w:rPr>
          <w:t xml:space="preserve">https://doi.org/10.1038/s41592-023-02151-z</w:t>
        </w:r>
      </w:hyperlink>
      <w:r>
        <w:t xml:space="preserve">.</w:t>
      </w:r>
    </w:p>
    <w:bookmarkEnd w:id="347"/>
    <w:bookmarkStart w:id="349" w:name="ref-mao2023msmae"/>
    <w:p>
      <w:pPr>
        <w:pStyle w:val="Bibliography"/>
      </w:pPr>
      <w:r>
        <w:t xml:space="preserve">Mao, Jiawei, Shujian Guo, Yuanqi Chang, Xuesong Yin, and Binling Nie. 2023.</w:t>
      </w:r>
      <w:r>
        <w:t xml:space="preserve"> </w:t>
      </w:r>
      <w:r>
        <w:rPr>
          <w:i/>
          <w:iCs/>
        </w:rPr>
        <w:t xml:space="preserve">Medical Supervised Masked Autoencoders: Crafting a Better Masking Strategy and Efficient Fine-Tuning Schedule for Medical Image Classification</w:t>
      </w:r>
      <w:r>
        <w:t xml:space="preserve">.</w:t>
      </w:r>
      <w:r>
        <w:t xml:space="preserve"> </w:t>
      </w:r>
      <w:hyperlink r:id="rId348">
        <w:r>
          <w:rPr>
            <w:rStyle w:val="Hyperlink"/>
          </w:rPr>
          <w:t xml:space="preserve">https://doi.org/10.48550/arXiv.2305.05871</w:t>
        </w:r>
      </w:hyperlink>
      <w:r>
        <w:t xml:space="preserve">.</w:t>
      </w:r>
    </w:p>
    <w:bookmarkEnd w:id="349"/>
    <w:bookmarkStart w:id="351" w:name="ref-morano2025mirage"/>
    <w:p>
      <w:pPr>
        <w:pStyle w:val="Bibliography"/>
      </w:pPr>
      <w:r>
        <w:t xml:space="preserve">Morano, José, Botond Fazekas, Emese Sükei, et al. 2025.</w:t>
      </w:r>
      <w:r>
        <w:t xml:space="preserve"> </w:t>
      </w:r>
      <w:r>
        <w:t xml:space="preserve">“Multimodal Foundation Model and Benchmark for Comprehensive Retinal</w:t>
      </w:r>
      <w:r>
        <w:t xml:space="preserve"> </w:t>
      </w:r>
      <w:r>
        <w:t xml:space="preserve">OCT</w:t>
      </w:r>
      <w:r>
        <w:t xml:space="preserve"> </w:t>
      </w:r>
      <w:r>
        <w:t xml:space="preserve">Image Analysis.”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 </w:t>
      </w:r>
      <w:r>
        <w:t xml:space="preserve">8: 576.</w:t>
      </w:r>
      <w:r>
        <w:t xml:space="preserve"> </w:t>
      </w:r>
      <w:hyperlink r:id="rId350">
        <w:r>
          <w:rPr>
            <w:rStyle w:val="Hyperlink"/>
          </w:rPr>
          <w:t xml:space="preserve">https://doi.org/10.1038/s41746-025-01852-3</w:t>
        </w:r>
      </w:hyperlink>
      <w:r>
        <w:t xml:space="preserve">.</w:t>
      </w:r>
    </w:p>
    <w:bookmarkEnd w:id="351"/>
    <w:bookmarkStart w:id="353" w:name="ref-noury2022glaucoma"/>
    <w:p>
      <w:pPr>
        <w:pStyle w:val="Bibliography"/>
      </w:pPr>
      <w:r>
        <w:t xml:space="preserve">Noury, Erfan, Suria S. Mannil, Robert T. Chang, et al. 2022.</w:t>
      </w:r>
      <w:r>
        <w:t xml:space="preserve"> </w:t>
      </w:r>
      <w:r>
        <w:t xml:space="preserve">“Deep Learning for Glaucoma Detection and Identification of Novel Diagnostic Areas in Diverse Real-World Datasets.”</w:t>
      </w:r>
      <w:r>
        <w:t xml:space="preserve"> </w:t>
      </w:r>
      <w:r>
        <w:rPr>
          <w:i/>
          <w:iCs/>
        </w:rPr>
        <w:t xml:space="preserve">Translational Vision Science &amp; Technology</w:t>
      </w:r>
      <w:r>
        <w:t xml:space="preserve"> </w:t>
      </w:r>
      <w:r>
        <w:t xml:space="preserve">11 (5): 11.</w:t>
      </w:r>
      <w:r>
        <w:t xml:space="preserve"> </w:t>
      </w:r>
      <w:hyperlink r:id="rId352">
        <w:r>
          <w:rPr>
            <w:rStyle w:val="Hyperlink"/>
          </w:rPr>
          <w:t xml:space="preserve">https://doi.org/10.1167/tvst.11.5.11</w:t>
        </w:r>
      </w:hyperlink>
      <w:r>
        <w:t xml:space="preserve">.</w:t>
      </w:r>
    </w:p>
    <w:bookmarkEnd w:id="353"/>
    <w:bookmarkStart w:id="355" w:name="ref-obuchowski1997clusteredroc"/>
    <w:p>
      <w:pPr>
        <w:pStyle w:val="Bibliography"/>
      </w:pPr>
      <w:r>
        <w:t xml:space="preserve">Obuchowski, Nancy A. 1997.</w:t>
      </w:r>
      <w:r>
        <w:t xml:space="preserve"> </w:t>
      </w:r>
      <w:r>
        <w:t xml:space="preserve">“Nonparametric Analysis of Clustered</w:t>
      </w:r>
      <w:r>
        <w:t xml:space="preserve"> </w:t>
      </w:r>
      <w:r>
        <w:t xml:space="preserve">ROC</w:t>
      </w:r>
      <w:r>
        <w:t xml:space="preserve"> </w:t>
      </w:r>
      <w:r>
        <w:t xml:space="preserve">Curve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53 (2): 567–78.</w:t>
      </w:r>
      <w:r>
        <w:t xml:space="preserve"> </w:t>
      </w:r>
      <w:hyperlink r:id="rId354">
        <w:r>
          <w:rPr>
            <w:rStyle w:val="Hyperlink"/>
          </w:rPr>
          <w:t xml:space="preserve">https://doi.org/10.2307/2533958</w:t>
        </w:r>
      </w:hyperlink>
      <w:r>
        <w:t xml:space="preserve">.</w:t>
      </w:r>
    </w:p>
    <w:bookmarkEnd w:id="355"/>
    <w:bookmarkStart w:id="357" w:name="ref-pissas2024octmim"/>
    <w:p>
      <w:pPr>
        <w:pStyle w:val="Bibliography"/>
      </w:pPr>
      <w:r>
        <w:t xml:space="preserve">Pissas, Theodoros, Pablo Márquez-Neila, Sebastian Wolf, Martin S. Zinkernagel, and Raphael Sznitman. 2024.</w:t>
      </w:r>
      <w:r>
        <w:t xml:space="preserve"> </w:t>
      </w:r>
      <w:r>
        <w:t xml:space="preserve">“Masked Image Modelling for Retinal</w:t>
      </w:r>
      <w:r>
        <w:t xml:space="preserve"> </w:t>
      </w:r>
      <w:r>
        <w:t xml:space="preserve">OCT</w:t>
      </w:r>
      <w:r>
        <w:t xml:space="preserve"> </w:t>
      </w:r>
      <w:r>
        <w:t xml:space="preserve">Understanding.”</w:t>
      </w:r>
      <w:r>
        <w:t xml:space="preserve"> </w:t>
      </w:r>
      <w:r>
        <w:rPr>
          <w:i/>
          <w:iCs/>
        </w:rPr>
        <w:t xml:space="preserve">Ophthalmic Medical Image Analysis</w:t>
      </w:r>
      <w:r>
        <w:t xml:space="preserve">, 115–25.</w:t>
      </w:r>
      <w:r>
        <w:t xml:space="preserve"> </w:t>
      </w:r>
      <w:hyperlink r:id="rId356">
        <w:r>
          <w:rPr>
            <w:rStyle w:val="Hyperlink"/>
          </w:rPr>
          <w:t xml:space="preserve">https://doi.org/10.1007/978-3-031-73119-8_12</w:t>
        </w:r>
      </w:hyperlink>
      <w:r>
        <w:t xml:space="preserve">.</w:t>
      </w:r>
    </w:p>
    <w:bookmarkEnd w:id="357"/>
    <w:bookmarkStart w:id="359" w:name="ref-qiu2024visionfm"/>
    <w:p>
      <w:pPr>
        <w:pStyle w:val="Bibliography"/>
      </w:pPr>
      <w:r>
        <w:t xml:space="preserve">Qiu, Jianing, Jian Wu, Hao Wei, et al. 2024.</w:t>
      </w:r>
      <w:r>
        <w:t xml:space="preserve"> </w:t>
      </w:r>
      <w:r>
        <w:t xml:space="preserve">“Development and Validation of a Multimodal Multitask Vision Foundation Model for Generalist Ophthalmic Artificial Intelligence.”</w:t>
      </w:r>
      <w:r>
        <w:t xml:space="preserve"> </w:t>
      </w:r>
      <w:r>
        <w:rPr>
          <w:i/>
          <w:iCs/>
        </w:rPr>
        <w:t xml:space="preserve">NEJM AI</w:t>
      </w:r>
      <w:r>
        <w:t xml:space="preserve"> </w:t>
      </w:r>
      <w:r>
        <w:t xml:space="preserve">1 (12).</w:t>
      </w:r>
      <w:r>
        <w:t xml:space="preserve"> </w:t>
      </w:r>
      <w:hyperlink r:id="rId358">
        <w:r>
          <w:rPr>
            <w:rStyle w:val="Hyperlink"/>
          </w:rPr>
          <w:t xml:space="preserve">https://doi.org/10.1056/AIoa2300221</w:t>
        </w:r>
      </w:hyperlink>
      <w:r>
        <w:t xml:space="preserve">.</w:t>
      </w:r>
    </w:p>
    <w:bookmarkEnd w:id="359"/>
    <w:bookmarkStart w:id="361" w:name="ref-ran2019glaucoma"/>
    <w:p>
      <w:pPr>
        <w:pStyle w:val="Bibliography"/>
      </w:pPr>
      <w:r>
        <w:t xml:space="preserve">Ran, An Ran, Carol Y. Cheung, Xi Wang, et al. 2019.</w:t>
      </w:r>
      <w:r>
        <w:t xml:space="preserve"> </w:t>
      </w:r>
      <w:r>
        <w:t xml:space="preserve">“Detection of Glaucomatous Optic Neuropathy with Spectral-Domain Optical Coherence Tomography: A Retrospective Training and Validation Deep-Learning Analysis.”</w:t>
      </w:r>
      <w:r>
        <w:t xml:space="preserve"> </w:t>
      </w:r>
      <w:r>
        <w:rPr>
          <w:i/>
          <w:iCs/>
        </w:rPr>
        <w:t xml:space="preserve">The Lancet Digital Health</w:t>
      </w:r>
      <w:r>
        <w:t xml:space="preserve"> </w:t>
      </w:r>
      <w:r>
        <w:t xml:space="preserve">1 (4): e172–82.</w:t>
      </w:r>
      <w:r>
        <w:t xml:space="preserve"> </w:t>
      </w:r>
      <w:hyperlink r:id="rId360">
        <w:r>
          <w:rPr>
            <w:rStyle w:val="Hyperlink"/>
          </w:rPr>
          <w:t xml:space="preserve">https://doi.org/10.1016/S2589-7500(19)30085-8</w:t>
        </w:r>
      </w:hyperlink>
      <w:r>
        <w:t xml:space="preserve">.</w:t>
      </w:r>
    </w:p>
    <w:bookmarkEnd w:id="361"/>
    <w:bookmarkStart w:id="363" w:name="ref-rutter2000clusterbootstrap"/>
    <w:p>
      <w:pPr>
        <w:pStyle w:val="Bibliography"/>
      </w:pPr>
      <w:r>
        <w:t xml:space="preserve">Rutter, Carolyn M. 2000.</w:t>
      </w:r>
      <w:r>
        <w:t xml:space="preserve"> </w:t>
      </w:r>
      <w:r>
        <w:t xml:space="preserve">“Bootstrap Estimation of Diagnostic Accuracy with Patient-Clustered Data.”</w:t>
      </w:r>
      <w:r>
        <w:t xml:space="preserve"> </w:t>
      </w:r>
      <w:r>
        <w:rPr>
          <w:i/>
          <w:iCs/>
        </w:rPr>
        <w:t xml:space="preserve">Academic Radiology</w:t>
      </w:r>
      <w:r>
        <w:t xml:space="preserve"> </w:t>
      </w:r>
      <w:r>
        <w:t xml:space="preserve">7 (6): 413–19.</w:t>
      </w:r>
      <w:r>
        <w:t xml:space="preserve"> </w:t>
      </w:r>
      <w:hyperlink r:id="rId362">
        <w:r>
          <w:rPr>
            <w:rStyle w:val="Hyperlink"/>
          </w:rPr>
          <w:t xml:space="preserve">https://doi.org/10.1016/S1076-6332(00)80381-5</w:t>
        </w:r>
      </w:hyperlink>
      <w:r>
        <w:t xml:space="preserve">.</w:t>
      </w:r>
    </w:p>
    <w:bookmarkEnd w:id="363"/>
    <w:bookmarkStart w:id="365" w:name="ref-seyyedkalantari2021underdiagnosis"/>
    <w:p>
      <w:pPr>
        <w:pStyle w:val="Bibliography"/>
      </w:pPr>
      <w:r>
        <w:t xml:space="preserve">Seyyed-Kalantari, Laleh, Haoran Zhang, Matthew B. A. McDermott, Irene Y. Chen, and Marzyeh Ghassemi. 2021.</w:t>
      </w:r>
      <w:r>
        <w:t xml:space="preserve"> </w:t>
      </w:r>
      <w:r>
        <w:t xml:space="preserve">“Underdiagnosis Bias of Artificial Intelligence Algorithms Applied to Chest Radiographs in Under-Served Patient Populations.”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27 (12): 2176–82.</w:t>
      </w:r>
      <w:r>
        <w:t xml:space="preserve"> </w:t>
      </w:r>
      <w:hyperlink r:id="rId364">
        <w:r>
          <w:rPr>
            <w:rStyle w:val="Hyperlink"/>
          </w:rPr>
          <w:t xml:space="preserve">https://doi.org/10.1038/s41591-021-01595-0</w:t>
        </w:r>
      </w:hyperlink>
      <w:r>
        <w:t xml:space="preserve">.</w:t>
      </w:r>
    </w:p>
    <w:bookmarkEnd w:id="365"/>
    <w:bookmarkStart w:id="367" w:name="ref-shi2025equitable"/>
    <w:p>
      <w:pPr>
        <w:pStyle w:val="Bibliography"/>
      </w:pPr>
      <w:r>
        <w:t xml:space="preserve">Shi, Min, Yan Luo, Yu Tian, et al. 2025.</w:t>
      </w:r>
      <w:r>
        <w:t xml:space="preserve"> </w:t>
      </w:r>
      <w:r>
        <w:t xml:space="preserve">“Equitable Artificial Intelligence for Glaucoma Screening with Fair Identity Normalization.”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 </w:t>
      </w:r>
      <w:r>
        <w:t xml:space="preserve">8 (1).</w:t>
      </w:r>
      <w:r>
        <w:t xml:space="preserve"> </w:t>
      </w:r>
      <w:hyperlink r:id="rId366">
        <w:r>
          <w:rPr>
            <w:rStyle w:val="Hyperlink"/>
          </w:rPr>
          <w:t xml:space="preserve">https://doi.org/10.1038/s41746-025-01432-5</w:t>
        </w:r>
      </w:hyperlink>
      <w:r>
        <w:t xml:space="preserve">.</w:t>
      </w:r>
    </w:p>
    <w:bookmarkEnd w:id="367"/>
    <w:bookmarkStart w:id="369" w:name="ref-shi2022adios"/>
    <w:p>
      <w:pPr>
        <w:pStyle w:val="Bibliography"/>
      </w:pPr>
      <w:r>
        <w:t xml:space="preserve">Shi, Yuge, N. Siddharth, Philip H. S. Torr, and Adam R. Kosiorek. 2022.</w:t>
      </w:r>
      <w:r>
        <w:t xml:space="preserve"> </w:t>
      </w:r>
      <w:r>
        <w:t xml:space="preserve">“Adversarial Masking for Self-Supervised Learning.”</w:t>
      </w:r>
      <w:r>
        <w:t xml:space="preserve"> </w:t>
      </w:r>
      <w:r>
        <w:rPr>
          <w:i/>
          <w:iCs/>
        </w:rPr>
        <w:t xml:space="preserve">Proceedings of the 39th International Conference on Machine Learning</w:t>
      </w:r>
      <w:r>
        <w:t xml:space="preserve">, Proceedings of machine learning research, vol. 162: 20026–40.</w:t>
      </w:r>
      <w:r>
        <w:t xml:space="preserve"> </w:t>
      </w:r>
      <w:hyperlink r:id="rId368">
        <w:r>
          <w:rPr>
            <w:rStyle w:val="Hyperlink"/>
          </w:rPr>
          <w:t xml:space="preserve">https://proceedings.mlr.press/v162/shi22d.html</w:t>
        </w:r>
      </w:hyperlink>
      <w:r>
        <w:t xml:space="preserve">.</w:t>
      </w:r>
    </w:p>
    <w:bookmarkEnd w:id="369"/>
    <w:bookmarkStart w:id="371" w:name="ref-sick2025attg"/>
    <w:p>
      <w:pPr>
        <w:pStyle w:val="Bibliography"/>
      </w:pPr>
      <w:r>
        <w:t xml:space="preserve">Sick, Leon, Dominik Engel, Pedro Hermosilla, and Timo Ropinski. 2025.</w:t>
      </w:r>
      <w:r>
        <w:t xml:space="preserve"> </w:t>
      </w:r>
      <w:r>
        <w:t xml:space="preserve">“Attention-Guided Masked Autoencoders for Learning Image Representations.”</w:t>
      </w:r>
      <w:r>
        <w:t xml:space="preserve"> </w:t>
      </w:r>
      <w:r>
        <w:rPr>
          <w:i/>
          <w:iCs/>
        </w:rPr>
        <w:t xml:space="preserve">Proceedings of the IEEE/CVF Winter Conference on Applications of Computer Vision</w:t>
      </w:r>
      <w:r>
        <w:t xml:space="preserve">, 836–46.</w:t>
      </w:r>
      <w:r>
        <w:t xml:space="preserve"> </w:t>
      </w:r>
      <w:hyperlink r:id="rId370">
        <w:r>
          <w:rPr>
            <w:rStyle w:val="Hyperlink"/>
          </w:rPr>
          <w:t xml:space="preserve">https://doi.org/10.1109/WACV61041.2025.00091</w:t>
        </w:r>
      </w:hyperlink>
      <w:r>
        <w:t xml:space="preserve">.</w:t>
      </w:r>
    </w:p>
    <w:bookmarkEnd w:id="371"/>
    <w:bookmarkStart w:id="373" w:name="ref-taleb20203dssl"/>
    <w:p>
      <w:pPr>
        <w:pStyle w:val="Bibliography"/>
      </w:pPr>
      <w:r>
        <w:t xml:space="preserve">Taleb, Aiham, Winfried Loetzsch, Noel Danz, et al. 2020.</w:t>
      </w:r>
      <w:r>
        <w:t xml:space="preserve"> </w:t>
      </w:r>
      <w:r>
        <w:t xml:space="preserve">“3D Self-Supervised Methods for Medical Imaging.”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18158–72.</w:t>
      </w:r>
      <w:r>
        <w:t xml:space="preserve"> </w:t>
      </w:r>
      <w:hyperlink r:id="rId372">
        <w:r>
          <w:rPr>
            <w:rStyle w:val="Hyperlink"/>
          </w:rPr>
          <w:t xml:space="preserve">https://proceedings.neurips.cc/paper/2020/hash/d2dc6368837861b42020ee72b0896182-Abstract.html</w:t>
        </w:r>
      </w:hyperlink>
      <w:r>
        <w:t xml:space="preserve">.</w:t>
      </w:r>
    </w:p>
    <w:bookmarkEnd w:id="373"/>
    <w:bookmarkStart w:id="375" w:name="ref-wang2023hpm"/>
    <w:p>
      <w:pPr>
        <w:pStyle w:val="Bibliography"/>
      </w:pPr>
      <w:r>
        <w:t xml:space="preserve">Wang, Haochen, Kaiyou Song, Junsong Fan, Yuxi Wang, Jin Xie, and Zhaoxiang Zhang. 2023.</w:t>
      </w:r>
      <w:r>
        <w:t xml:space="preserve"> </w:t>
      </w:r>
      <w:r>
        <w:t xml:space="preserve">“Hard Patches Mining for Masked Image Modeling.”</w:t>
      </w:r>
      <w:r>
        <w:t xml:space="preserve"> </w:t>
      </w:r>
      <w:r>
        <w:rPr>
          <w:i/>
          <w:iCs/>
        </w:rPr>
        <w:t xml:space="preserve">Proceedings of the IEEE/CVF Conference on Computer Vision and Pattern Recognition</w:t>
      </w:r>
      <w:r>
        <w:t xml:space="preserve">, 10375–85.</w:t>
      </w:r>
      <w:r>
        <w:t xml:space="preserve"> </w:t>
      </w:r>
      <w:hyperlink r:id="rId374">
        <w:r>
          <w:rPr>
            <w:rStyle w:val="Hyperlink"/>
          </w:rPr>
          <w:t xml:space="preserve">https://doi.org/10.1109/CVPR52729.2023.01000</w:t>
        </w:r>
      </w:hyperlink>
      <w:r>
        <w:t xml:space="preserve">.</w:t>
      </w:r>
    </w:p>
    <w:bookmarkEnd w:id="375"/>
    <w:bookmarkStart w:id="377" w:name="ref-wang2025maskwhatmatters"/>
    <w:p>
      <w:pPr>
        <w:pStyle w:val="Bibliography"/>
      </w:pPr>
      <w:r>
        <w:t xml:space="preserve">Wang, Ruilang, Shuotong Xu, Bowen Liu, Runlin Huang, Donglong Chen, and Weifeng Su. 2025.</w:t>
      </w:r>
      <w:r>
        <w:t xml:space="preserve"> </w:t>
      </w:r>
      <w:r>
        <w:rPr>
          <w:i/>
          <w:iCs/>
        </w:rPr>
        <w:t xml:space="preserve">Mask What Matters: Controllable Text-Guided Masking for Self-Supervised Medical Image Analysis</w:t>
      </w:r>
      <w:r>
        <w:t xml:space="preserve">.</w:t>
      </w:r>
      <w:r>
        <w:t xml:space="preserve"> </w:t>
      </w:r>
      <w:hyperlink r:id="rId376">
        <w:r>
          <w:rPr>
            <w:rStyle w:val="Hyperlink"/>
          </w:rPr>
          <w:t xml:space="preserve">https://doi.org/10.48550/arXiv.2509.23054</w:t>
        </w:r>
      </w:hyperlink>
      <w:r>
        <w:t xml:space="preserve">.</w:t>
      </w:r>
    </w:p>
    <w:bookmarkEnd w:id="377"/>
    <w:bookmarkStart w:id="379" w:name="ref-xie2022simmim"/>
    <w:p>
      <w:pPr>
        <w:pStyle w:val="Bibliography"/>
      </w:pPr>
      <w:r>
        <w:t xml:space="preserve">Xie, Zhenda, Zheng Zhang, Yue Cao, et al. 2022.</w:t>
      </w:r>
      <w:r>
        <w:t xml:space="preserve"> </w:t>
      </w:r>
      <w:r>
        <w:t xml:space="preserve">“</w:t>
      </w:r>
      <w:r>
        <w:t xml:space="preserve">SimMIM</w:t>
      </w:r>
      <w:r>
        <w:t xml:space="preserve">: A Simple Framework for Masked Image Modeling.”</w:t>
      </w:r>
      <w:r>
        <w:t xml:space="preserve"> </w:t>
      </w:r>
      <w:r>
        <w:rPr>
          <w:i/>
          <w:iCs/>
        </w:rPr>
        <w:t xml:space="preserve">Proceedings of the IEEE/CVF Conference on Computer Vision and Pattern Recognition</w:t>
      </w:r>
      <w:r>
        <w:t xml:space="preserve">, 9653–63.</w:t>
      </w:r>
      <w:r>
        <w:t xml:space="preserve"> </w:t>
      </w:r>
      <w:hyperlink r:id="rId378">
        <w:r>
          <w:rPr>
            <w:rStyle w:val="Hyperlink"/>
          </w:rPr>
          <w:t xml:space="preserve">https://doi.org/10.1109/CVPR52688.2022.00943</w:t>
        </w:r>
      </w:hyperlink>
      <w:r>
        <w:t xml:space="preserve">.</w:t>
      </w:r>
    </w:p>
    <w:bookmarkEnd w:id="379"/>
    <w:bookmarkStart w:id="381" w:name="ref-yu2024urfound"/>
    <w:p>
      <w:pPr>
        <w:pStyle w:val="Bibliography"/>
      </w:pPr>
      <w:r>
        <w:t xml:space="preserve">Yu, Kai, Yang Zhou, Yang Bai, et al. 2024.</w:t>
      </w:r>
      <w:r>
        <w:t xml:space="preserve"> </w:t>
      </w:r>
      <w:r>
        <w:t xml:space="preserve">“</w:t>
      </w:r>
      <w:r>
        <w:t xml:space="preserve">UrFound</w:t>
      </w:r>
      <w:r>
        <w:t xml:space="preserve">: Towards Universal Retinal Foundation Models via Knowledge-Guided Masked Modeling.”</w:t>
      </w:r>
      <w:r>
        <w:t xml:space="preserve"> </w:t>
      </w:r>
      <w:r>
        <w:rPr>
          <w:i/>
          <w:iCs/>
        </w:rPr>
        <w:t xml:space="preserve">Medical Image Computing and Computer Assisted Intervention – MICCAI 2024</w:t>
      </w:r>
      <w:r>
        <w:t xml:space="preserve">, 753–62.</w:t>
      </w:r>
      <w:r>
        <w:t xml:space="preserve"> </w:t>
      </w:r>
      <w:hyperlink r:id="rId380">
        <w:r>
          <w:rPr>
            <w:rStyle w:val="Hyperlink"/>
          </w:rPr>
          <w:t xml:space="preserve">https://doi.org/10.1007/978-3-031-72390-2_70</w:t>
        </w:r>
      </w:hyperlink>
      <w:r>
        <w:t xml:space="preserve">.</w:t>
      </w:r>
    </w:p>
    <w:bookmarkEnd w:id="381"/>
    <w:bookmarkStart w:id="382" w:name="ref-zhou2022ibot"/>
    <w:p>
      <w:pPr>
        <w:pStyle w:val="Bibliography"/>
      </w:pPr>
      <w:r>
        <w:t xml:space="preserve">Zhou, Jinghao, Chen Wei, Huiyu Wang, et al. 2022.</w:t>
      </w:r>
      <w:r>
        <w:t xml:space="preserve"> </w:t>
      </w:r>
      <w:r>
        <w:t xml:space="preserve">“</w:t>
      </w:r>
      <w:r>
        <w:t xml:space="preserve">iBOT</w:t>
      </w:r>
      <w:r>
        <w:t xml:space="preserve">: Image</w:t>
      </w:r>
      <w:r>
        <w:t xml:space="preserve"> </w:t>
      </w:r>
      <w:r>
        <w:t xml:space="preserve">BERT</w:t>
      </w:r>
      <w:r>
        <w:t xml:space="preserve"> </w:t>
      </w:r>
      <w:r>
        <w:t xml:space="preserve">Pre-Training with Online Tokenizer.”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</w:p>
    <w:bookmarkEnd w:id="382"/>
    <w:bookmarkStart w:id="384" w:name="ref-zhou2023retfound"/>
    <w:p>
      <w:pPr>
        <w:pStyle w:val="Bibliography"/>
      </w:pPr>
      <w:r>
        <w:t xml:space="preserve">Zhou, Yukun, Mark A. Chia, Siegfried K. Wagner, et al.</w:t>
      </w:r>
      <w:r>
        <w:t xml:space="preserve"> 2023.</w:t>
      </w:r>
      <w:r>
        <w:t xml:space="preserve"> </w:t>
      </w:r>
      <w:r>
        <w:t xml:space="preserve">“A Foundation Model for Generalizable Disease Detection from Retinal Images.”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622: 156–63.</w:t>
      </w:r>
      <w:r>
        <w:t xml:space="preserve"> </w:t>
      </w:r>
      <w:hyperlink r:id="rId383">
        <w:r>
          <w:rPr>
            <w:rStyle w:val="Hyperlink"/>
          </w:rPr>
          <w:t xml:space="preserve">https://doi.org/10.1038/s41586-023-06555-x</w:t>
        </w:r>
      </w:hyperlink>
      <w:r>
        <w:t xml:space="preserve">.</w:t>
      </w:r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9" Target="media/rId129.png" /><Relationship Type="http://schemas.openxmlformats.org/officeDocument/2006/relationships/image" Id="rId209" Target="media/rId209.png" /><Relationship Type="http://schemas.openxmlformats.org/officeDocument/2006/relationships/image" Id="rId160" Target="media/rId160.png" /><Relationship Type="http://schemas.openxmlformats.org/officeDocument/2006/relationships/image" Id="rId276" Target="media/rId276.png" /><Relationship Type="http://schemas.openxmlformats.org/officeDocument/2006/relationships/image" Id="rId231" Target="media/rId231.png" /><Relationship Type="http://schemas.openxmlformats.org/officeDocument/2006/relationships/image" Id="rId135" Target="media/rId135.png" /><Relationship Type="http://schemas.openxmlformats.org/officeDocument/2006/relationships/image" Id="rId265" Target="media/rId265.png" /><Relationship Type="http://schemas.openxmlformats.org/officeDocument/2006/relationships/image" Id="rId246" Target="media/rId246.png" /><Relationship Type="http://schemas.openxmlformats.org/officeDocument/2006/relationships/image" Id="rId269" Target="media/rId269.png" /><Relationship Type="http://schemas.openxmlformats.org/officeDocument/2006/relationships/image" Id="rId55" Target="media/rId55.png" /><Relationship Type="http://schemas.openxmlformats.org/officeDocument/2006/relationships/image" Id="rId23" Target="media/rId23.png" /><Relationship Type="http://schemas.openxmlformats.org/officeDocument/2006/relationships/hyperlink" Id="rId331" Target="https://doi.org/10.1007/978-3-031-20056-4_18" TargetMode="External" /><Relationship Type="http://schemas.openxmlformats.org/officeDocument/2006/relationships/hyperlink" Id="rId380" Target="https://doi.org/10.1007/978-3-031-72390-2_70" TargetMode="External" /><Relationship Type="http://schemas.openxmlformats.org/officeDocument/2006/relationships/hyperlink" Id="rId337" Target="https://doi.org/10.1007/978-3-031-73027-6_9" TargetMode="External" /><Relationship Type="http://schemas.openxmlformats.org/officeDocument/2006/relationships/hyperlink" Id="rId356" Target="https://doi.org/10.1007/978-3-031-73119-8_12" TargetMode="External" /><Relationship Type="http://schemas.openxmlformats.org/officeDocument/2006/relationships/hyperlink" Id="rId313" Target="https://doi.org/10.1007/978-981-99-8543-2_31" TargetMode="External" /><Relationship Type="http://schemas.openxmlformats.org/officeDocument/2006/relationships/hyperlink" Id="rId362" Target="https://doi.org/10.1016/S1076-6332(00)80381-5" TargetMode="External" /><Relationship Type="http://schemas.openxmlformats.org/officeDocument/2006/relationships/hyperlink" Id="rId360" Target="https://doi.org/10.1016/S2589-7500(19)30085-8" TargetMode="External" /><Relationship Type="http://schemas.openxmlformats.org/officeDocument/2006/relationships/hyperlink" Id="rId319" Target="https://doi.org/10.1016/S2589-7500(22)00063-2" TargetMode="External" /><Relationship Type="http://schemas.openxmlformats.org/officeDocument/2006/relationships/hyperlink" Id="rId339" Target="https://doi.org/10.1038/s41551-026-01662-2" TargetMode="External" /><Relationship Type="http://schemas.openxmlformats.org/officeDocument/2006/relationships/hyperlink" Id="rId383" Target="https://doi.org/10.1038/s41586-023-06555-x" TargetMode="External" /><Relationship Type="http://schemas.openxmlformats.org/officeDocument/2006/relationships/hyperlink" Id="rId364" Target="https://doi.org/10.1038/s41591-021-01595-0" TargetMode="External" /><Relationship Type="http://schemas.openxmlformats.org/officeDocument/2006/relationships/hyperlink" Id="rId346" Target="https://doi.org/10.1038/s41592-023-02151-z" TargetMode="External" /><Relationship Type="http://schemas.openxmlformats.org/officeDocument/2006/relationships/hyperlink" Id="rId366" Target="https://doi.org/10.1038/s41746-025-01432-5" TargetMode="External" /><Relationship Type="http://schemas.openxmlformats.org/officeDocument/2006/relationships/hyperlink" Id="rId350" Target="https://doi.org/10.1038/s41746-025-01852-3" TargetMode="External" /><Relationship Type="http://schemas.openxmlformats.org/officeDocument/2006/relationships/hyperlink" Id="rId358" Target="https://doi.org/10.1056/AIoa2300221" TargetMode="External" /><Relationship Type="http://schemas.openxmlformats.org/officeDocument/2006/relationships/hyperlink" Id="rId333" Target="https://doi.org/10.1073/pnas.1919012117" TargetMode="External" /><Relationship Type="http://schemas.openxmlformats.org/officeDocument/2006/relationships/hyperlink" Id="rId378" Target="https://doi.org/10.1109/CVPR52688.2022.00943" TargetMode="External" /><Relationship Type="http://schemas.openxmlformats.org/officeDocument/2006/relationships/hyperlink" Id="rId321" Target="https://doi.org/10.1109/CVPR52688.2022.01553" TargetMode="External" /><Relationship Type="http://schemas.openxmlformats.org/officeDocument/2006/relationships/hyperlink" Id="rId374" Target="https://doi.org/10.1109/CVPR52729.2023.01000" TargetMode="External" /><Relationship Type="http://schemas.openxmlformats.org/officeDocument/2006/relationships/hyperlink" Id="rId298" Target="https://doi.org/10.1109/CVPR52729.2023.01499" TargetMode="External" /><Relationship Type="http://schemas.openxmlformats.org/officeDocument/2006/relationships/hyperlink" Id="rId327" Target="https://doi.org/10.1109/JBHI.2024.3362878" TargetMode="External" /><Relationship Type="http://schemas.openxmlformats.org/officeDocument/2006/relationships/hyperlink" Id="rId343" Target="https://doi.org/10.1109/TMI.2024.3377552" TargetMode="External" /><Relationship Type="http://schemas.openxmlformats.org/officeDocument/2006/relationships/hyperlink" Id="rId315" Target="https://doi.org/10.1109/WACV56688.2023.00201" TargetMode="External" /><Relationship Type="http://schemas.openxmlformats.org/officeDocument/2006/relationships/hyperlink" Id="rId370" Target="https://doi.org/10.1109/WACV61041.2025.00091" TargetMode="External" /><Relationship Type="http://schemas.openxmlformats.org/officeDocument/2006/relationships/hyperlink" Id="rId311" Target="https://doi.org/10.1109/WACV61042.2026.00552" TargetMode="External" /><Relationship Type="http://schemas.openxmlformats.org/officeDocument/2006/relationships/hyperlink" Id="rId352" Target="https://doi.org/10.1167/tvst.11.5.11" TargetMode="External" /><Relationship Type="http://schemas.openxmlformats.org/officeDocument/2006/relationships/hyperlink" Id="rId325" Target="https://doi.org/10.1609/aaai.v40i6.42503" TargetMode="External" /><Relationship Type="http://schemas.openxmlformats.org/officeDocument/2006/relationships/hyperlink" Id="rId317" Target="https://doi.org/10.2307/2531595" TargetMode="External" /><Relationship Type="http://schemas.openxmlformats.org/officeDocument/2006/relationships/hyperlink" Id="rId354" Target="https://doi.org/10.2307/2533958" TargetMode="External" /><Relationship Type="http://schemas.openxmlformats.org/officeDocument/2006/relationships/hyperlink" Id="rId348" Target="https://doi.org/10.48550/arXiv.2305.05871" TargetMode="External" /><Relationship Type="http://schemas.openxmlformats.org/officeDocument/2006/relationships/hyperlink" Id="rId341" Target="https://doi.org/10.48550/arXiv.2310.02492" TargetMode="External" /><Relationship Type="http://schemas.openxmlformats.org/officeDocument/2006/relationships/hyperlink" Id="rId376" Target="https://doi.org/10.48550/arXiv.2509.23054" TargetMode="External" /><Relationship Type="http://schemas.openxmlformats.org/officeDocument/2006/relationships/hyperlink" Id="rId303" Target="https://doi.org/10.48550/arXiv.2511.08544" TargetMode="External" /><Relationship Type="http://schemas.openxmlformats.org/officeDocument/2006/relationships/hyperlink" Id="rId323" Target="https://doi.org/10.48550/arXiv.2511.17354" TargetMode="External" /><Relationship Type="http://schemas.openxmlformats.org/officeDocument/2006/relationships/hyperlink" Id="rId335" Target="https://doi.org/10.52202/068431-1039" TargetMode="External" /><Relationship Type="http://schemas.openxmlformats.org/officeDocument/2006/relationships/hyperlink" Id="rId329" Target="https://doi.org/10.52202/079017-3535" TargetMode="External" /><Relationship Type="http://schemas.openxmlformats.org/officeDocument/2006/relationships/hyperlink" Id="rId307" Target="https://openreview.net/forum?id=QaCCuDfBk2" TargetMode="External" /><Relationship Type="http://schemas.openxmlformats.org/officeDocument/2006/relationships/hyperlink" Id="rId305" Target="https://openreview.net/forum?id=p-BhZSz59o4" TargetMode="External" /><Relationship Type="http://schemas.openxmlformats.org/officeDocument/2006/relationships/hyperlink" Id="rId301" Target="https://proceedings.mlr.press/v162/baevski22a.html" TargetMode="External" /><Relationship Type="http://schemas.openxmlformats.org/officeDocument/2006/relationships/hyperlink" Id="rId368" Target="https://proceedings.mlr.press/v162/shi22d.html" TargetMode="External" /><Relationship Type="http://schemas.openxmlformats.org/officeDocument/2006/relationships/hyperlink" Id="rId309" Target="https://proceedings.mlsys.org/paper_files/paper/2021/hash/0184b0cd3cfb185989f858a1d9f5c1eb-Abstract.html" TargetMode="External" /><Relationship Type="http://schemas.openxmlformats.org/officeDocument/2006/relationships/hyperlink" Id="rId372" Target="https://proceedings.neurips.cc/paper/2020/hash/d2dc6368837861b42020ee72b0896182-Abstrac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1" Target="https://doi.org/10.1007/978-3-031-20056-4_18" TargetMode="External" /><Relationship Type="http://schemas.openxmlformats.org/officeDocument/2006/relationships/hyperlink" Id="rId380" Target="https://doi.org/10.1007/978-3-031-72390-2_70" TargetMode="External" /><Relationship Type="http://schemas.openxmlformats.org/officeDocument/2006/relationships/hyperlink" Id="rId337" Target="https://doi.org/10.1007/978-3-031-73027-6_9" TargetMode="External" /><Relationship Type="http://schemas.openxmlformats.org/officeDocument/2006/relationships/hyperlink" Id="rId356" Target="https://doi.org/10.1007/978-3-031-73119-8_12" TargetMode="External" /><Relationship Type="http://schemas.openxmlformats.org/officeDocument/2006/relationships/hyperlink" Id="rId313" Target="https://doi.org/10.1007/978-981-99-8543-2_31" TargetMode="External" /><Relationship Type="http://schemas.openxmlformats.org/officeDocument/2006/relationships/hyperlink" Id="rId362" Target="https://doi.org/10.1016/S1076-6332(00)80381-5" TargetMode="External" /><Relationship Type="http://schemas.openxmlformats.org/officeDocument/2006/relationships/hyperlink" Id="rId360" Target="https://doi.org/10.1016/S2589-7500(19)30085-8" TargetMode="External" /><Relationship Type="http://schemas.openxmlformats.org/officeDocument/2006/relationships/hyperlink" Id="rId319" Target="https://doi.org/10.1016/S2589-7500(22)00063-2" TargetMode="External" /><Relationship Type="http://schemas.openxmlformats.org/officeDocument/2006/relationships/hyperlink" Id="rId339" Target="https://doi.org/10.1038/s41551-026-01662-2" TargetMode="External" /><Relationship Type="http://schemas.openxmlformats.org/officeDocument/2006/relationships/hyperlink" Id="rId383" Target="https://doi.org/10.1038/s41586-023-06555-x" TargetMode="External" /><Relationship Type="http://schemas.openxmlformats.org/officeDocument/2006/relationships/hyperlink" Id="rId364" Target="https://doi.org/10.1038/s41591-021-01595-0" TargetMode="External" /><Relationship Type="http://schemas.openxmlformats.org/officeDocument/2006/relationships/hyperlink" Id="rId346" Target="https://doi.org/10.1038/s41592-023-02151-z" TargetMode="External" /><Relationship Type="http://schemas.openxmlformats.org/officeDocument/2006/relationships/hyperlink" Id="rId366" Target="https://doi.org/10.1038/s41746-025-01432-5" TargetMode="External" /><Relationship Type="http://schemas.openxmlformats.org/officeDocument/2006/relationships/hyperlink" Id="rId350" Target="https://doi.org/10.1038/s41746-025-01852-3" TargetMode="External" /><Relationship Type="http://schemas.openxmlformats.org/officeDocument/2006/relationships/hyperlink" Id="rId358" Target="https://doi.org/10.1056/AIoa2300221" TargetMode="External" /><Relationship Type="http://schemas.openxmlformats.org/officeDocument/2006/relationships/hyperlink" Id="rId333" Target="https://doi.org/10.1073/pnas.1919012117" TargetMode="External" /><Relationship Type="http://schemas.openxmlformats.org/officeDocument/2006/relationships/hyperlink" Id="rId378" Target="https://doi.org/10.1109/CVPR52688.2022.00943" TargetMode="External" /><Relationship Type="http://schemas.openxmlformats.org/officeDocument/2006/relationships/hyperlink" Id="rId321" Target="https://doi.org/10.1109/CVPR52688.2022.01553" TargetMode="External" /><Relationship Type="http://schemas.openxmlformats.org/officeDocument/2006/relationships/hyperlink" Id="rId374" Target="https://doi.org/10.1109/CVPR52729.2023.01000" TargetMode="External" /><Relationship Type="http://schemas.openxmlformats.org/officeDocument/2006/relationships/hyperlink" Id="rId298" Target="https://doi.org/10.1109/CVPR52729.2023.01499" TargetMode="External" /><Relationship Type="http://schemas.openxmlformats.org/officeDocument/2006/relationships/hyperlink" Id="rId327" Target="https://doi.org/10.1109/JBHI.2024.3362878" TargetMode="External" /><Relationship Type="http://schemas.openxmlformats.org/officeDocument/2006/relationships/hyperlink" Id="rId343" Target="https://doi.org/10.1109/TMI.2024.3377552" TargetMode="External" /><Relationship Type="http://schemas.openxmlformats.org/officeDocument/2006/relationships/hyperlink" Id="rId315" Target="https://doi.org/10.1109/WACV56688.2023.00201" TargetMode="External" /><Relationship Type="http://schemas.openxmlformats.org/officeDocument/2006/relationships/hyperlink" Id="rId370" Target="https://doi.org/10.1109/WACV61041.2025.00091" TargetMode="External" /><Relationship Type="http://schemas.openxmlformats.org/officeDocument/2006/relationships/hyperlink" Id="rId311" Target="https://doi.org/10.1109/WACV61042.2026.00552" TargetMode="External" /><Relationship Type="http://schemas.openxmlformats.org/officeDocument/2006/relationships/hyperlink" Id="rId352" Target="https://doi.org/10.1167/tvst.11.5.11" TargetMode="External" /><Relationship Type="http://schemas.openxmlformats.org/officeDocument/2006/relationships/hyperlink" Id="rId325" Target="https://doi.org/10.1609/aaai.v40i6.42503" TargetMode="External" /><Relationship Type="http://schemas.openxmlformats.org/officeDocument/2006/relationships/hyperlink" Id="rId317" Target="https://doi.org/10.2307/2531595" TargetMode="External" /><Relationship Type="http://schemas.openxmlformats.org/officeDocument/2006/relationships/hyperlink" Id="rId354" Target="https://doi.org/10.2307/2533958" TargetMode="External" /><Relationship Type="http://schemas.openxmlformats.org/officeDocument/2006/relationships/hyperlink" Id="rId348" Target="https://doi.org/10.48550/arXiv.2305.05871" TargetMode="External" /><Relationship Type="http://schemas.openxmlformats.org/officeDocument/2006/relationships/hyperlink" Id="rId341" Target="https://doi.org/10.48550/arXiv.2310.02492" TargetMode="External" /><Relationship Type="http://schemas.openxmlformats.org/officeDocument/2006/relationships/hyperlink" Id="rId376" Target="https://doi.org/10.48550/arXiv.2509.23054" TargetMode="External" /><Relationship Type="http://schemas.openxmlformats.org/officeDocument/2006/relationships/hyperlink" Id="rId303" Target="https://doi.org/10.48550/arXiv.2511.08544" TargetMode="External" /><Relationship Type="http://schemas.openxmlformats.org/officeDocument/2006/relationships/hyperlink" Id="rId323" Target="https://doi.org/10.48550/arXiv.2511.17354" TargetMode="External" /><Relationship Type="http://schemas.openxmlformats.org/officeDocument/2006/relationships/hyperlink" Id="rId335" Target="https://doi.org/10.52202/068431-1039" TargetMode="External" /><Relationship Type="http://schemas.openxmlformats.org/officeDocument/2006/relationships/hyperlink" Id="rId329" Target="https://doi.org/10.52202/079017-3535" TargetMode="External" /><Relationship Type="http://schemas.openxmlformats.org/officeDocument/2006/relationships/hyperlink" Id="rId307" Target="https://openreview.net/forum?id=QaCCuDfBk2" TargetMode="External" /><Relationship Type="http://schemas.openxmlformats.org/officeDocument/2006/relationships/hyperlink" Id="rId305" Target="https://openreview.net/forum?id=p-BhZSz59o4" TargetMode="External" /><Relationship Type="http://schemas.openxmlformats.org/officeDocument/2006/relationships/hyperlink" Id="rId301" Target="https://proceedings.mlr.press/v162/baevski22a.html" TargetMode="External" /><Relationship Type="http://schemas.openxmlformats.org/officeDocument/2006/relationships/hyperlink" Id="rId368" Target="https://proceedings.mlr.press/v162/shi22d.html" TargetMode="External" /><Relationship Type="http://schemas.openxmlformats.org/officeDocument/2006/relationships/hyperlink" Id="rId309" Target="https://proceedings.mlsys.org/paper_files/paper/2021/hash/0184b0cd3cfb185989f858a1d9f5c1eb-Abstract.html" TargetMode="External" /><Relationship Type="http://schemas.openxmlformats.org/officeDocument/2006/relationships/hyperlink" Id="rId372" Target="https://proceedings.neurips.cc/paper/2020/hash/d2dc6368837861b42020ee72b0896182-Abstrac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Anatomy-Guided Masking for I-JEPA Representation Learning on Retinal OCT</dc:title>
  <dc:creator/>
  <cp:keywords/>
  <dcterms:created xsi:type="dcterms:W3CDTF">2026-09-05T03:32:49Z</dcterms:created>
  <dcterms:modified xsi:type="dcterms:W3CDTF">2026-09-05T03:32:49Z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Anatomy-guided masking is motivated by concentrating representation learning on informative tissue, but prediction also requires useful visible context. We study six I-JEPA masking-policy implementations on volumetric retinal OCT, using a 2D B-scan encoder and a frozen volume-level linear probe for glaucoma classification (FairVision, N{=}3000). The encoders descend from a shared checkpoint, with one continuation per policy. Segmenter-guided rectangular target placement improves AUC over uniform placement by +0.0120 at epoch 50. A segmentation-free intensity-centroid policy improves it by +0.0109 at epoch 100. Both policies have positive paired differences from uniform placement at all three evaluated epochs. Their difference is unresolved at epochs 50 and 75; the centroid policy is higher at epoch 100, which does not establish equivalence between the methods. Greater tissue purity or coverage is not consistently beneficial across the other implementations: an early, incompletely documented anatomy-shaped continuation has higher AUC than its rectangle comparator, whereas later shaped and coverage-constrained policies do not consistently improve the uniform baseline. Auditing delivered masks reveals changes in visible context, target area and loss weighting, including target truncation after coverage-based placement. These comparisons therefore do not isolate the effect of anatomical coverage. Background-feature diagnostics further motivate distinguishing target content from information retained in context, without establishing a causal mechanism. The results support tissue-directed placement in these runs, not a ranking over retrainings: the test split was repeatedly inspected, and subgroup and low-label analyses remain exploratory.</vt:lpwstr>
  </property>
  <property fmtid="{D5CDD505-2E9C-101B-9397-08002B2CF9AE}" pid="3" name="bibliography">
    <vt:lpwstr>C:\Users\Gary\Desktop\jepa\_release_work\release-0d56ddb317a94dc7a7941b47c459dd50\docx-e4ea573f041b44ae8195bd771b5834b2\source\references.bib</vt:lpwstr>
  </property>
  <property fmtid="{D5CDD505-2E9C-101B-9397-08002B2CF9AE}" pid="4" name="reference-section-title">
    <vt:lpwstr>References</vt:lpwstr>
  </property>
</Properties>
</file>