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205C8" w14:textId="77777777" w:rsidR="007B23B1" w:rsidRPr="007B23B1" w:rsidRDefault="007B23B1" w:rsidP="007B23B1">
      <w:pPr>
        <w:rPr>
          <w:b/>
          <w:bCs/>
        </w:rPr>
      </w:pPr>
      <w:r w:rsidRPr="007B23B1">
        <w:rPr>
          <w:b/>
          <w:bCs/>
        </w:rPr>
        <w:t>Privacy and Ethics Documentation</w:t>
      </w:r>
    </w:p>
    <w:p w14:paraId="21647471" w14:textId="77777777" w:rsidR="007B23B1" w:rsidRPr="007B23B1" w:rsidRDefault="007B23B1" w:rsidP="007B23B1">
      <w:pPr>
        <w:rPr>
          <w:b/>
          <w:bCs/>
        </w:rPr>
      </w:pPr>
      <w:r w:rsidRPr="007B23B1">
        <w:rPr>
          <w:b/>
          <w:bCs/>
        </w:rPr>
        <w:t>1. Data Privacy and Security</w:t>
      </w:r>
    </w:p>
    <w:p w14:paraId="25D3E207" w14:textId="77777777" w:rsidR="007B23B1" w:rsidRPr="007B23B1" w:rsidRDefault="007B23B1" w:rsidP="007B23B1">
      <w:r w:rsidRPr="007B23B1">
        <w:t>To protect user data from unauthorized access and ensure data security, the system implements the following measures:</w:t>
      </w:r>
    </w:p>
    <w:p w14:paraId="4C92EB40" w14:textId="77777777" w:rsidR="007B23B1" w:rsidRPr="007B23B1" w:rsidRDefault="007B23B1" w:rsidP="007B23B1">
      <w:pPr>
        <w:rPr>
          <w:b/>
          <w:bCs/>
        </w:rPr>
      </w:pPr>
      <w:r w:rsidRPr="007B23B1">
        <w:rPr>
          <w:b/>
          <w:bCs/>
        </w:rPr>
        <w:t>Data Encryption</w:t>
      </w:r>
    </w:p>
    <w:p w14:paraId="3B57E5BE" w14:textId="77777777" w:rsidR="007B23B1" w:rsidRPr="007B23B1" w:rsidRDefault="007B23B1" w:rsidP="007B23B1">
      <w:pPr>
        <w:numPr>
          <w:ilvl w:val="0"/>
          <w:numId w:val="1"/>
        </w:numPr>
      </w:pPr>
      <w:r w:rsidRPr="007B23B1">
        <w:rPr>
          <w:b/>
          <w:bCs/>
        </w:rPr>
        <w:t>In Transit</w:t>
      </w:r>
      <w:r w:rsidRPr="007B23B1">
        <w:t>: All data transmitted between user devices, IoT sensors, and the system's servers is encrypted using Secure Socket Layer (SSL) or Transport Layer Security (TLS) protocols. This ensures that data is protected from interception during transfer.</w:t>
      </w:r>
    </w:p>
    <w:p w14:paraId="36158EA7" w14:textId="77777777" w:rsidR="007B23B1" w:rsidRPr="007B23B1" w:rsidRDefault="007B23B1" w:rsidP="007B23B1">
      <w:pPr>
        <w:numPr>
          <w:ilvl w:val="0"/>
          <w:numId w:val="1"/>
        </w:numPr>
      </w:pPr>
      <w:r w:rsidRPr="007B23B1">
        <w:rPr>
          <w:b/>
          <w:bCs/>
        </w:rPr>
        <w:t>At Rest</w:t>
      </w:r>
      <w:r w:rsidRPr="007B23B1">
        <w:t>: Sensitive data stored in the database is encrypted using Advanced Encryption Standard (AES). This ensures that personal information remains secure even if storage media are compromised.</w:t>
      </w:r>
    </w:p>
    <w:p w14:paraId="740E7455" w14:textId="77777777" w:rsidR="007B23B1" w:rsidRPr="007B23B1" w:rsidRDefault="007B23B1" w:rsidP="007B23B1">
      <w:pPr>
        <w:rPr>
          <w:b/>
          <w:bCs/>
        </w:rPr>
      </w:pPr>
      <w:r w:rsidRPr="007B23B1">
        <w:rPr>
          <w:b/>
          <w:bCs/>
        </w:rPr>
        <w:t>Access Control</w:t>
      </w:r>
    </w:p>
    <w:p w14:paraId="6991CEA6" w14:textId="77777777" w:rsidR="007B23B1" w:rsidRPr="007B23B1" w:rsidRDefault="007B23B1" w:rsidP="007B23B1">
      <w:pPr>
        <w:numPr>
          <w:ilvl w:val="0"/>
          <w:numId w:val="2"/>
        </w:numPr>
      </w:pPr>
      <w:r w:rsidRPr="007B23B1">
        <w:rPr>
          <w:b/>
          <w:bCs/>
        </w:rPr>
        <w:t>Role-Based Access</w:t>
      </w:r>
      <w:r w:rsidRPr="007B23B1">
        <w:t>: The system utilizes role-based access control to ensure that only authorized personnel can access specific data. User data access is limited to only the data they have personally contributed, while city officials can access anonymized, aggregated data at the community level.</w:t>
      </w:r>
    </w:p>
    <w:p w14:paraId="19B19431" w14:textId="77777777" w:rsidR="007B23B1" w:rsidRPr="007B23B1" w:rsidRDefault="007B23B1" w:rsidP="007B23B1">
      <w:pPr>
        <w:numPr>
          <w:ilvl w:val="0"/>
          <w:numId w:val="2"/>
        </w:numPr>
      </w:pPr>
      <w:r w:rsidRPr="007B23B1">
        <w:rPr>
          <w:b/>
          <w:bCs/>
        </w:rPr>
        <w:t>Multi-Factor Authentication (MFA)</w:t>
      </w:r>
      <w:r w:rsidRPr="007B23B1">
        <w:t>: Implemented for users and city officials, MFA adds an extra layer of security, requiring users to verify their identity through additional means such as email or SMS codes.</w:t>
      </w:r>
    </w:p>
    <w:p w14:paraId="4C8EE621" w14:textId="77777777" w:rsidR="007B23B1" w:rsidRPr="007B23B1" w:rsidRDefault="007B23B1" w:rsidP="007B23B1">
      <w:pPr>
        <w:rPr>
          <w:b/>
          <w:bCs/>
        </w:rPr>
      </w:pPr>
      <w:r w:rsidRPr="007B23B1">
        <w:rPr>
          <w:b/>
          <w:bCs/>
        </w:rPr>
        <w:t>Data Anonymization and Pseudonymization</w:t>
      </w:r>
    </w:p>
    <w:p w14:paraId="211F6106" w14:textId="77777777" w:rsidR="007B23B1" w:rsidRPr="007B23B1" w:rsidRDefault="007B23B1" w:rsidP="007B23B1">
      <w:pPr>
        <w:numPr>
          <w:ilvl w:val="0"/>
          <w:numId w:val="3"/>
        </w:numPr>
      </w:pPr>
      <w:r w:rsidRPr="007B23B1">
        <w:rPr>
          <w:b/>
          <w:bCs/>
        </w:rPr>
        <w:t>Anonymization</w:t>
      </w:r>
      <w:r w:rsidRPr="007B23B1">
        <w:t>: Personal identifiers are removed from data before community-level analysis, ensuring that individual users cannot be re-identified. Aggregated data for city officials does not contain any personal identifiers.</w:t>
      </w:r>
    </w:p>
    <w:p w14:paraId="4BD9DF46" w14:textId="77777777" w:rsidR="007B23B1" w:rsidRPr="007B23B1" w:rsidRDefault="007B23B1" w:rsidP="007B23B1">
      <w:pPr>
        <w:numPr>
          <w:ilvl w:val="0"/>
          <w:numId w:val="3"/>
        </w:numPr>
      </w:pPr>
      <w:r w:rsidRPr="007B23B1">
        <w:rPr>
          <w:b/>
          <w:bCs/>
        </w:rPr>
        <w:t>Pseudonymization</w:t>
      </w:r>
      <w:r w:rsidRPr="007B23B1">
        <w:t>: The system replaces identifiable information with unique identifiers. This approach helps preserve the privacy of individual users while enabling analysis for broader trends.</w:t>
      </w:r>
    </w:p>
    <w:p w14:paraId="00574DD6" w14:textId="77777777" w:rsidR="007B23B1" w:rsidRPr="007B23B1" w:rsidRDefault="007B23B1" w:rsidP="007B23B1">
      <w:pPr>
        <w:numPr>
          <w:ilvl w:val="0"/>
          <w:numId w:val="3"/>
        </w:numPr>
      </w:pPr>
      <w:r w:rsidRPr="007B23B1">
        <w:rPr>
          <w:b/>
          <w:bCs/>
        </w:rPr>
        <w:t>Differential Privacy</w:t>
      </w:r>
      <w:r w:rsidRPr="007B23B1">
        <w:t>: When aggregating data for reports, differential privacy techniques are applied to add statistical noise. This helps protect individuals’ identities in datasets by making it difficult to extract specific details about any one person.</w:t>
      </w:r>
    </w:p>
    <w:p w14:paraId="3051B035" w14:textId="77777777" w:rsidR="007B23B1" w:rsidRPr="007B23B1" w:rsidRDefault="007B23B1" w:rsidP="007B23B1">
      <w:pPr>
        <w:rPr>
          <w:b/>
          <w:bCs/>
        </w:rPr>
      </w:pPr>
      <w:r w:rsidRPr="007B23B1">
        <w:rPr>
          <w:b/>
          <w:bCs/>
        </w:rPr>
        <w:lastRenderedPageBreak/>
        <w:t>Data Access Logs and Audits</w:t>
      </w:r>
    </w:p>
    <w:p w14:paraId="48E1B433" w14:textId="77777777" w:rsidR="007B23B1" w:rsidRPr="007B23B1" w:rsidRDefault="007B23B1" w:rsidP="007B23B1">
      <w:pPr>
        <w:numPr>
          <w:ilvl w:val="0"/>
          <w:numId w:val="4"/>
        </w:numPr>
      </w:pPr>
      <w:r w:rsidRPr="007B23B1">
        <w:rPr>
          <w:b/>
          <w:bCs/>
        </w:rPr>
        <w:t>Access Logs</w:t>
      </w:r>
      <w:r w:rsidRPr="007B23B1">
        <w:t>: All data access and modifications are logged with timestamps and user credentials. This provides a comprehensive record of who accessed what data, ensuring accountability.</w:t>
      </w:r>
    </w:p>
    <w:p w14:paraId="15CAF3AD" w14:textId="77777777" w:rsidR="007B23B1" w:rsidRPr="007B23B1" w:rsidRDefault="007B23B1" w:rsidP="007B23B1">
      <w:pPr>
        <w:numPr>
          <w:ilvl w:val="0"/>
          <w:numId w:val="4"/>
        </w:numPr>
      </w:pPr>
      <w:r w:rsidRPr="007B23B1">
        <w:rPr>
          <w:b/>
          <w:bCs/>
        </w:rPr>
        <w:t>Regular Security Audits</w:t>
      </w:r>
      <w:r w:rsidRPr="007B23B1">
        <w:t>: The system undergoes regular security audits to identify and resolve potential vulnerabilities. These audits include penetration testing, code reviews, and compliance checks against relevant privacy regulations.</w:t>
      </w:r>
    </w:p>
    <w:p w14:paraId="25F303F3" w14:textId="1DE9958C" w:rsidR="007B23B1" w:rsidRPr="007B23B1" w:rsidRDefault="007B23B1" w:rsidP="007B23B1"/>
    <w:p w14:paraId="76EB3B6B" w14:textId="77777777" w:rsidR="007B23B1" w:rsidRPr="007B23B1" w:rsidRDefault="007B23B1" w:rsidP="007B23B1">
      <w:pPr>
        <w:rPr>
          <w:b/>
          <w:bCs/>
        </w:rPr>
      </w:pPr>
      <w:r w:rsidRPr="007B23B1">
        <w:rPr>
          <w:b/>
          <w:bCs/>
        </w:rPr>
        <w:t>2. User Consent and Data Control</w:t>
      </w:r>
    </w:p>
    <w:p w14:paraId="39537647" w14:textId="77777777" w:rsidR="007B23B1" w:rsidRPr="007B23B1" w:rsidRDefault="007B23B1" w:rsidP="007B23B1">
      <w:r w:rsidRPr="007B23B1">
        <w:t>User autonomy over personal data is a top priority. The system includes clear mechanisms for users to manage their data preferences:</w:t>
      </w:r>
    </w:p>
    <w:p w14:paraId="51ED45C1" w14:textId="77777777" w:rsidR="007B23B1" w:rsidRPr="007B23B1" w:rsidRDefault="007B23B1" w:rsidP="007B23B1">
      <w:pPr>
        <w:rPr>
          <w:b/>
          <w:bCs/>
        </w:rPr>
      </w:pPr>
      <w:r w:rsidRPr="007B23B1">
        <w:rPr>
          <w:b/>
          <w:bCs/>
        </w:rPr>
        <w:t>Informed Consent</w:t>
      </w:r>
    </w:p>
    <w:p w14:paraId="1699CD4A" w14:textId="77777777" w:rsidR="007B23B1" w:rsidRPr="007B23B1" w:rsidRDefault="007B23B1" w:rsidP="007B23B1">
      <w:pPr>
        <w:numPr>
          <w:ilvl w:val="0"/>
          <w:numId w:val="5"/>
        </w:numPr>
      </w:pPr>
      <w:r w:rsidRPr="007B23B1">
        <w:rPr>
          <w:b/>
          <w:bCs/>
        </w:rPr>
        <w:t>Clear Privacy Policy</w:t>
      </w:r>
      <w:r w:rsidRPr="007B23B1">
        <w:t>: A detailed privacy policy is provided at the time of registration. The policy explains what data is collected, how it is used, and how it is protected. Users must consent to data collection and processing before using the system.</w:t>
      </w:r>
    </w:p>
    <w:p w14:paraId="256550FF" w14:textId="77777777" w:rsidR="007B23B1" w:rsidRPr="007B23B1" w:rsidRDefault="007B23B1" w:rsidP="007B23B1">
      <w:pPr>
        <w:numPr>
          <w:ilvl w:val="0"/>
          <w:numId w:val="5"/>
        </w:numPr>
      </w:pPr>
      <w:r w:rsidRPr="007B23B1">
        <w:rPr>
          <w:b/>
          <w:bCs/>
        </w:rPr>
        <w:t>Data Usage Transparency</w:t>
      </w:r>
      <w:r w:rsidRPr="007B23B1">
        <w:t>: During setup and data collection, users are informed about which types of data are collected and how it will benefit them individually and contribute to community well-being.</w:t>
      </w:r>
    </w:p>
    <w:p w14:paraId="3AE11A8F" w14:textId="77777777" w:rsidR="007B23B1" w:rsidRPr="007B23B1" w:rsidRDefault="007B23B1" w:rsidP="007B23B1">
      <w:pPr>
        <w:rPr>
          <w:b/>
          <w:bCs/>
        </w:rPr>
      </w:pPr>
      <w:r w:rsidRPr="007B23B1">
        <w:rPr>
          <w:b/>
          <w:bCs/>
        </w:rPr>
        <w:t>Data Sharing Preferences</w:t>
      </w:r>
    </w:p>
    <w:p w14:paraId="68C4A435" w14:textId="77777777" w:rsidR="007B23B1" w:rsidRPr="007B23B1" w:rsidRDefault="007B23B1" w:rsidP="007B23B1">
      <w:pPr>
        <w:numPr>
          <w:ilvl w:val="0"/>
          <w:numId w:val="6"/>
        </w:numPr>
      </w:pPr>
      <w:r w:rsidRPr="007B23B1">
        <w:rPr>
          <w:b/>
          <w:bCs/>
        </w:rPr>
        <w:t>Granular Control</w:t>
      </w:r>
      <w:r w:rsidRPr="007B23B1">
        <w:t>: Users can control data-sharing preferences, choosing whether or not to share specific data types (e.g., health, activity) for community-level analysis.</w:t>
      </w:r>
    </w:p>
    <w:p w14:paraId="5ADC714D" w14:textId="77777777" w:rsidR="007B23B1" w:rsidRPr="007B23B1" w:rsidRDefault="007B23B1" w:rsidP="007B23B1">
      <w:pPr>
        <w:numPr>
          <w:ilvl w:val="0"/>
          <w:numId w:val="6"/>
        </w:numPr>
      </w:pPr>
      <w:r w:rsidRPr="007B23B1">
        <w:rPr>
          <w:b/>
          <w:bCs/>
        </w:rPr>
        <w:t>Opt-Out Option</w:t>
      </w:r>
      <w:r w:rsidRPr="007B23B1">
        <w:t>: Users can opt out of community data aggregation and analysis. If a user opts out, their data will remain private and only accessible to them within their personal dashboard.</w:t>
      </w:r>
    </w:p>
    <w:p w14:paraId="55F36DF7" w14:textId="77777777" w:rsidR="007B23B1" w:rsidRPr="007B23B1" w:rsidRDefault="007B23B1" w:rsidP="007B23B1">
      <w:pPr>
        <w:rPr>
          <w:b/>
          <w:bCs/>
        </w:rPr>
      </w:pPr>
      <w:r w:rsidRPr="007B23B1">
        <w:rPr>
          <w:b/>
          <w:bCs/>
        </w:rPr>
        <w:t>Data Retention and Deletion</w:t>
      </w:r>
    </w:p>
    <w:p w14:paraId="76CE7225" w14:textId="77777777" w:rsidR="007B23B1" w:rsidRPr="007B23B1" w:rsidRDefault="007B23B1" w:rsidP="007B23B1">
      <w:pPr>
        <w:numPr>
          <w:ilvl w:val="0"/>
          <w:numId w:val="7"/>
        </w:numPr>
      </w:pPr>
      <w:r w:rsidRPr="007B23B1">
        <w:rPr>
          <w:b/>
          <w:bCs/>
        </w:rPr>
        <w:t>Data Retention Policy</w:t>
      </w:r>
      <w:r w:rsidRPr="007B23B1">
        <w:t>: The system follows a data retention policy, where personal data is stored only for as long as necessary to achieve the intended purpose.</w:t>
      </w:r>
    </w:p>
    <w:p w14:paraId="68FDF857" w14:textId="77777777" w:rsidR="007B23B1" w:rsidRPr="007B23B1" w:rsidRDefault="007B23B1" w:rsidP="007B23B1">
      <w:pPr>
        <w:numPr>
          <w:ilvl w:val="0"/>
          <w:numId w:val="7"/>
        </w:numPr>
      </w:pPr>
      <w:r w:rsidRPr="007B23B1">
        <w:rPr>
          <w:b/>
          <w:bCs/>
        </w:rPr>
        <w:lastRenderedPageBreak/>
        <w:t>Right to Deletion</w:t>
      </w:r>
      <w:r w:rsidRPr="007B23B1">
        <w:t>: Users have the right to request deletion of their data at any time. Upon request, data is permanently erased from the system and all backups, ensuring no residual copies remain.</w:t>
      </w:r>
    </w:p>
    <w:p w14:paraId="722D0808" w14:textId="251AE537" w:rsidR="007B23B1" w:rsidRPr="007B23B1" w:rsidRDefault="007B23B1" w:rsidP="007B23B1"/>
    <w:p w14:paraId="449A005C" w14:textId="77777777" w:rsidR="007B23B1" w:rsidRPr="007B23B1" w:rsidRDefault="007B23B1" w:rsidP="007B23B1">
      <w:pPr>
        <w:rPr>
          <w:b/>
          <w:bCs/>
        </w:rPr>
      </w:pPr>
      <w:r w:rsidRPr="007B23B1">
        <w:rPr>
          <w:b/>
          <w:bCs/>
        </w:rPr>
        <w:t>3. Ethical Data Use</w:t>
      </w:r>
    </w:p>
    <w:p w14:paraId="630CA129" w14:textId="77777777" w:rsidR="007B23B1" w:rsidRPr="007B23B1" w:rsidRDefault="007B23B1" w:rsidP="007B23B1">
      <w:r w:rsidRPr="007B23B1">
        <w:t>The system is designed to ethically use data, emphasizing respect for individuals’ rights, informed consent, and fairness in data analysis:</w:t>
      </w:r>
    </w:p>
    <w:p w14:paraId="768F96A1" w14:textId="77777777" w:rsidR="007B23B1" w:rsidRPr="007B23B1" w:rsidRDefault="007B23B1" w:rsidP="007B23B1">
      <w:pPr>
        <w:rPr>
          <w:b/>
          <w:bCs/>
        </w:rPr>
      </w:pPr>
      <w:r w:rsidRPr="007B23B1">
        <w:rPr>
          <w:b/>
          <w:bCs/>
        </w:rPr>
        <w:t>Purpose Limitation</w:t>
      </w:r>
    </w:p>
    <w:p w14:paraId="7D929E8A" w14:textId="77777777" w:rsidR="007B23B1" w:rsidRPr="007B23B1" w:rsidRDefault="007B23B1" w:rsidP="007B23B1">
      <w:pPr>
        <w:numPr>
          <w:ilvl w:val="0"/>
          <w:numId w:val="8"/>
        </w:numPr>
      </w:pPr>
      <w:r w:rsidRPr="007B23B1">
        <w:rPr>
          <w:b/>
          <w:bCs/>
        </w:rPr>
        <w:t>Explicit Use Cases</w:t>
      </w:r>
      <w:r w:rsidRPr="007B23B1">
        <w:t>: Data collected by the system is only used for purposes disclosed in the privacy policy. It will not be used for commercial purposes, sold, or shared with third parties without the explicit consent of users.</w:t>
      </w:r>
    </w:p>
    <w:p w14:paraId="7CD8FE4E" w14:textId="77777777" w:rsidR="007B23B1" w:rsidRPr="007B23B1" w:rsidRDefault="007B23B1" w:rsidP="007B23B1">
      <w:pPr>
        <w:numPr>
          <w:ilvl w:val="0"/>
          <w:numId w:val="8"/>
        </w:numPr>
      </w:pPr>
      <w:r w:rsidRPr="007B23B1">
        <w:rPr>
          <w:b/>
          <w:bCs/>
        </w:rPr>
        <w:t>Community Impact Focus</w:t>
      </w:r>
      <w:r w:rsidRPr="007B23B1">
        <w:t>: Data is used to generate insights for improving community well-being, with specific analyses directed toward health, education, economic stability, and other relevant urban challenges.</w:t>
      </w:r>
    </w:p>
    <w:p w14:paraId="2BA0DF03" w14:textId="77777777" w:rsidR="007B23B1" w:rsidRPr="007B23B1" w:rsidRDefault="007B23B1" w:rsidP="007B23B1">
      <w:pPr>
        <w:rPr>
          <w:b/>
          <w:bCs/>
        </w:rPr>
      </w:pPr>
      <w:r w:rsidRPr="007B23B1">
        <w:rPr>
          <w:b/>
          <w:bCs/>
        </w:rPr>
        <w:t>Non-Discrimination</w:t>
      </w:r>
    </w:p>
    <w:p w14:paraId="5598467D" w14:textId="77777777" w:rsidR="007B23B1" w:rsidRPr="007B23B1" w:rsidRDefault="007B23B1" w:rsidP="007B23B1">
      <w:pPr>
        <w:numPr>
          <w:ilvl w:val="0"/>
          <w:numId w:val="9"/>
        </w:numPr>
      </w:pPr>
      <w:r w:rsidRPr="007B23B1">
        <w:rPr>
          <w:b/>
          <w:bCs/>
        </w:rPr>
        <w:t>Fairness in Analysis</w:t>
      </w:r>
      <w:r w:rsidRPr="007B23B1">
        <w:t>: Data analysis and predictive models are designed to avoid bias and ensure fairness across all demographic groups. Special attention is given to avoid any systemic biases in health metrics or community well-being scores.</w:t>
      </w:r>
    </w:p>
    <w:p w14:paraId="4DD4FF6D" w14:textId="77777777" w:rsidR="007B23B1" w:rsidRPr="007B23B1" w:rsidRDefault="007B23B1" w:rsidP="007B23B1">
      <w:pPr>
        <w:numPr>
          <w:ilvl w:val="0"/>
          <w:numId w:val="9"/>
        </w:numPr>
      </w:pPr>
      <w:r w:rsidRPr="007B23B1">
        <w:rPr>
          <w:b/>
          <w:bCs/>
        </w:rPr>
        <w:t>Inclusive Design</w:t>
      </w:r>
      <w:r w:rsidRPr="007B23B1">
        <w:t>: The system considers the needs of all users, particularly those from vulnerable or disadvantaged communities. Recommendations based on data are aligned with equitable resource allocation and community support objectives.</w:t>
      </w:r>
    </w:p>
    <w:p w14:paraId="7F57E684" w14:textId="77777777" w:rsidR="007B23B1" w:rsidRPr="007B23B1" w:rsidRDefault="007B23B1" w:rsidP="007B23B1">
      <w:pPr>
        <w:rPr>
          <w:b/>
          <w:bCs/>
        </w:rPr>
      </w:pPr>
      <w:r w:rsidRPr="007B23B1">
        <w:rPr>
          <w:b/>
          <w:bCs/>
        </w:rPr>
        <w:t>Transparency in AI Algorithms</w:t>
      </w:r>
    </w:p>
    <w:p w14:paraId="6A3341B3" w14:textId="77777777" w:rsidR="007B23B1" w:rsidRPr="007B23B1" w:rsidRDefault="007B23B1" w:rsidP="007B23B1">
      <w:pPr>
        <w:numPr>
          <w:ilvl w:val="0"/>
          <w:numId w:val="10"/>
        </w:numPr>
      </w:pPr>
      <w:r w:rsidRPr="007B23B1">
        <w:rPr>
          <w:b/>
          <w:bCs/>
        </w:rPr>
        <w:t>Explainable AI</w:t>
      </w:r>
      <w:r w:rsidRPr="007B23B1">
        <w:t>: Where machine learning models are employed, efforts are made to maintain transparency in how predictions are generated. Users and city officials are provided with explanations of algorithmic decisions where possible.</w:t>
      </w:r>
    </w:p>
    <w:p w14:paraId="4B6C51A9" w14:textId="77777777" w:rsidR="007B23B1" w:rsidRPr="007B23B1" w:rsidRDefault="007B23B1" w:rsidP="007B23B1">
      <w:pPr>
        <w:numPr>
          <w:ilvl w:val="0"/>
          <w:numId w:val="10"/>
        </w:numPr>
      </w:pPr>
      <w:r w:rsidRPr="007B23B1">
        <w:rPr>
          <w:b/>
          <w:bCs/>
        </w:rPr>
        <w:t>Bias Mitigation</w:t>
      </w:r>
      <w:r w:rsidRPr="007B23B1">
        <w:t>: Regular bias checks are conducted on AI models to prevent outcomes that disproportionately impact certain demographics. The goal is to ensure that the insights provided to city officials promote equality and social well-being.</w:t>
      </w:r>
    </w:p>
    <w:p w14:paraId="15858DE0" w14:textId="13D84227" w:rsidR="007B23B1" w:rsidRPr="007B23B1" w:rsidRDefault="007B23B1" w:rsidP="007B23B1"/>
    <w:p w14:paraId="3FA076CF" w14:textId="77777777" w:rsidR="007B23B1" w:rsidRPr="007B23B1" w:rsidRDefault="007B23B1" w:rsidP="007B23B1">
      <w:pPr>
        <w:rPr>
          <w:b/>
          <w:bCs/>
        </w:rPr>
      </w:pPr>
      <w:r w:rsidRPr="007B23B1">
        <w:rPr>
          <w:b/>
          <w:bCs/>
        </w:rPr>
        <w:t>4. Compliance with Legal and Regulatory Standards</w:t>
      </w:r>
    </w:p>
    <w:p w14:paraId="09FAB207" w14:textId="77777777" w:rsidR="007B23B1" w:rsidRPr="007B23B1" w:rsidRDefault="007B23B1" w:rsidP="007B23B1">
      <w:r w:rsidRPr="007B23B1">
        <w:t>To ensure data protection and ethical compliance, the system adheres to relevant privacy and data protection regulations:</w:t>
      </w:r>
    </w:p>
    <w:p w14:paraId="718C6D50" w14:textId="77777777" w:rsidR="007B23B1" w:rsidRPr="007B23B1" w:rsidRDefault="007B23B1" w:rsidP="007B23B1">
      <w:pPr>
        <w:rPr>
          <w:b/>
          <w:bCs/>
        </w:rPr>
      </w:pPr>
      <w:r w:rsidRPr="007B23B1">
        <w:rPr>
          <w:b/>
          <w:bCs/>
        </w:rPr>
        <w:t>Regulatory Compliance</w:t>
      </w:r>
    </w:p>
    <w:p w14:paraId="334A8DCD" w14:textId="77777777" w:rsidR="007B23B1" w:rsidRPr="007B23B1" w:rsidRDefault="007B23B1" w:rsidP="007B23B1">
      <w:pPr>
        <w:numPr>
          <w:ilvl w:val="0"/>
          <w:numId w:val="11"/>
        </w:numPr>
      </w:pPr>
      <w:r w:rsidRPr="007B23B1">
        <w:rPr>
          <w:b/>
          <w:bCs/>
        </w:rPr>
        <w:t>General Data Protection Regulation (GDPR)</w:t>
      </w:r>
      <w:r w:rsidRPr="007B23B1">
        <w:t>: For users in regions covered by GDPR, the system complies with requirements for data processing, storage, and deletion, including rights to access and data portability.</w:t>
      </w:r>
    </w:p>
    <w:p w14:paraId="4E2EAF23" w14:textId="77777777" w:rsidR="007B23B1" w:rsidRPr="007B23B1" w:rsidRDefault="007B23B1" w:rsidP="007B23B1">
      <w:pPr>
        <w:numPr>
          <w:ilvl w:val="0"/>
          <w:numId w:val="11"/>
        </w:numPr>
      </w:pPr>
      <w:r w:rsidRPr="007B23B1">
        <w:rPr>
          <w:b/>
          <w:bCs/>
        </w:rPr>
        <w:t>California Consumer Privacy Act (CCPA)</w:t>
      </w:r>
      <w:r w:rsidRPr="007B23B1">
        <w:t>: For users in California, the system adheres to CCPA guidelines, offering transparent data processing, consumer rights to opt-out, and personal information safeguards.</w:t>
      </w:r>
    </w:p>
    <w:p w14:paraId="7001BE5C" w14:textId="77777777" w:rsidR="007B23B1" w:rsidRPr="007B23B1" w:rsidRDefault="007B23B1" w:rsidP="007B23B1">
      <w:pPr>
        <w:rPr>
          <w:b/>
          <w:bCs/>
        </w:rPr>
      </w:pPr>
      <w:r w:rsidRPr="007B23B1">
        <w:rPr>
          <w:b/>
          <w:bCs/>
        </w:rPr>
        <w:t>Privacy by Design and Default</w:t>
      </w:r>
    </w:p>
    <w:p w14:paraId="0DF0B7CD" w14:textId="77777777" w:rsidR="007B23B1" w:rsidRPr="007B23B1" w:rsidRDefault="007B23B1" w:rsidP="007B23B1">
      <w:pPr>
        <w:numPr>
          <w:ilvl w:val="0"/>
          <w:numId w:val="12"/>
        </w:numPr>
      </w:pPr>
      <w:r w:rsidRPr="007B23B1">
        <w:rPr>
          <w:b/>
          <w:bCs/>
        </w:rPr>
        <w:t>Built-in Privacy Safeguards</w:t>
      </w:r>
      <w:r w:rsidRPr="007B23B1">
        <w:t>: Privacy considerations are integrated into every phase of system design and implementation, ensuring data protection by default.</w:t>
      </w:r>
    </w:p>
    <w:p w14:paraId="66C7E7FF" w14:textId="77777777" w:rsidR="007B23B1" w:rsidRPr="007B23B1" w:rsidRDefault="007B23B1" w:rsidP="007B23B1">
      <w:pPr>
        <w:numPr>
          <w:ilvl w:val="0"/>
          <w:numId w:val="12"/>
        </w:numPr>
      </w:pPr>
      <w:r w:rsidRPr="007B23B1">
        <w:rPr>
          <w:b/>
          <w:bCs/>
        </w:rPr>
        <w:t>Ongoing Privacy Assessments</w:t>
      </w:r>
      <w:r w:rsidRPr="007B23B1">
        <w:t>: Regular Privacy Impact Assessments (PIAs) are conducted to evaluate and address privacy risks associated with new features or changes to the system.</w:t>
      </w:r>
    </w:p>
    <w:p w14:paraId="1E1C0824" w14:textId="77777777" w:rsidR="007B23B1" w:rsidRPr="007B23B1" w:rsidRDefault="007B23B1" w:rsidP="007B23B1">
      <w:pPr>
        <w:rPr>
          <w:b/>
          <w:bCs/>
        </w:rPr>
      </w:pPr>
      <w:r w:rsidRPr="007B23B1">
        <w:rPr>
          <w:b/>
          <w:bCs/>
        </w:rPr>
        <w:t>Ethics Board Review</w:t>
      </w:r>
    </w:p>
    <w:p w14:paraId="34711323" w14:textId="77777777" w:rsidR="007B23B1" w:rsidRPr="007B23B1" w:rsidRDefault="007B23B1" w:rsidP="007B23B1">
      <w:pPr>
        <w:numPr>
          <w:ilvl w:val="0"/>
          <w:numId w:val="13"/>
        </w:numPr>
      </w:pPr>
      <w:r w:rsidRPr="007B23B1">
        <w:rPr>
          <w:b/>
          <w:bCs/>
        </w:rPr>
        <w:t>Ethics Oversight</w:t>
      </w:r>
      <w:r w:rsidRPr="007B23B1">
        <w:t>: An independent ethics board or advisory committee periodically reviews the system’s practices to ensure adherence to privacy, ethical standards, and fairness. This board provides guidance on ethical dilemmas and helps maintain accountability.</w:t>
      </w:r>
    </w:p>
    <w:p w14:paraId="70F7F92F" w14:textId="77777777" w:rsidR="007B23B1" w:rsidRPr="007B23B1" w:rsidRDefault="007B23B1" w:rsidP="007B23B1">
      <w:pPr>
        <w:rPr>
          <w:b/>
          <w:bCs/>
        </w:rPr>
      </w:pPr>
      <w:r w:rsidRPr="007B23B1">
        <w:rPr>
          <w:b/>
          <w:bCs/>
        </w:rPr>
        <w:t>End-User Accountability and Support</w:t>
      </w:r>
    </w:p>
    <w:p w14:paraId="741F673F" w14:textId="77777777" w:rsidR="007B23B1" w:rsidRPr="007B23B1" w:rsidRDefault="007B23B1" w:rsidP="007B23B1">
      <w:pPr>
        <w:numPr>
          <w:ilvl w:val="0"/>
          <w:numId w:val="14"/>
        </w:numPr>
      </w:pPr>
      <w:r w:rsidRPr="007B23B1">
        <w:rPr>
          <w:b/>
          <w:bCs/>
        </w:rPr>
        <w:t>Privacy and Ethics Training</w:t>
      </w:r>
      <w:r w:rsidRPr="007B23B1">
        <w:t>: All team members working with data are trained on privacy principles, ethical data usage, and compliance with regulatory standards.</w:t>
      </w:r>
    </w:p>
    <w:p w14:paraId="04B6F115" w14:textId="5A300537" w:rsidR="00141A21" w:rsidRDefault="007B23B1" w:rsidP="00F70310">
      <w:pPr>
        <w:numPr>
          <w:ilvl w:val="0"/>
          <w:numId w:val="14"/>
        </w:numPr>
      </w:pPr>
      <w:r w:rsidRPr="007B23B1">
        <w:rPr>
          <w:b/>
          <w:bCs/>
        </w:rPr>
        <w:t>User Support and Feedback</w:t>
      </w:r>
      <w:r w:rsidRPr="007B23B1">
        <w:t>: Users can access a dedicated support channel for privacy-related questions or concerns. The system includes a feedback mechanism where users can report any privacy issues or suggest improvements to the system.</w:t>
      </w:r>
    </w:p>
    <w:sectPr w:rsidR="00141A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A43DD"/>
    <w:multiLevelType w:val="multilevel"/>
    <w:tmpl w:val="5AF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600C"/>
    <w:multiLevelType w:val="multilevel"/>
    <w:tmpl w:val="E73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606"/>
    <w:multiLevelType w:val="multilevel"/>
    <w:tmpl w:val="7F1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C3C6B"/>
    <w:multiLevelType w:val="multilevel"/>
    <w:tmpl w:val="3D8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66459"/>
    <w:multiLevelType w:val="multilevel"/>
    <w:tmpl w:val="028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307A8"/>
    <w:multiLevelType w:val="multilevel"/>
    <w:tmpl w:val="EA7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9227E"/>
    <w:multiLevelType w:val="multilevel"/>
    <w:tmpl w:val="D62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53FD7"/>
    <w:multiLevelType w:val="multilevel"/>
    <w:tmpl w:val="9AD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D0766"/>
    <w:multiLevelType w:val="multilevel"/>
    <w:tmpl w:val="EE6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638B0"/>
    <w:multiLevelType w:val="multilevel"/>
    <w:tmpl w:val="096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15C01"/>
    <w:multiLevelType w:val="multilevel"/>
    <w:tmpl w:val="9F1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42EB6"/>
    <w:multiLevelType w:val="multilevel"/>
    <w:tmpl w:val="675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22DC2"/>
    <w:multiLevelType w:val="multilevel"/>
    <w:tmpl w:val="2BE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74FD5"/>
    <w:multiLevelType w:val="multilevel"/>
    <w:tmpl w:val="B44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554576">
    <w:abstractNumId w:val="11"/>
  </w:num>
  <w:num w:numId="2" w16cid:durableId="1953971299">
    <w:abstractNumId w:val="0"/>
  </w:num>
  <w:num w:numId="3" w16cid:durableId="1248610297">
    <w:abstractNumId w:val="9"/>
  </w:num>
  <w:num w:numId="4" w16cid:durableId="735394509">
    <w:abstractNumId w:val="10"/>
  </w:num>
  <w:num w:numId="5" w16cid:durableId="992027674">
    <w:abstractNumId w:val="1"/>
  </w:num>
  <w:num w:numId="6" w16cid:durableId="281764476">
    <w:abstractNumId w:val="3"/>
  </w:num>
  <w:num w:numId="7" w16cid:durableId="1348285751">
    <w:abstractNumId w:val="13"/>
  </w:num>
  <w:num w:numId="8" w16cid:durableId="1943955080">
    <w:abstractNumId w:val="5"/>
  </w:num>
  <w:num w:numId="9" w16cid:durableId="1708721849">
    <w:abstractNumId w:val="8"/>
  </w:num>
  <w:num w:numId="10" w16cid:durableId="1330865720">
    <w:abstractNumId w:val="2"/>
  </w:num>
  <w:num w:numId="11" w16cid:durableId="1889534263">
    <w:abstractNumId w:val="7"/>
  </w:num>
  <w:num w:numId="12" w16cid:durableId="885725328">
    <w:abstractNumId w:val="4"/>
  </w:num>
  <w:num w:numId="13" w16cid:durableId="1597327326">
    <w:abstractNumId w:val="12"/>
  </w:num>
  <w:num w:numId="14" w16cid:durableId="1700886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1F"/>
    <w:rsid w:val="00141A21"/>
    <w:rsid w:val="00354117"/>
    <w:rsid w:val="004A5D1F"/>
    <w:rsid w:val="004C6D6C"/>
    <w:rsid w:val="00596EDB"/>
    <w:rsid w:val="00675781"/>
    <w:rsid w:val="0072333F"/>
    <w:rsid w:val="007B23B1"/>
    <w:rsid w:val="00C35D0E"/>
    <w:rsid w:val="00F7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BA57BF9"/>
  <w15:chartTrackingRefBased/>
  <w15:docId w15:val="{A858C7B5-CF4E-4AA5-BD94-0BBF31B3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D1F"/>
    <w:rPr>
      <w:rFonts w:eastAsiaTheme="majorEastAsia" w:cstheme="majorBidi"/>
      <w:color w:val="272727" w:themeColor="text1" w:themeTint="D8"/>
    </w:rPr>
  </w:style>
  <w:style w:type="paragraph" w:styleId="Title">
    <w:name w:val="Title"/>
    <w:basedOn w:val="Normal"/>
    <w:next w:val="Normal"/>
    <w:link w:val="TitleChar"/>
    <w:uiPriority w:val="10"/>
    <w:qFormat/>
    <w:rsid w:val="004A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D1F"/>
    <w:pPr>
      <w:spacing w:before="160"/>
      <w:jc w:val="center"/>
    </w:pPr>
    <w:rPr>
      <w:i/>
      <w:iCs/>
      <w:color w:val="404040" w:themeColor="text1" w:themeTint="BF"/>
    </w:rPr>
  </w:style>
  <w:style w:type="character" w:customStyle="1" w:styleId="QuoteChar">
    <w:name w:val="Quote Char"/>
    <w:basedOn w:val="DefaultParagraphFont"/>
    <w:link w:val="Quote"/>
    <w:uiPriority w:val="29"/>
    <w:rsid w:val="004A5D1F"/>
    <w:rPr>
      <w:i/>
      <w:iCs/>
      <w:color w:val="404040" w:themeColor="text1" w:themeTint="BF"/>
    </w:rPr>
  </w:style>
  <w:style w:type="paragraph" w:styleId="ListParagraph">
    <w:name w:val="List Paragraph"/>
    <w:basedOn w:val="Normal"/>
    <w:uiPriority w:val="34"/>
    <w:qFormat/>
    <w:rsid w:val="004A5D1F"/>
    <w:pPr>
      <w:ind w:left="720"/>
      <w:contextualSpacing/>
    </w:pPr>
  </w:style>
  <w:style w:type="character" w:styleId="IntenseEmphasis">
    <w:name w:val="Intense Emphasis"/>
    <w:basedOn w:val="DefaultParagraphFont"/>
    <w:uiPriority w:val="21"/>
    <w:qFormat/>
    <w:rsid w:val="004A5D1F"/>
    <w:rPr>
      <w:i/>
      <w:iCs/>
      <w:color w:val="0F4761" w:themeColor="accent1" w:themeShade="BF"/>
    </w:rPr>
  </w:style>
  <w:style w:type="paragraph" w:styleId="IntenseQuote">
    <w:name w:val="Intense Quote"/>
    <w:basedOn w:val="Normal"/>
    <w:next w:val="Normal"/>
    <w:link w:val="IntenseQuoteChar"/>
    <w:uiPriority w:val="30"/>
    <w:qFormat/>
    <w:rsid w:val="004A5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D1F"/>
    <w:rPr>
      <w:i/>
      <w:iCs/>
      <w:color w:val="0F4761" w:themeColor="accent1" w:themeShade="BF"/>
    </w:rPr>
  </w:style>
  <w:style w:type="character" w:styleId="IntenseReference">
    <w:name w:val="Intense Reference"/>
    <w:basedOn w:val="DefaultParagraphFont"/>
    <w:uiPriority w:val="32"/>
    <w:qFormat/>
    <w:rsid w:val="004A5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663191">
      <w:bodyDiv w:val="1"/>
      <w:marLeft w:val="0"/>
      <w:marRight w:val="0"/>
      <w:marTop w:val="0"/>
      <w:marBottom w:val="0"/>
      <w:divBdr>
        <w:top w:val="none" w:sz="0" w:space="0" w:color="auto"/>
        <w:left w:val="none" w:sz="0" w:space="0" w:color="auto"/>
        <w:bottom w:val="none" w:sz="0" w:space="0" w:color="auto"/>
        <w:right w:val="none" w:sz="0" w:space="0" w:color="auto"/>
      </w:divBdr>
    </w:div>
    <w:div w:id="191924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8</cp:revision>
  <dcterms:created xsi:type="dcterms:W3CDTF">2024-10-14T14:49:00Z</dcterms:created>
  <dcterms:modified xsi:type="dcterms:W3CDTF">2024-10-17T18:38:00Z</dcterms:modified>
</cp:coreProperties>
</file>