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C24" w:rsidRDefault="00055D94">
      <w:pPr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ECON 1021</w:t>
      </w:r>
      <w:r w:rsidR="00AA1C24">
        <w:rPr>
          <w:b/>
          <w:sz w:val="36"/>
        </w:rPr>
        <w:t xml:space="preserve"> Principles of Microeconomics</w:t>
      </w:r>
    </w:p>
    <w:p w:rsidR="00BA5ED9" w:rsidRPr="00BA5ED9" w:rsidRDefault="004012E6">
      <w:pPr>
        <w:rPr>
          <w:b/>
          <w:sz w:val="36"/>
        </w:rPr>
      </w:pPr>
      <w:r>
        <w:rPr>
          <w:b/>
          <w:sz w:val="36"/>
        </w:rPr>
        <w:t xml:space="preserve">Textbook </w:t>
      </w:r>
      <w:r w:rsidR="00BA5ED9" w:rsidRPr="00BA5ED9">
        <w:rPr>
          <w:b/>
          <w:sz w:val="36"/>
        </w:rPr>
        <w:t>Readings</w:t>
      </w:r>
    </w:p>
    <w:p w:rsidR="00BA5ED9" w:rsidRDefault="00BA5ED9"/>
    <w:p w:rsidR="00BA5ED9" w:rsidRDefault="00BA5ED9">
      <w:r>
        <w:t>The following chart outlines the textbook readings</w:t>
      </w:r>
      <w:r w:rsidR="006313F9">
        <w:t xml:space="preserve"> (</w:t>
      </w:r>
      <w:proofErr w:type="spellStart"/>
      <w:r w:rsidR="006313F9">
        <w:t>Parkin</w:t>
      </w:r>
      <w:proofErr w:type="spellEnd"/>
      <w:r w:rsidR="006313F9">
        <w:t>, 10</w:t>
      </w:r>
      <w:r w:rsidR="004012E6" w:rsidRPr="004012E6">
        <w:rPr>
          <w:vertAlign w:val="superscript"/>
        </w:rPr>
        <w:t>th</w:t>
      </w:r>
      <w:r w:rsidR="006313F9">
        <w:t xml:space="preserve"> e</w:t>
      </w:r>
      <w:r w:rsidR="004012E6">
        <w:t>d.)</w:t>
      </w:r>
      <w:r>
        <w:t xml:space="preserve"> that corres</w:t>
      </w:r>
      <w:r w:rsidR="00284B82">
        <w:t>pond to the material that we will be</w:t>
      </w:r>
      <w:r>
        <w:t xml:space="preserve"> covering in lecture.</w:t>
      </w:r>
    </w:p>
    <w:p w:rsidR="00BA5ED9" w:rsidRDefault="00BA5ED9"/>
    <w:tbl>
      <w:tblPr>
        <w:tblStyle w:val="ColorfulGrid-Accent3"/>
        <w:tblW w:w="0" w:type="auto"/>
        <w:tblLook w:val="00A0" w:firstRow="1" w:lastRow="0" w:firstColumn="1" w:lastColumn="0" w:noHBand="0" w:noVBand="0"/>
      </w:tblPr>
      <w:tblGrid>
        <w:gridCol w:w="2191"/>
        <w:gridCol w:w="6449"/>
      </w:tblGrid>
      <w:tr w:rsidR="004012E6" w:rsidTr="00484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4012E6" w:rsidRPr="00373D6A" w:rsidRDefault="004012E6">
            <w:pPr>
              <w:rPr>
                <w:b w:val="0"/>
              </w:rPr>
            </w:pPr>
            <w:r w:rsidRPr="00373D6A">
              <w:rPr>
                <w:b w:val="0"/>
              </w:rPr>
              <w:t>Chapter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1" w:type="dxa"/>
          </w:tcPr>
          <w:p w:rsidR="004012E6" w:rsidRPr="00373D6A" w:rsidRDefault="004012E6">
            <w:pPr>
              <w:rPr>
                <w:b w:val="0"/>
              </w:rPr>
            </w:pPr>
            <w:r w:rsidRPr="00373D6A">
              <w:rPr>
                <w:b w:val="0"/>
              </w:rPr>
              <w:t>Textbook Pages</w:t>
            </w:r>
          </w:p>
        </w:tc>
      </w:tr>
      <w:tr w:rsidR="004012E6" w:rsidTr="00484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4012E6" w:rsidRDefault="004012E6">
            <w:r>
              <w:t>Ch.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1" w:type="dxa"/>
          </w:tcPr>
          <w:p w:rsidR="004012E6" w:rsidRDefault="00137799">
            <w:r>
              <w:t>pp. 1</w:t>
            </w:r>
            <w:r w:rsidR="000023B3">
              <w:t>-11</w:t>
            </w:r>
            <w:r w:rsidR="004012E6">
              <w:t>*</w:t>
            </w:r>
          </w:p>
          <w:p w:rsidR="00B2677D" w:rsidRDefault="00B2677D"/>
          <w:p w:rsidR="00B2677D" w:rsidRDefault="00B2677D" w:rsidP="00B2677D">
            <w:r>
              <w:t xml:space="preserve">*At the end of Ch. 1 there is an appendix on how to read and work with graphs and a mathematical note on linear equations.  Though we will not cover this material in class, </w:t>
            </w:r>
            <w:r w:rsidR="00CA360D">
              <w:t xml:space="preserve">I </w:t>
            </w:r>
            <w:r>
              <w:t xml:space="preserve">expect you to understand these mathematical concepts from your previous math classes.  You should look these </w:t>
            </w:r>
            <w:r w:rsidR="00CA360D">
              <w:t>sections over to make sure you are comfortable with the</w:t>
            </w:r>
            <w:r>
              <w:t xml:space="preserve"> material as it will be exa</w:t>
            </w:r>
            <w:r w:rsidR="00137799">
              <w:t>m testable.  See textbook pp. 17-29</w:t>
            </w:r>
            <w:r>
              <w:t>.</w:t>
            </w:r>
          </w:p>
          <w:p w:rsidR="00B2677D" w:rsidRDefault="00B2677D"/>
        </w:tc>
      </w:tr>
      <w:tr w:rsidR="004012E6" w:rsidTr="00484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4012E6" w:rsidRDefault="004012E6">
            <w:r>
              <w:t>Ch.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1" w:type="dxa"/>
          </w:tcPr>
          <w:p w:rsidR="004012E6" w:rsidRDefault="00137799">
            <w:r>
              <w:t>pp. 33</w:t>
            </w:r>
            <w:r w:rsidR="004012E6">
              <w:t>-</w:t>
            </w:r>
            <w:r w:rsidR="00900966">
              <w:t>4</w:t>
            </w:r>
            <w:r>
              <w:t>7</w:t>
            </w:r>
          </w:p>
        </w:tc>
      </w:tr>
      <w:tr w:rsidR="004012E6" w:rsidTr="00484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4012E6" w:rsidRDefault="00E32C0B">
            <w:r>
              <w:t>Ch. 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1" w:type="dxa"/>
          </w:tcPr>
          <w:p w:rsidR="00B2677D" w:rsidRPr="009F5D1C" w:rsidRDefault="00137799" w:rsidP="009F5D1C">
            <w:r>
              <w:t>pp. 59-77 and Mathematical Note pp. 80</w:t>
            </w:r>
            <w:r w:rsidR="009F5D1C">
              <w:t>-</w:t>
            </w:r>
            <w:r>
              <w:t>81</w:t>
            </w:r>
          </w:p>
        </w:tc>
      </w:tr>
      <w:tr w:rsidR="00703F76" w:rsidTr="00484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703F76" w:rsidRDefault="00703F76">
            <w:r>
              <w:t>Ch. 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1" w:type="dxa"/>
          </w:tcPr>
          <w:p w:rsidR="00703F76" w:rsidRDefault="00703F76" w:rsidP="00B7209B">
            <w:r>
              <w:t>p</w:t>
            </w:r>
            <w:r w:rsidR="00073B2F">
              <w:t>p</w:t>
            </w:r>
            <w:r w:rsidR="00137799">
              <w:t>. 87</w:t>
            </w:r>
            <w:r w:rsidR="00B7209B">
              <w:t>-</w:t>
            </w:r>
            <w:r w:rsidR="00D70216">
              <w:t>101</w:t>
            </w:r>
          </w:p>
        </w:tc>
      </w:tr>
      <w:tr w:rsidR="00703F76" w:rsidTr="00484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703F76" w:rsidRDefault="00073B2F">
            <w:r>
              <w:t>Ch. 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1" w:type="dxa"/>
          </w:tcPr>
          <w:p w:rsidR="00703F76" w:rsidRDefault="00134A48" w:rsidP="008A3BB7">
            <w:r>
              <w:t xml:space="preserve">pp. </w:t>
            </w:r>
            <w:r w:rsidR="008A3BB7">
              <w:t>109-119</w:t>
            </w:r>
            <w:r w:rsidR="00E71576">
              <w:t>.</w:t>
            </w:r>
            <w:r w:rsidR="000B448E">
              <w:t xml:space="preserve">  We will also </w:t>
            </w:r>
            <w:r w:rsidR="008A3BB7">
              <w:t>‘l</w:t>
            </w:r>
            <w:r w:rsidR="000B448E">
              <w:t>oosely</w:t>
            </w:r>
            <w:r w:rsidR="008A3BB7">
              <w:t>’</w:t>
            </w:r>
            <w:r w:rsidR="000B448E">
              <w:t xml:space="preserve"> touch on </w:t>
            </w:r>
            <w:r w:rsidR="008A3BB7">
              <w:t>‘Is the Competitive Market Fair?’ on pp. 120-122</w:t>
            </w:r>
            <w:r w:rsidR="000B448E">
              <w:t>.</w:t>
            </w:r>
          </w:p>
        </w:tc>
      </w:tr>
      <w:tr w:rsidR="00676418" w:rsidTr="00484778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5" w:type="dxa"/>
            <w:gridSpan w:val="2"/>
          </w:tcPr>
          <w:p w:rsidR="00676418" w:rsidRDefault="006C15B4" w:rsidP="00676418">
            <w:pPr>
              <w:jc w:val="center"/>
            </w:pPr>
            <w:r>
              <w:rPr>
                <w:i/>
                <w:color w:val="000000" w:themeColor="text1"/>
              </w:rPr>
              <w:t>********CUTOFF OF</w:t>
            </w:r>
            <w:r w:rsidR="00676418">
              <w:rPr>
                <w:i/>
                <w:color w:val="000000" w:themeColor="text1"/>
              </w:rPr>
              <w:t xml:space="preserve"> MATERIAL FOR</w:t>
            </w:r>
            <w:r w:rsidR="00676418" w:rsidRPr="00373D6A">
              <w:rPr>
                <w:i/>
                <w:color w:val="000000" w:themeColor="text1"/>
              </w:rPr>
              <w:t xml:space="preserve"> MIDTERM 1********</w:t>
            </w:r>
          </w:p>
        </w:tc>
      </w:tr>
      <w:tr w:rsidR="00073B2F" w:rsidTr="00484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073B2F" w:rsidRDefault="002B6FC9">
            <w:r>
              <w:t>Ch. 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1" w:type="dxa"/>
          </w:tcPr>
          <w:p w:rsidR="00073B2F" w:rsidRDefault="008A3BB7" w:rsidP="005A1B5F">
            <w:r>
              <w:t>pp. 131</w:t>
            </w:r>
            <w:r w:rsidR="00F06AE6">
              <w:t>-</w:t>
            </w:r>
            <w:r>
              <w:t>138</w:t>
            </w:r>
            <w:r w:rsidR="005A1B5F">
              <w:t xml:space="preserve"> (</w:t>
            </w:r>
            <w:r w:rsidR="00996C4B">
              <w:t xml:space="preserve">but not including </w:t>
            </w:r>
            <w:r>
              <w:t>‘</w:t>
            </w:r>
            <w:r w:rsidR="00996C4B">
              <w:t>A Tax on Buyers</w:t>
            </w:r>
            <w:r>
              <w:t>’</w:t>
            </w:r>
            <w:r w:rsidR="008F7D65">
              <w:t>) and pp. 139-145</w:t>
            </w:r>
            <w:r w:rsidR="00996C4B">
              <w:t xml:space="preserve"> </w:t>
            </w:r>
            <w:r w:rsidR="002B6FC9">
              <w:t>(</w:t>
            </w:r>
            <w:r w:rsidR="008F7D65">
              <w:t>but</w:t>
            </w:r>
            <w:r w:rsidR="00F244E6">
              <w:t xml:space="preserve"> not </w:t>
            </w:r>
            <w:r w:rsidR="00F06AE6">
              <w:t>includin</w:t>
            </w:r>
            <w:r w:rsidR="00774DD8">
              <w:t xml:space="preserve">g </w:t>
            </w:r>
            <w:r w:rsidR="008F7D65">
              <w:t>‘Taxes and Fairness on p. 142</w:t>
            </w:r>
            <w:r w:rsidR="00774DD8">
              <w:t xml:space="preserve"> </w:t>
            </w:r>
            <w:r w:rsidR="00BD4255">
              <w:t>and</w:t>
            </w:r>
            <w:r w:rsidR="005A1B5F">
              <w:t xml:space="preserve"> not including </w:t>
            </w:r>
            <w:r w:rsidR="008F7D65">
              <w:t>‘</w:t>
            </w:r>
            <w:r w:rsidR="00BD4255">
              <w:t>An Incentive to Cheat and Overproduce</w:t>
            </w:r>
            <w:r w:rsidR="008F7D65">
              <w:t>’ on p. 144</w:t>
            </w:r>
            <w:r w:rsidR="00BD4255">
              <w:t>)</w:t>
            </w:r>
          </w:p>
        </w:tc>
      </w:tr>
      <w:tr w:rsidR="009A71BF" w:rsidTr="00484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9A71BF" w:rsidRDefault="009A71BF">
            <w:r>
              <w:t>Ch.7</w:t>
            </w:r>
            <w:r w:rsidR="008F7D65">
              <w:t>, Ch. 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1" w:type="dxa"/>
          </w:tcPr>
          <w:p w:rsidR="008F7D65" w:rsidRDefault="009A71BF">
            <w:r>
              <w:t>WE WILL NOT BE COVERING CH. 7</w:t>
            </w:r>
            <w:r w:rsidR="008F7D65">
              <w:t xml:space="preserve"> OR CH. 8</w:t>
            </w:r>
          </w:p>
        </w:tc>
      </w:tr>
      <w:tr w:rsidR="00CE13CF" w:rsidTr="00484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CE13CF" w:rsidRDefault="008F7D65" w:rsidP="008F7D65">
            <w:r>
              <w:t xml:space="preserve">Ch. </w:t>
            </w:r>
            <w:r w:rsidR="00E8270B"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1" w:type="dxa"/>
          </w:tcPr>
          <w:p w:rsidR="00CE13CF" w:rsidRDefault="000F1481" w:rsidP="00017FC1">
            <w:r>
              <w:t>pp. 205-215</w:t>
            </w:r>
            <w:r w:rsidR="00E8270B">
              <w:t xml:space="preserve">  </w:t>
            </w:r>
          </w:p>
        </w:tc>
      </w:tr>
      <w:tr w:rsidR="00400D2A" w:rsidTr="00484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400D2A" w:rsidRDefault="00400D2A">
            <w:r>
              <w:t>Ch. 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1" w:type="dxa"/>
          </w:tcPr>
          <w:p w:rsidR="00400D2A" w:rsidRDefault="00400D2A" w:rsidP="000F1481">
            <w:r>
              <w:t>pp</w:t>
            </w:r>
            <w:r w:rsidR="000F1481">
              <w:t>.  227-241</w:t>
            </w:r>
            <w:r>
              <w:t xml:space="preserve"> </w:t>
            </w:r>
          </w:p>
        </w:tc>
      </w:tr>
      <w:tr w:rsidR="00676418" w:rsidTr="00484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5" w:type="dxa"/>
            <w:gridSpan w:val="2"/>
          </w:tcPr>
          <w:p w:rsidR="00676418" w:rsidRDefault="00676418" w:rsidP="00676418">
            <w:pPr>
              <w:jc w:val="center"/>
            </w:pPr>
            <w:r w:rsidRPr="00373D6A">
              <w:rPr>
                <w:i/>
                <w:color w:val="auto"/>
              </w:rPr>
              <w:t>********</w:t>
            </w:r>
            <w:r w:rsidR="006C15B4">
              <w:rPr>
                <w:i/>
                <w:color w:val="auto"/>
              </w:rPr>
              <w:t>CUTOFF OF</w:t>
            </w:r>
            <w:r>
              <w:rPr>
                <w:i/>
                <w:color w:val="auto"/>
              </w:rPr>
              <w:t xml:space="preserve"> MATERIAL FOR</w:t>
            </w:r>
            <w:r w:rsidRPr="00373D6A">
              <w:rPr>
                <w:i/>
                <w:color w:val="auto"/>
              </w:rPr>
              <w:t xml:space="preserve"> MIDTERM 2********</w:t>
            </w:r>
          </w:p>
        </w:tc>
      </w:tr>
      <w:tr w:rsidR="00EB6286" w:rsidTr="00484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EB6286" w:rsidRDefault="00EB6286">
            <w:r>
              <w:t>Ch. 1</w:t>
            </w:r>
            <w:r w:rsidR="000F1481"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1" w:type="dxa"/>
          </w:tcPr>
          <w:p w:rsidR="00EB6286" w:rsidRDefault="000F1481">
            <w:r>
              <w:t>pp. 241</w:t>
            </w:r>
            <w:r w:rsidR="00EB6286">
              <w:t>-2</w:t>
            </w:r>
            <w:r>
              <w:t>45</w:t>
            </w:r>
          </w:p>
        </w:tc>
      </w:tr>
      <w:tr w:rsidR="001A2935" w:rsidTr="00484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1A2935" w:rsidRDefault="007B044D">
            <w:r>
              <w:t>Ch. 1</w:t>
            </w:r>
            <w:r w:rsidR="000F1481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1" w:type="dxa"/>
          </w:tcPr>
          <w:p w:rsidR="001A2935" w:rsidRDefault="000F1481">
            <w:r>
              <w:t>pp. 253</w:t>
            </w:r>
            <w:r w:rsidR="005F2837">
              <w:t>-2</w:t>
            </w:r>
            <w:r w:rsidR="005A1B5F">
              <w:t>71</w:t>
            </w:r>
          </w:p>
        </w:tc>
      </w:tr>
      <w:tr w:rsidR="007B044D" w:rsidTr="00484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7B044D" w:rsidRDefault="007862D1">
            <w:r>
              <w:t>Ch. 1</w:t>
            </w:r>
            <w:r w:rsidR="005A1B5F"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1" w:type="dxa"/>
          </w:tcPr>
          <w:p w:rsidR="007B044D" w:rsidRDefault="005A1B5F" w:rsidP="00772FAD">
            <w:r>
              <w:t>pp. 279-288 (but not including ‘</w:t>
            </w:r>
            <w:r w:rsidR="007862D1">
              <w:t>Rent Seeking</w:t>
            </w:r>
            <w:r>
              <w:t>’ and not including ‘Rent-Seeking Equilibrium’</w:t>
            </w:r>
            <w:r w:rsidR="007862D1">
              <w:t xml:space="preserve">), </w:t>
            </w:r>
            <w:r w:rsidR="00996C4B">
              <w:t xml:space="preserve">and pp. </w:t>
            </w:r>
            <w:r>
              <w:t>289</w:t>
            </w:r>
            <w:r w:rsidR="00722223">
              <w:t>-</w:t>
            </w:r>
            <w:r>
              <w:t>290 (but not including ‘Discriminating Among Units of a Good’)</w:t>
            </w:r>
            <w:r w:rsidR="00AF4921">
              <w:t xml:space="preserve">, p. </w:t>
            </w:r>
            <w:r>
              <w:t xml:space="preserve">292-293 (but not including ‘Discrimination Among Several </w:t>
            </w:r>
            <w:r w:rsidR="00772FAD">
              <w:t xml:space="preserve">Types of </w:t>
            </w:r>
            <w:proofErr w:type="spellStart"/>
            <w:r w:rsidR="00772FAD">
              <w:t>Travellers</w:t>
            </w:r>
            <w:proofErr w:type="spellEnd"/>
            <w:r w:rsidR="00772FAD">
              <w:t xml:space="preserve"> on p. 292 and not including the discussion of </w:t>
            </w:r>
            <w:r w:rsidR="00772FAD">
              <w:rPr>
                <w:i/>
              </w:rPr>
              <w:t>rent seeking</w:t>
            </w:r>
            <w:r w:rsidR="00772FAD">
              <w:t xml:space="preserve"> in ‘Efficiency and Rent Seeking with Price Discrimination</w:t>
            </w:r>
            <w:r w:rsidR="006611EC">
              <w:t>’</w:t>
            </w:r>
            <w:r w:rsidR="00772FAD">
              <w:t xml:space="preserve"> on p. 293) </w:t>
            </w:r>
          </w:p>
        </w:tc>
      </w:tr>
      <w:tr w:rsidR="007862D1" w:rsidTr="00484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7862D1" w:rsidRDefault="001E71CC">
            <w:r>
              <w:t>Ch. 1</w:t>
            </w:r>
            <w:r w:rsidR="00772FAD"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1" w:type="dxa"/>
          </w:tcPr>
          <w:p w:rsidR="007862D1" w:rsidRDefault="00772FAD" w:rsidP="00D2548F">
            <w:r>
              <w:t>pp. 305-307 (</w:t>
            </w:r>
            <w:r w:rsidR="00240FF4">
              <w:t xml:space="preserve">but </w:t>
            </w:r>
            <w:r w:rsidR="006611EC">
              <w:t>not in</w:t>
            </w:r>
            <w:r>
              <w:t xml:space="preserve">cluding ‘Identifying Monopolistic Competition’ on p. 307 and </w:t>
            </w:r>
            <w:r w:rsidR="006611EC">
              <w:t>not including</w:t>
            </w:r>
            <w:r>
              <w:t xml:space="preserve"> ‘Measures of Concentration’ on p. 307), pp. 310-313 (but </w:t>
            </w:r>
            <w:r w:rsidR="00240FF4">
              <w:t xml:space="preserve">not including </w:t>
            </w:r>
            <w:r>
              <w:lastRenderedPageBreak/>
              <w:t>‘</w:t>
            </w:r>
            <w:r w:rsidR="00240FF4">
              <w:t>Making the Relevant Comparison</w:t>
            </w:r>
            <w:r>
              <w:t>’</w:t>
            </w:r>
            <w:r w:rsidR="00D2548F">
              <w:t>),</w:t>
            </w:r>
            <w:r w:rsidR="00240FF4">
              <w:t xml:space="preserve">  </w:t>
            </w:r>
            <w:r>
              <w:t xml:space="preserve">pp. 314-316 (but not </w:t>
            </w:r>
            <w:r w:rsidR="00D2548F">
              <w:t xml:space="preserve">including </w:t>
            </w:r>
            <w:r>
              <w:t xml:space="preserve">‘Using Advertising to Signal Quality’) </w:t>
            </w:r>
          </w:p>
        </w:tc>
      </w:tr>
      <w:tr w:rsidR="007526B1" w:rsidTr="00484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7526B1" w:rsidRDefault="007526B1">
            <w:r>
              <w:lastRenderedPageBreak/>
              <w:t>Ch. 1</w:t>
            </w:r>
            <w:r w:rsidR="00D2548F"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1" w:type="dxa"/>
          </w:tcPr>
          <w:p w:rsidR="007526B1" w:rsidRDefault="00D2548F" w:rsidP="00D2548F">
            <w:r>
              <w:t>pp. 325-334</w:t>
            </w:r>
          </w:p>
        </w:tc>
      </w:tr>
      <w:tr w:rsidR="0099324E" w:rsidTr="00484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99324E" w:rsidRDefault="0099324E">
            <w:r>
              <w:t>Ch. 1</w:t>
            </w:r>
            <w:r w:rsidR="00D2548F"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1" w:type="dxa"/>
          </w:tcPr>
          <w:p w:rsidR="0099324E" w:rsidRDefault="00E432A6" w:rsidP="006611EC">
            <w:r>
              <w:t xml:space="preserve">pp. </w:t>
            </w:r>
            <w:r w:rsidR="00D2548F">
              <w:t>353</w:t>
            </w:r>
            <w:r w:rsidR="0099324E">
              <w:t>-</w:t>
            </w:r>
            <w:r w:rsidR="00D2548F">
              <w:t>357</w:t>
            </w:r>
            <w:r>
              <w:t xml:space="preserve"> </w:t>
            </w:r>
            <w:r w:rsidR="00185A50">
              <w:t>(</w:t>
            </w:r>
            <w:r w:rsidR="00D2548F">
              <w:t>but not including ‘Establish</w:t>
            </w:r>
            <w:r w:rsidR="00185A50">
              <w:t xml:space="preserve"> Property Rights</w:t>
            </w:r>
            <w:r w:rsidR="00D2548F">
              <w:t>’</w:t>
            </w:r>
            <w:r w:rsidR="00185A50">
              <w:t xml:space="preserve">), </w:t>
            </w:r>
            <w:r w:rsidR="00D2548F">
              <w:t xml:space="preserve">pp. 359-360 (but only </w:t>
            </w:r>
            <w:r w:rsidR="00185A50">
              <w:t xml:space="preserve">the </w:t>
            </w:r>
            <w:r w:rsidR="00D2548F">
              <w:t xml:space="preserve">section on </w:t>
            </w:r>
            <w:r w:rsidR="001C4579">
              <w:t>‘</w:t>
            </w:r>
            <w:r w:rsidR="00D2548F">
              <w:t>Taxes’), pp. 363-</w:t>
            </w:r>
            <w:r w:rsidR="001C4579">
              <w:t xml:space="preserve">364 (but </w:t>
            </w:r>
            <w:r w:rsidR="006611EC">
              <w:t>not including</w:t>
            </w:r>
            <w:r w:rsidR="001C4579">
              <w:t xml:space="preserve"> ‘Government Actions in the Face of External </w:t>
            </w:r>
            <w:proofErr w:type="spellStart"/>
            <w:r w:rsidR="001C4579">
              <w:t>Beenfits</w:t>
            </w:r>
            <w:proofErr w:type="spellEnd"/>
            <w:r w:rsidR="001C4579">
              <w:t xml:space="preserve">’ on p. 364), p. 365 (but </w:t>
            </w:r>
            <w:r w:rsidR="006611EC">
              <w:t>not in</w:t>
            </w:r>
            <w:r w:rsidR="001C4579">
              <w:t xml:space="preserve">cluding ‘Vouchers’), pp. 366-367 (but only the section on ‘Patents and Copyrights’) </w:t>
            </w:r>
          </w:p>
        </w:tc>
      </w:tr>
      <w:tr w:rsidR="003C3AAC" w:rsidTr="00484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3C3AAC" w:rsidRDefault="003C3AAC">
            <w:r>
              <w:t>Ch. 1</w:t>
            </w:r>
            <w:r w:rsidR="001C4579"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1" w:type="dxa"/>
          </w:tcPr>
          <w:p w:rsidR="003C3AAC" w:rsidRDefault="001C4579" w:rsidP="0099324E">
            <w:r>
              <w:t>pp. 375-378</w:t>
            </w:r>
            <w:r w:rsidR="003C3AAC" w:rsidRPr="003C3AAC">
              <w:t xml:space="preserve"> </w:t>
            </w:r>
            <w:r w:rsidR="006611EC">
              <w:t>(but not in</w:t>
            </w:r>
            <w:r w:rsidR="003C3AAC" w:rsidRPr="003C3AAC">
              <w:t>cludi</w:t>
            </w:r>
            <w:r w:rsidR="003C3AAC">
              <w:t xml:space="preserve">ng, </w:t>
            </w:r>
            <w:r>
              <w:t>‘</w:t>
            </w:r>
            <w:r w:rsidR="003C3AAC">
              <w:t>Efficient Public Provision</w:t>
            </w:r>
            <w:r>
              <w:t>’ on p. 378</w:t>
            </w:r>
            <w:r w:rsidR="003C3AAC">
              <w:t>)</w:t>
            </w:r>
          </w:p>
        </w:tc>
      </w:tr>
      <w:tr w:rsidR="00903F1E" w:rsidTr="00484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903F1E" w:rsidRDefault="00903F1E">
            <w:r>
              <w:t>Ch. 1</w:t>
            </w:r>
            <w:r w:rsidR="001C4579"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1" w:type="dxa"/>
          </w:tcPr>
          <w:p w:rsidR="00903F1E" w:rsidRPr="003C3AAC" w:rsidRDefault="001C4579" w:rsidP="00284B82">
            <w:r>
              <w:t>pp. 398</w:t>
            </w:r>
            <w:r w:rsidR="002B71F2">
              <w:t>-4</w:t>
            </w:r>
            <w:r>
              <w:t>0</w:t>
            </w:r>
            <w:r w:rsidR="00943930">
              <w:t>1</w:t>
            </w:r>
          </w:p>
        </w:tc>
      </w:tr>
      <w:tr w:rsidR="00457884" w:rsidTr="00484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457884" w:rsidRDefault="00457884">
            <w:r>
              <w:t>Ch. 1</w:t>
            </w:r>
            <w:r w:rsidR="001C4579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1" w:type="dxa"/>
          </w:tcPr>
          <w:p w:rsidR="00457884" w:rsidRDefault="00284B82" w:rsidP="00284B82">
            <w:r>
              <w:t>WE WILL NOT BE COVERING CH. 1</w:t>
            </w:r>
            <w:r w:rsidR="001C4579">
              <w:t>8</w:t>
            </w:r>
          </w:p>
        </w:tc>
      </w:tr>
    </w:tbl>
    <w:p w:rsidR="00BA5ED9" w:rsidRDefault="00BA5ED9"/>
    <w:sectPr w:rsidR="00BA5ED9" w:rsidSect="00A813BB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D9"/>
    <w:rsid w:val="000023B3"/>
    <w:rsid w:val="0000399F"/>
    <w:rsid w:val="00017FC1"/>
    <w:rsid w:val="00027A3D"/>
    <w:rsid w:val="00052C72"/>
    <w:rsid w:val="00055D94"/>
    <w:rsid w:val="00073B2F"/>
    <w:rsid w:val="000B448E"/>
    <w:rsid w:val="000C4F16"/>
    <w:rsid w:val="000F1481"/>
    <w:rsid w:val="000F5771"/>
    <w:rsid w:val="00115167"/>
    <w:rsid w:val="00134A48"/>
    <w:rsid w:val="00137799"/>
    <w:rsid w:val="0015161C"/>
    <w:rsid w:val="00171E78"/>
    <w:rsid w:val="00185A50"/>
    <w:rsid w:val="001A2935"/>
    <w:rsid w:val="001C24A5"/>
    <w:rsid w:val="001C4579"/>
    <w:rsid w:val="001D7E86"/>
    <w:rsid w:val="001E71CC"/>
    <w:rsid w:val="00240FF4"/>
    <w:rsid w:val="00284B82"/>
    <w:rsid w:val="002A516E"/>
    <w:rsid w:val="002B6FC9"/>
    <w:rsid w:val="002B71F2"/>
    <w:rsid w:val="002C327E"/>
    <w:rsid w:val="0033380F"/>
    <w:rsid w:val="00373D6A"/>
    <w:rsid w:val="00395BE1"/>
    <w:rsid w:val="003C3AAC"/>
    <w:rsid w:val="00400D2A"/>
    <w:rsid w:val="004012E6"/>
    <w:rsid w:val="00457884"/>
    <w:rsid w:val="00462497"/>
    <w:rsid w:val="00476EA8"/>
    <w:rsid w:val="00484778"/>
    <w:rsid w:val="004B4CCD"/>
    <w:rsid w:val="004F139E"/>
    <w:rsid w:val="00575F30"/>
    <w:rsid w:val="005A1B5F"/>
    <w:rsid w:val="005F2837"/>
    <w:rsid w:val="005F5F02"/>
    <w:rsid w:val="006174F5"/>
    <w:rsid w:val="006313F9"/>
    <w:rsid w:val="00660747"/>
    <w:rsid w:val="006611EC"/>
    <w:rsid w:val="006612C1"/>
    <w:rsid w:val="00676418"/>
    <w:rsid w:val="00693963"/>
    <w:rsid w:val="006C15B4"/>
    <w:rsid w:val="006E6826"/>
    <w:rsid w:val="006F142A"/>
    <w:rsid w:val="00703F76"/>
    <w:rsid w:val="00712F84"/>
    <w:rsid w:val="00722223"/>
    <w:rsid w:val="00732ACE"/>
    <w:rsid w:val="007526B1"/>
    <w:rsid w:val="00772FAD"/>
    <w:rsid w:val="00774DD8"/>
    <w:rsid w:val="007862D1"/>
    <w:rsid w:val="007B044D"/>
    <w:rsid w:val="00813159"/>
    <w:rsid w:val="008155C4"/>
    <w:rsid w:val="008530A4"/>
    <w:rsid w:val="008A3BB7"/>
    <w:rsid w:val="008B532B"/>
    <w:rsid w:val="008E6CC2"/>
    <w:rsid w:val="008F73F8"/>
    <w:rsid w:val="008F7D65"/>
    <w:rsid w:val="00900966"/>
    <w:rsid w:val="00903F1E"/>
    <w:rsid w:val="00911699"/>
    <w:rsid w:val="00936B57"/>
    <w:rsid w:val="00943930"/>
    <w:rsid w:val="0099324E"/>
    <w:rsid w:val="00996C4B"/>
    <w:rsid w:val="00997381"/>
    <w:rsid w:val="009A71BF"/>
    <w:rsid w:val="009E60A1"/>
    <w:rsid w:val="009F5D1C"/>
    <w:rsid w:val="00A10CC2"/>
    <w:rsid w:val="00A26101"/>
    <w:rsid w:val="00A51AC0"/>
    <w:rsid w:val="00A61243"/>
    <w:rsid w:val="00A77791"/>
    <w:rsid w:val="00A812A3"/>
    <w:rsid w:val="00A84E24"/>
    <w:rsid w:val="00A93F37"/>
    <w:rsid w:val="00AA1C24"/>
    <w:rsid w:val="00AC4CBF"/>
    <w:rsid w:val="00AE0698"/>
    <w:rsid w:val="00AF0507"/>
    <w:rsid w:val="00AF2421"/>
    <w:rsid w:val="00AF4921"/>
    <w:rsid w:val="00B235BA"/>
    <w:rsid w:val="00B2533F"/>
    <w:rsid w:val="00B2677D"/>
    <w:rsid w:val="00B404F7"/>
    <w:rsid w:val="00B47EAB"/>
    <w:rsid w:val="00B7209B"/>
    <w:rsid w:val="00BA5ED9"/>
    <w:rsid w:val="00BA75E5"/>
    <w:rsid w:val="00BD4255"/>
    <w:rsid w:val="00BE4785"/>
    <w:rsid w:val="00C003BF"/>
    <w:rsid w:val="00C12AB2"/>
    <w:rsid w:val="00CA360D"/>
    <w:rsid w:val="00CE13CF"/>
    <w:rsid w:val="00CE4173"/>
    <w:rsid w:val="00D2548F"/>
    <w:rsid w:val="00D70216"/>
    <w:rsid w:val="00DC6965"/>
    <w:rsid w:val="00DE7FC0"/>
    <w:rsid w:val="00E32C0B"/>
    <w:rsid w:val="00E3693B"/>
    <w:rsid w:val="00E432A6"/>
    <w:rsid w:val="00E71576"/>
    <w:rsid w:val="00E8270B"/>
    <w:rsid w:val="00E93AF9"/>
    <w:rsid w:val="00EB6286"/>
    <w:rsid w:val="00F06AE6"/>
    <w:rsid w:val="00F244E6"/>
    <w:rsid w:val="00F35AD1"/>
    <w:rsid w:val="00F35F6E"/>
    <w:rsid w:val="00F36024"/>
    <w:rsid w:val="00F938D5"/>
    <w:rsid w:val="00FD76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B4F17A-15E5-4AEC-8D28-44C34216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5ED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rsid w:val="002B6FC9"/>
    <w:pPr>
      <w:ind w:left="720"/>
      <w:contextualSpacing/>
    </w:pPr>
  </w:style>
  <w:style w:type="table" w:styleId="ColorfulGrid-Accent3">
    <w:name w:val="Colorful Grid Accent 3"/>
    <w:basedOn w:val="TableNormal"/>
    <w:rsid w:val="00373D6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Social Science Centre Network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Emilie Rivers</dc:creator>
  <cp:lastModifiedBy>Irene Trela</cp:lastModifiedBy>
  <cp:revision>3</cp:revision>
  <cp:lastPrinted>2017-11-13T15:12:00Z</cp:lastPrinted>
  <dcterms:created xsi:type="dcterms:W3CDTF">2019-07-08T16:24:00Z</dcterms:created>
  <dcterms:modified xsi:type="dcterms:W3CDTF">2019-07-08T16:25:00Z</dcterms:modified>
</cp:coreProperties>
</file>