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L1 is not considered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Locality: temporal vs. spatial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Cache example;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Calculating hits and miss &amp; miss 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AMAT calculation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CND &amp; DNF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MUX &amp; DEMUX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Draw half adder, full adder, and mux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exam there may be 6 or 8 way mux or adder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Flip-flops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Registers patterns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MIPS Assembly: RTL, datapath, and 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Registers in simplified datapath: highlight or modify the datapath; one colored pencil needed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Like highlight (L10; examples;)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should remember the exact meaning of MIPS instructions and types, and sign.unsign, i and u in addi, addu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FSM one MCQ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Tracing control signals, ie.e, tracing lw in L11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Draw pipelining Stage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Calculate the performance of single cycle datapath and multi-cycle datapath(pipeline) - it may not be 5 stages only, it could be 4 or 7.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Pipeline hazards, forwarding, causes: what kind of data hazard there is? (check examples in L 13) and how to fix it? (forwarding, stall, or re-arrange codes) ALU-ALU forwarding, MEM-ALU forwarding, know whether it is valid or not.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Loop unrolling (1 question): how to unroll the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Superscalar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Renaming 1 example - how to rename registers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Pipelineing vs superscalar vs VLIU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L15 - 1 question about definition comparison, you should give one example to tell difference between multithreading and something (maybe multicore?)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35 total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 mcq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6-7 written questions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