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McConnell, S. (1996). </w:t>
      </w:r>
      <w:r w:rsidDel="00000000" w:rsidR="00000000" w:rsidRPr="00000000">
        <w:rPr>
          <w:i w:val="1"/>
          <w:color w:val="0d0d0d"/>
          <w:sz w:val="24"/>
          <w:szCs w:val="24"/>
          <w:rtl w:val="0"/>
        </w:rPr>
        <w:t xml:space="preserve">Rapid Development: Taming Wild Software Schedules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 Microsoft Press.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46228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Sommerville, I. (2016). </w:t>
      </w:r>
      <w:r w:rsidDel="00000000" w:rsidR="00000000" w:rsidRPr="00000000">
        <w:rPr>
          <w:i w:val="1"/>
          <w:color w:val="0d0d0d"/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(10th ed.). Pearson Education Limited.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4826000" cy="594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