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Survey on adversarial attack against machine learning systems and defensive strategy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1 History, definition and impact of adversarial attacks. Why is it important to machine learning / security communities ? Does adversarial attack relate to fundamental issues of machine learning theory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2 Adversarial Attack Technique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 Mathematical definition of general adversarial attack techniques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 Categories of adversarial attack techniques, focus of different categories of attack methods, advantages/shortage. For example, we categorise them into “black-box” and “white-box” attack techniques, we can add more detailed categorisation.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3 Defensive strategies against adversarial attack techniques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Purpose of defensive strategies: why and how. Does defensive strategies relate to any fundamental theory, for example, generalisation error of ML models,  robust statistics, differential privacy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3.2 Defensive learning algorithms against white-box attacks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3.3 Defensive learning algorithms against black-box attacks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3.4 Detection of adversarial samples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3.5 Open issues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4 Benchmark of state-of-the-art defensive learning methods against white- and black- box attack techniques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4.1 Evaluation criterions of effectiveness of defensive learning methods. For example, transferability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4.2 Experimental results: a big table, with rows as each defensive learning method and cols corresponding to each attack techniques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4.3 Analysis on experimental results: which defensive strategy is the most effective method against which attack method and why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5 Discussion and Conclusion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