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eastAsia="標楷體"/>
          <w:b/>
          <w:sz w:val="30"/>
        </w:rPr>
        <w:t>金控AI推動委員會PMO待辦事項討論例會</w:t>
      </w:r>
    </w:p>
    <w:p>
      <w:pPr>
        <w:spacing w:lineRule="auto" w:line="360" w:before="0" w:after="0"/>
        <w:ind w:left="0"/>
      </w:pPr>
      <w:r>
        <w:rPr>
          <w:rFonts w:ascii="Times New Roman" w:hAnsi="Times New Roman" w:eastAsia="標楷體"/>
          <w:b w:val="0"/>
          <w:sz w:val="24"/>
        </w:rPr>
      </w:r>
    </w:p>
    <w:p>
      <w:pPr>
        <w:spacing w:lineRule="auto" w:line="360" w:before="120" w:after="120"/>
        <w:ind w:left="680" w:hanging="680"/>
      </w:pPr>
      <w:r>
        <w:rPr>
          <w:rFonts w:ascii="Times New Roman" w:hAnsi="Times New Roman" w:eastAsia="標楷體"/>
          <w:b/>
          <w:sz w:val="24"/>
        </w:rPr>
        <w:t>壹、會議時間：2026/9/3(四)PM4:00-5:00</w:t>
      </w:r>
    </w:p>
    <w:p>
      <w:pPr>
        <w:spacing w:lineRule="auto" w:line="360" w:before="0" w:after="0"/>
        <w:ind w:left="0"/>
      </w:pPr>
      <w:r>
        <w:rPr>
          <w:rFonts w:ascii="Times New Roman" w:hAnsi="Times New Roman" w:eastAsia="標楷體"/>
          <w:b w:val="0"/>
          <w:sz w:val="24"/>
        </w:rPr>
      </w:r>
    </w:p>
    <w:p>
      <w:pPr>
        <w:spacing w:lineRule="auto" w:line="360" w:before="120" w:after="120"/>
        <w:ind w:left="680" w:hanging="680"/>
      </w:pPr>
      <w:r>
        <w:rPr>
          <w:rFonts w:ascii="Times New Roman" w:hAnsi="Times New Roman" w:eastAsia="標楷體"/>
          <w:b/>
          <w:sz w:val="24"/>
        </w:rPr>
        <w:t>貳、與會人員：邱錦瑩、柯燕茹、劉彥甫、劉宜依、唐可芹(請假)、葛世豪、黃啟龍、歐黛瑩、張淑宜、翁詩茵</w:t>
      </w:r>
    </w:p>
    <w:p>
      <w:pPr>
        <w:spacing w:lineRule="auto" w:line="360" w:before="0" w:after="0"/>
        <w:ind w:left="0"/>
      </w:pPr>
      <w:r>
        <w:rPr>
          <w:rFonts w:ascii="Times New Roman" w:hAnsi="Times New Roman" w:eastAsia="標楷體"/>
          <w:b w:val="0"/>
          <w:sz w:val="24"/>
        </w:rPr>
      </w:r>
    </w:p>
    <w:p>
      <w:pPr>
        <w:spacing w:lineRule="auto" w:line="360" w:before="120" w:after="120"/>
        <w:ind w:left="680" w:hanging="680"/>
      </w:pPr>
      <w:r>
        <w:rPr>
          <w:rFonts w:ascii="Times New Roman" w:hAnsi="Times New Roman" w:eastAsia="標楷體"/>
          <w:b/>
          <w:sz w:val="24"/>
        </w:rPr>
        <w:t>參、討論議題與會議紀要</w:t>
      </w:r>
    </w:p>
    <w:p>
      <w:pPr>
        <w:spacing w:lineRule="auto" w:line="360" w:before="0" w:after="0"/>
        <w:ind w:left="0"/>
      </w:pPr>
      <w:r>
        <w:rPr>
          <w:rFonts w:ascii="Times New Roman" w:hAnsi="Times New Roman" w:eastAsia="標楷體"/>
          <w:b w:val="0"/>
          <w:sz w:val="24"/>
        </w:rPr>
      </w:r>
    </w:p>
    <w:p>
      <w:pPr>
        <w:spacing w:lineRule="auto" w:line="360" w:before="0" w:after="120"/>
        <w:ind w:left="1162" w:hanging="680"/>
      </w:pPr>
      <w:r>
        <w:rPr>
          <w:rFonts w:ascii="Times New Roman" w:hAnsi="Times New Roman" w:eastAsia="標楷體"/>
          <w:b w:val="0"/>
          <w:sz w:val="24"/>
        </w:rPr>
        <w:t>一、各案進度</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1. AI Workshop 主管安裝：銀行端主管設備已完成安裝，升級新版尚無異常回報；主管於現行版本已建置之資料，將另提供移轉至新版之操作說明。參訓設備採租賃取得之子公司，設備尚未配發至主管且無無線網路環境，致無法升級新版，主管預習檔案移轉至當日設備之方式亦尚未驗證；已建議該公司於課前將設備送至本行指定地點完成升級及檔案存取驗證，尚未回覆，請於群組回報辦理情形。(柯燕茹/黃啟龍/劉宜依)</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2. AI Workshop SPADE連線環境：9/9下午完成場地網路設定，9/10上午完成設備連線確認。請數科處於9/10上午10:00前派員1至2名先行實地測試SPADE操作，以利當場發現問題時即時協處。(劉宜依/柯燕茹)</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3. AI Workshop API Key：請提供擬於現場體驗之長官名單，並事先於後台完成API Key設定，以利現場登入。(黃啟龍/劉宜依)</w:t>
      </w:r>
    </w:p>
    <w:p>
      <w:pPr>
        <w:spacing w:lineRule="auto" w:line="360" w:before="0" w:after="0"/>
        <w:ind w:left="0"/>
      </w:pPr>
      <w:r>
        <w:rPr>
          <w:rFonts w:ascii="Times New Roman" w:hAnsi="Times New Roman" w:eastAsia="標楷體"/>
          <w:b w:val="0"/>
          <w:sz w:val="24"/>
        </w:rPr>
      </w:r>
    </w:p>
    <w:p>
      <w:pPr>
        <w:spacing w:lineRule="auto" w:line="360" w:before="0" w:after="120"/>
        <w:ind w:left="1162" w:hanging="680"/>
      </w:pPr>
      <w:r>
        <w:rPr>
          <w:rFonts w:ascii="Times New Roman" w:hAnsi="Times New Roman" w:eastAsia="標楷體"/>
          <w:b w:val="0"/>
          <w:sz w:val="24"/>
        </w:rPr>
        <w:t>二、討論事項</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1. 金控資料分級管理框架：個資遮蔽係於資料上送LLM Gateway時執行，與檔案存放於SharePoint或OneDrive無涉；凡經LLM Gateway對外上送者均須執行對話軌跡偵測及個資遮蔽，屬既有必要之資安管控，故將SPADE指定資料夾改指向SharePoint一節，無法解決本議題。M365由微軟後台串接其內部模型並依微軟機制管控，與SPADE經LLM Gateway上送分屬兩條路線，管控做法本即有別，將整理說明資料以利對齊認知。三長已於8月會議同意個資上傳至企業同意之受控雲端並無疑慮，後續回歸資料分級界定可上送及可還原之資料範圍，並評估遮蔽項目適度放寬及去識別後還原之技術可行性；現正統計各單位受遮蔽影響之應用項目，預計下週收回後再議。(唐可芹)</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2. SPADE生命週期(Product Journey)之AI資安管控作為：委外報備須同時涉及重大性消費金融業務資訊系統或直接串接交易系統、境外、作業委外三者，始須報主管機關，未同時該當者屬內部核備。SPADE本身非重大性消費金融業務資訊系統，惟其使用範圍如處理該類系統之資料，易被認定為間接涉及，須由法務及風管就定義認定。(葛世豪)</w:t>
      </w:r>
    </w:p>
    <w:p>
      <w:pPr>
        <w:spacing w:lineRule="auto" w:line="360" w:before="0" w:after="0"/>
        <w:ind w:left="0"/>
      </w:pPr>
      <w:r>
        <w:rPr>
          <w:rFonts w:ascii="Times New Roman" w:hAnsi="Times New Roman" w:eastAsia="標楷體"/>
          <w:b w:val="0"/>
          <w:sz w:val="24"/>
        </w:rPr>
      </w:r>
    </w:p>
    <w:p>
      <w:pPr>
        <w:spacing w:lineRule="auto" w:line="360" w:before="0" w:after="120"/>
        <w:ind w:left="1162" w:hanging="680"/>
      </w:pPr>
      <w:r>
        <w:rPr>
          <w:rFonts w:ascii="Times New Roman" w:hAnsi="Times New Roman" w:eastAsia="標楷體"/>
          <w:b w:val="0"/>
          <w:sz w:val="24"/>
        </w:rPr>
        <w:t>三、新增議題：</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1. SPADE正式上線時程：表定12/14上線。建議上線前先建置pre-production環境，自既有900名使用者中取小批試行，確認無虞後再全數納入，於農曆年前完成上線；pre-production仍屬正式環境，合規程序依原規定辦理。本項與資料分級議題將於9/14與Jeffrey副總、張老師對焦。</w:t>
      </w:r>
    </w:p>
    <w:sectPr w:rsidR="00FC693F" w:rsidRPr="0006063C" w:rsidSect="00034616">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