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360" w:before="0" w:after="240"/>
        <w:jc w:val="center"/>
      </w:pPr>
      <w:r>
        <w:rPr>
          <w:rFonts w:ascii="Times New Roman" w:hAnsi="Times New Roman" w:eastAsia="標楷體"/>
          <w:b/>
          <w:sz w:val="30"/>
        </w:rPr>
        <w:t>金控AI推動委員會PMO待辦事項討論例會</w:t>
      </w:r>
    </w:p>
    <w:p>
      <w:pPr>
        <w:spacing w:lineRule="auto" w:line="360" w:before="0" w:after="0"/>
        <w:ind w:left="0"/>
      </w:pPr>
      <w:r>
        <w:rPr>
          <w:rFonts w:ascii="Times New Roman" w:hAnsi="Times New Roman" w:eastAsia="標楷體"/>
          <w:b w:val="0"/>
          <w:sz w:val="24"/>
        </w:rPr>
      </w:r>
    </w:p>
    <w:p>
      <w:pPr>
        <w:spacing w:lineRule="auto" w:line="360" w:before="120" w:after="120"/>
        <w:ind w:left="680" w:hanging="680"/>
      </w:pPr>
      <w:r>
        <w:rPr>
          <w:rFonts w:ascii="Times New Roman" w:hAnsi="Times New Roman" w:eastAsia="標楷體"/>
          <w:b/>
          <w:sz w:val="24"/>
        </w:rPr>
        <w:t>壹、會議時間：2026/9/3(四)PM4:00-5:00</w:t>
      </w:r>
    </w:p>
    <w:p>
      <w:pPr>
        <w:spacing w:lineRule="auto" w:line="360" w:before="0" w:after="0"/>
        <w:ind w:left="0"/>
      </w:pPr>
      <w:r>
        <w:rPr>
          <w:rFonts w:ascii="Times New Roman" w:hAnsi="Times New Roman" w:eastAsia="標楷體"/>
          <w:b w:val="0"/>
          <w:sz w:val="24"/>
        </w:rPr>
      </w:r>
    </w:p>
    <w:p>
      <w:pPr>
        <w:spacing w:lineRule="auto" w:line="360" w:before="120" w:after="120"/>
        <w:ind w:left="680" w:hanging="680"/>
      </w:pPr>
      <w:r>
        <w:rPr>
          <w:rFonts w:ascii="Times New Roman" w:hAnsi="Times New Roman" w:eastAsia="標楷體"/>
          <w:b/>
          <w:sz w:val="24"/>
        </w:rPr>
        <w:t>貳、與會人員：邱錦瑩、柯燕茹、劉彥甫、劉宜依、唐可芹(請假)、葛世豪、黃啟龍、歐黛瑩、張淑宜、翁詩茵</w:t>
      </w:r>
    </w:p>
    <w:p>
      <w:pPr>
        <w:spacing w:lineRule="auto" w:line="360" w:before="0" w:after="0"/>
        <w:ind w:left="0"/>
      </w:pPr>
      <w:r>
        <w:rPr>
          <w:rFonts w:ascii="Times New Roman" w:hAnsi="Times New Roman" w:eastAsia="標楷體"/>
          <w:b w:val="0"/>
          <w:sz w:val="24"/>
        </w:rPr>
      </w:r>
    </w:p>
    <w:p>
      <w:pPr>
        <w:spacing w:lineRule="auto" w:line="360" w:before="120" w:after="120"/>
        <w:ind w:left="680" w:hanging="680"/>
      </w:pPr>
      <w:r>
        <w:rPr>
          <w:rFonts w:ascii="Times New Roman" w:hAnsi="Times New Roman" w:eastAsia="標楷體"/>
          <w:b/>
          <w:sz w:val="24"/>
        </w:rPr>
        <w:t>參、討論議題與會議紀要</w:t>
      </w:r>
    </w:p>
    <w:p>
      <w:pPr>
        <w:spacing w:lineRule="auto" w:line="360" w:before="0" w:after="0"/>
        <w:ind w:left="0"/>
      </w:pPr>
      <w:r>
        <w:rPr>
          <w:rFonts w:ascii="Times New Roman" w:hAnsi="Times New Roman" w:eastAsia="標楷體"/>
          <w:b w:val="0"/>
          <w:sz w:val="24"/>
        </w:rPr>
      </w:r>
    </w:p>
    <w:p>
      <w:pPr>
        <w:spacing w:lineRule="auto" w:line="360" w:before="0" w:after="120"/>
        <w:ind w:left="1162" w:hanging="680"/>
      </w:pPr>
      <w:r>
        <w:rPr>
          <w:rFonts w:ascii="Times New Roman" w:hAnsi="Times New Roman" w:eastAsia="標楷體"/>
          <w:b w:val="0"/>
          <w:sz w:val="24"/>
        </w:rPr>
        <w:t>一、AI Workshop 工作坊</w:t>
      </w:r>
    </w:p>
    <w:p>
      <w:pPr>
        <w:spacing w:lineRule="auto" w:line="360" w:before="0" w:after="0"/>
        <w:ind w:left="0"/>
      </w:pPr>
      <w:r>
        <w:rPr>
          <w:rFonts w:ascii="Times New Roman" w:hAnsi="Times New Roman" w:eastAsia="標楷體"/>
          <w:b w:val="0"/>
          <w:sz w:val="24"/>
        </w:rPr>
      </w:r>
    </w:p>
    <w:p>
      <w:pPr>
        <w:spacing w:lineRule="auto" w:line="360" w:before="0" w:after="120"/>
        <w:ind w:left="1474" w:hanging="510"/>
      </w:pPr>
      <w:r>
        <w:rPr>
          <w:rFonts w:ascii="Times New Roman" w:hAnsi="Times New Roman" w:eastAsia="標楷體"/>
          <w:b w:val="0"/>
          <w:sz w:val="24"/>
        </w:rPr>
        <w:t>(1) 場地與設備前置作業</w:t>
      </w:r>
    </w:p>
    <w:p>
      <w:pPr>
        <w:spacing w:lineRule="auto" w:line="360" w:before="0" w:after="0"/>
        <w:ind w:left="0"/>
      </w:pPr>
      <w:r>
        <w:rPr>
          <w:rFonts w:ascii="Times New Roman" w:hAnsi="Times New Roman" w:eastAsia="標楷體"/>
          <w:b w:val="0"/>
          <w:sz w:val="24"/>
        </w:rPr>
      </w:r>
    </w:p>
    <w:p>
      <w:pPr>
        <w:spacing w:lineRule="auto" w:line="360" w:before="0" w:after="80"/>
        <w:ind w:left="1757" w:hanging="283"/>
      </w:pPr>
      <w:r>
        <w:rPr>
          <w:rFonts w:ascii="Times New Roman" w:hAnsi="Times New Roman" w:eastAsia="標楷體"/>
          <w:b w:val="0"/>
          <w:sz w:val="24"/>
        </w:rPr>
        <w:t>‧資訊處同仁於活動前一天 (9/9) 下午陪同前往飯店設定 WiFi，預計於活動當天 (9/10) 早上 8 點半進場架設網路與備份機。</w:t>
      </w:r>
    </w:p>
    <w:p>
      <w:pPr>
        <w:spacing w:lineRule="auto" w:line="360" w:before="0" w:after="80"/>
        <w:ind w:left="1757" w:hanging="283"/>
      </w:pPr>
      <w:r>
        <w:rPr>
          <w:rFonts w:ascii="Times New Roman" w:hAnsi="Times New Roman" w:eastAsia="標楷體"/>
          <w:b w:val="0"/>
          <w:sz w:val="24"/>
        </w:rPr>
        <w:t>‧建議數科處助教於 10 點到場進行實際操作跑一遍，防範現場異常。</w:t>
      </w:r>
    </w:p>
    <w:p>
      <w:pPr>
        <w:spacing w:lineRule="auto" w:line="360" w:before="0" w:after="0"/>
        <w:ind w:left="0"/>
      </w:pPr>
      <w:r>
        <w:rPr>
          <w:rFonts w:ascii="Times New Roman" w:hAnsi="Times New Roman" w:eastAsia="標楷體"/>
          <w:b w:val="0"/>
          <w:sz w:val="24"/>
        </w:rPr>
      </w:r>
    </w:p>
    <w:p>
      <w:pPr>
        <w:spacing w:lineRule="auto" w:line="360" w:before="0" w:after="120"/>
        <w:ind w:left="1474" w:hanging="510"/>
      </w:pPr>
      <w:r>
        <w:rPr>
          <w:rFonts w:ascii="Times New Roman" w:hAnsi="Times New Roman" w:eastAsia="標楷體"/>
          <w:b w:val="0"/>
          <w:sz w:val="24"/>
        </w:rPr>
        <w:t>(2) 證券端設備危機對策 (高風險)</w:t>
      </w:r>
    </w:p>
    <w:p>
      <w:pPr>
        <w:spacing w:lineRule="auto" w:line="360" w:before="0" w:after="0"/>
        <w:ind w:left="0"/>
      </w:pPr>
      <w:r>
        <w:rPr>
          <w:rFonts w:ascii="Times New Roman" w:hAnsi="Times New Roman" w:eastAsia="標楷體"/>
          <w:b w:val="0"/>
          <w:sz w:val="24"/>
        </w:rPr>
      </w:r>
    </w:p>
    <w:p>
      <w:pPr>
        <w:spacing w:lineRule="auto" w:line="360" w:before="0" w:after="80"/>
        <w:ind w:left="1757" w:hanging="283"/>
      </w:pPr>
      <w:r>
        <w:rPr>
          <w:rFonts w:ascii="Times New Roman" w:hAnsi="Times New Roman" w:eastAsia="標楷體"/>
          <w:b w:val="0"/>
          <w:sz w:val="24"/>
        </w:rPr>
        <w:t>‧痛點：證券端主管無配置個人筆電（設備為租賃），在證券內網環境下因 WiFi 限制無法順利升級新版，導致主管目前只能用自己電腦跑預行，資料也無法驗證轉移。</w:t>
      </w:r>
    </w:p>
    <w:p>
      <w:pPr>
        <w:spacing w:lineRule="auto" w:line="360" w:before="0" w:after="80"/>
        <w:ind w:left="1757" w:hanging="283"/>
      </w:pPr>
      <w:r>
        <w:rPr>
          <w:rFonts w:ascii="Times New Roman" w:hAnsi="Times New Roman" w:eastAsia="標楷體"/>
          <w:b w:val="0"/>
          <w:sz w:val="24"/>
        </w:rPr>
        <w:t>‧決策：Tracy 已提出建議，請證券 IT 提早在上課前將十幾台電腦送至松山進行新版升級與測試，但證券 IT 尚未正式回覆。活動當天證券將派 2 名 IT 到場看顧連線。</w:t>
      </w:r>
    </w:p>
    <w:p>
      <w:pPr>
        <w:spacing w:lineRule="auto" w:line="360" w:before="0" w:after="80"/>
        <w:ind w:left="1757" w:hanging="283"/>
      </w:pPr>
      <w:r>
        <w:rPr>
          <w:rFonts w:ascii="Times New Roman" w:hAnsi="Times New Roman" w:eastAsia="標楷體"/>
          <w:b w:val="0"/>
          <w:sz w:val="24"/>
        </w:rPr>
        <w:t>‧追蹤：Tracy 於次日在群組回報證券最新處理情形。</w:t>
      </w:r>
    </w:p>
    <w:p>
      <w:pPr>
        <w:spacing w:lineRule="auto" w:line="360" w:before="0" w:after="0"/>
        <w:ind w:left="0"/>
      </w:pPr>
      <w:r>
        <w:rPr>
          <w:rFonts w:ascii="Times New Roman" w:hAnsi="Times New Roman" w:eastAsia="標楷體"/>
          <w:b w:val="0"/>
          <w:sz w:val="24"/>
        </w:rPr>
      </w:r>
    </w:p>
    <w:p>
      <w:pPr>
        <w:spacing w:lineRule="auto" w:line="360" w:before="0" w:after="120"/>
        <w:ind w:left="1474" w:hanging="510"/>
      </w:pPr>
      <w:r>
        <w:rPr>
          <w:rFonts w:ascii="Times New Roman" w:hAnsi="Times New Roman" w:eastAsia="標楷體"/>
          <w:b w:val="0"/>
          <w:sz w:val="24"/>
        </w:rPr>
        <w:t>(3) 銀行端設備狀況</w:t>
      </w:r>
    </w:p>
    <w:p>
      <w:pPr>
        <w:spacing w:lineRule="auto" w:line="360" w:before="0" w:after="0"/>
        <w:ind w:left="0"/>
      </w:pPr>
      <w:r>
        <w:rPr>
          <w:rFonts w:ascii="Times New Roman" w:hAnsi="Times New Roman" w:eastAsia="標楷體"/>
          <w:b w:val="0"/>
          <w:sz w:val="24"/>
        </w:rPr>
      </w:r>
    </w:p>
    <w:p>
      <w:pPr>
        <w:spacing w:lineRule="auto" w:line="360" w:before="0" w:after="80"/>
        <w:ind w:left="1757" w:hanging="283"/>
      </w:pPr>
      <w:r>
        <w:rPr>
          <w:rFonts w:ascii="Times New Roman" w:hAnsi="Times New Roman" w:eastAsia="標楷體"/>
          <w:b w:val="0"/>
          <w:sz w:val="24"/>
        </w:rPr>
        <w:t>‧主管設備均已安裝完成，升級新版尚無異常回報，研判前一版安裝無誤者可直接升級。</w:t>
      </w:r>
    </w:p>
    <w:p>
      <w:pPr>
        <w:spacing w:lineRule="auto" w:line="360" w:before="0" w:after="80"/>
        <w:ind w:left="1757" w:hanging="283"/>
      </w:pPr>
      <w:r>
        <w:rPr>
          <w:rFonts w:ascii="Times New Roman" w:hAnsi="Times New Roman" w:eastAsia="標楷體"/>
          <w:b w:val="0"/>
          <w:sz w:val="24"/>
        </w:rPr>
        <w:t>‧待辦：主管在現行版本已累積的資料，需提供移轉至新版的操作說明，避免當天無法沿用。</w:t>
      </w:r>
    </w:p>
    <w:p>
      <w:pPr>
        <w:spacing w:lineRule="auto" w:line="360" w:before="0" w:after="0"/>
        <w:ind w:left="0"/>
      </w:pPr>
      <w:r>
        <w:rPr>
          <w:rFonts w:ascii="Times New Roman" w:hAnsi="Times New Roman" w:eastAsia="標楷體"/>
          <w:b w:val="0"/>
          <w:sz w:val="24"/>
        </w:rPr>
      </w:r>
    </w:p>
    <w:p>
      <w:pPr>
        <w:spacing w:lineRule="auto" w:line="360" w:before="0" w:after="120"/>
        <w:ind w:left="1474" w:hanging="510"/>
      </w:pPr>
      <w:r>
        <w:rPr>
          <w:rFonts w:ascii="Times New Roman" w:hAnsi="Times New Roman" w:eastAsia="標楷體"/>
          <w:b w:val="0"/>
          <w:sz w:val="24"/>
        </w:rPr>
        <w:t>(4) 長官現場體驗用機</w:t>
      </w:r>
    </w:p>
    <w:p>
      <w:pPr>
        <w:spacing w:lineRule="auto" w:line="360" w:before="0" w:after="0"/>
        <w:ind w:left="0"/>
      </w:pPr>
      <w:r>
        <w:rPr>
          <w:rFonts w:ascii="Times New Roman" w:hAnsi="Times New Roman" w:eastAsia="標楷體"/>
          <w:b w:val="0"/>
          <w:sz w:val="24"/>
        </w:rPr>
      </w:r>
    </w:p>
    <w:p>
      <w:pPr>
        <w:spacing w:lineRule="auto" w:line="360" w:before="0" w:after="80"/>
        <w:ind w:left="1757" w:hanging="283"/>
      </w:pPr>
      <w:r>
        <w:rPr>
          <w:rFonts w:ascii="Times New Roman" w:hAnsi="Times New Roman" w:eastAsia="標楷體"/>
          <w:b w:val="0"/>
          <w:sz w:val="24"/>
        </w:rPr>
        <w:t>‧決策：由黃啟龍提供擬現場體驗的長官名單，Tracy 請設備單位事先於後台完成 API Key 設定，讓長官打開即可登入，不必現場等候設定。</w:t>
      </w:r>
    </w:p>
    <w:p>
      <w:pPr>
        <w:spacing w:lineRule="auto" w:line="360" w:before="0" w:after="0"/>
        <w:ind w:left="0"/>
      </w:pPr>
      <w:r>
        <w:rPr>
          <w:rFonts w:ascii="Times New Roman" w:hAnsi="Times New Roman" w:eastAsia="標楷體"/>
          <w:b w:val="0"/>
          <w:sz w:val="24"/>
        </w:rPr>
      </w:r>
    </w:p>
    <w:p>
      <w:pPr>
        <w:spacing w:lineRule="auto" w:line="360" w:before="0" w:after="120"/>
        <w:ind w:left="1162" w:hanging="680"/>
      </w:pPr>
      <w:r>
        <w:rPr>
          <w:rFonts w:ascii="Times New Roman" w:hAnsi="Times New Roman" w:eastAsia="標楷體"/>
          <w:b w:val="0"/>
          <w:sz w:val="24"/>
        </w:rPr>
        <w:t>二、金控資料分級管理框架</w:t>
      </w:r>
    </w:p>
    <w:p>
      <w:pPr>
        <w:spacing w:lineRule="auto" w:line="360" w:before="0" w:after="0"/>
        <w:ind w:left="0"/>
      </w:pPr>
      <w:r>
        <w:rPr>
          <w:rFonts w:ascii="Times New Roman" w:hAnsi="Times New Roman" w:eastAsia="標楷體"/>
          <w:b w:val="0"/>
          <w:sz w:val="24"/>
        </w:rPr>
      </w:r>
    </w:p>
    <w:p>
      <w:pPr>
        <w:spacing w:lineRule="auto" w:line="360" w:before="0" w:after="120"/>
        <w:ind w:left="1474" w:hanging="510"/>
      </w:pPr>
      <w:r>
        <w:rPr>
          <w:rFonts w:ascii="Times New Roman" w:hAnsi="Times New Roman" w:eastAsia="標楷體"/>
          <w:b w:val="0"/>
          <w:sz w:val="24"/>
        </w:rPr>
        <w:t>(1) 現況釐清（本次最大認知落差）</w:t>
      </w:r>
    </w:p>
    <w:p>
      <w:pPr>
        <w:spacing w:lineRule="auto" w:line="360" w:before="0" w:after="0"/>
        <w:ind w:left="0"/>
      </w:pPr>
      <w:r>
        <w:rPr>
          <w:rFonts w:ascii="Times New Roman" w:hAnsi="Times New Roman" w:eastAsia="標楷體"/>
          <w:b w:val="0"/>
          <w:sz w:val="24"/>
        </w:rPr>
      </w:r>
    </w:p>
    <w:p>
      <w:pPr>
        <w:spacing w:lineRule="auto" w:line="360" w:before="0" w:after="80"/>
        <w:ind w:left="1757" w:hanging="283"/>
      </w:pPr>
      <w:r>
        <w:rPr>
          <w:rFonts w:ascii="Times New Roman" w:hAnsi="Times New Roman" w:eastAsia="標楷體"/>
          <w:b w:val="0"/>
          <w:sz w:val="24"/>
        </w:rPr>
        <w:t>‧個資遮蔽發生在資料上送 LLM Gateway 的環節，與檔案存放在 SharePoint 或 OneDrive 無關。凡經 LLM Gateway 對外上送者一律遮蔽，屬主管機關要求的必要資安管控。</w:t>
      </w:r>
    </w:p>
    <w:p>
      <w:pPr>
        <w:spacing w:lineRule="auto" w:line="360" w:before="0" w:after="80"/>
        <w:ind w:left="1757" w:hanging="283"/>
      </w:pPr>
      <w:r>
        <w:rPr>
          <w:rFonts w:ascii="Times New Roman" w:hAnsi="Times New Roman" w:eastAsia="標楷體"/>
          <w:b w:val="0"/>
          <w:sz w:val="24"/>
        </w:rPr>
        <w:t>‧治理組提出「將 SPADE 指定資料夾改指向 SharePoint」一案，無法解決本議題，故不走這條路。</w:t>
      </w:r>
    </w:p>
    <w:p>
      <w:pPr>
        <w:spacing w:lineRule="auto" w:line="360" w:before="0" w:after="80"/>
        <w:ind w:left="1757" w:hanging="283"/>
      </w:pPr>
      <w:r>
        <w:rPr>
          <w:rFonts w:ascii="Times New Roman" w:hAnsi="Times New Roman" w:eastAsia="標楷體"/>
          <w:b w:val="0"/>
          <w:sz w:val="24"/>
        </w:rPr>
        <w:t>‧M365 走微軟後台自有模型、依微軟機制管控；SPADE 走 LLM Gateway，須做對話軌跡偵測與上送遮蔽。兩者是兩條不同路線，管控做法本就不同，將整理說明資料協助長官對齊認知。</w:t>
      </w:r>
    </w:p>
    <w:p>
      <w:pPr>
        <w:spacing w:lineRule="auto" w:line="360" w:before="0" w:after="0"/>
        <w:ind w:left="0"/>
      </w:pPr>
      <w:r>
        <w:rPr>
          <w:rFonts w:ascii="Times New Roman" w:hAnsi="Times New Roman" w:eastAsia="標楷體"/>
          <w:b w:val="0"/>
          <w:sz w:val="24"/>
        </w:rPr>
      </w:r>
    </w:p>
    <w:p>
      <w:pPr>
        <w:spacing w:lineRule="auto" w:line="360" w:before="0" w:after="120"/>
        <w:ind w:left="1474" w:hanging="510"/>
      </w:pPr>
      <w:r>
        <w:rPr>
          <w:rFonts w:ascii="Times New Roman" w:hAnsi="Times New Roman" w:eastAsia="標楷體"/>
          <w:b w:val="0"/>
          <w:sz w:val="24"/>
        </w:rPr>
        <w:t>(2) 解法方向（並行評估）</w:t>
      </w:r>
    </w:p>
    <w:p>
      <w:pPr>
        <w:spacing w:lineRule="auto" w:line="360" w:before="0" w:after="0"/>
        <w:ind w:left="0"/>
      </w:pPr>
      <w:r>
        <w:rPr>
          <w:rFonts w:ascii="Times New Roman" w:hAnsi="Times New Roman" w:eastAsia="標楷體"/>
          <w:b w:val="0"/>
          <w:sz w:val="24"/>
        </w:rPr>
      </w:r>
    </w:p>
    <w:p>
      <w:pPr>
        <w:spacing w:lineRule="auto" w:line="360" w:before="0" w:after="80"/>
        <w:ind w:left="1757" w:hanging="283"/>
      </w:pPr>
      <w:r>
        <w:rPr>
          <w:rFonts w:ascii="Times New Roman" w:hAnsi="Times New Roman" w:eastAsia="標楷體"/>
          <w:b w:val="0"/>
          <w:sz w:val="24"/>
        </w:rPr>
        <w:t>‧資料分級：三長已於 8 月會議同意個資上傳至企業受控雲端無虞，據此界定哪些資料可上送、哪些可還原。</w:t>
      </w:r>
    </w:p>
    <w:p>
      <w:pPr>
        <w:spacing w:lineRule="auto" w:line="360" w:before="0" w:after="80"/>
        <w:ind w:left="1757" w:hanging="283"/>
      </w:pPr>
      <w:r>
        <w:rPr>
          <w:rFonts w:ascii="Times New Roman" w:hAnsi="Times New Roman" w:eastAsia="標楷體"/>
          <w:b w:val="0"/>
          <w:sz w:val="24"/>
        </w:rPr>
        <w:t>‧放寬遮蔽項目：目前誤遮蔽情形明顯（如財報數字被判為電話號碼），正統計各單位受遮蔽影響的應用項目，預計下週收回後檢視放寬空間；放寬須取得法務與風管同意。</w:t>
      </w:r>
    </w:p>
    <w:p>
      <w:pPr>
        <w:spacing w:lineRule="auto" w:line="360" w:before="0" w:after="80"/>
        <w:ind w:left="1757" w:hanging="283"/>
      </w:pPr>
      <w:r>
        <w:rPr>
          <w:rFonts w:ascii="Times New Roman" w:hAnsi="Times New Roman" w:eastAsia="標楷體"/>
          <w:b w:val="0"/>
          <w:sz w:val="24"/>
        </w:rPr>
        <w:t>‧去識別後還原：屬技術性議題，交由團隊評估可行性。</w:t>
      </w:r>
    </w:p>
    <w:p>
      <w:pPr>
        <w:spacing w:lineRule="auto" w:line="360" w:before="0" w:after="80"/>
        <w:ind w:left="1757" w:hanging="283"/>
      </w:pPr>
      <w:r>
        <w:rPr>
          <w:rFonts w:ascii="Times New Roman" w:hAnsi="Times New Roman" w:eastAsia="標楷體"/>
          <w:b w:val="0"/>
          <w:sz w:val="24"/>
        </w:rPr>
        <w:t>‧提高風險等級改走報備：最穩妥但最慢，可能耗時數月至半年。</w:t>
      </w:r>
    </w:p>
    <w:p>
      <w:pPr>
        <w:spacing w:lineRule="auto" w:line="360" w:before="0" w:after="0"/>
        <w:ind w:left="0"/>
      </w:pPr>
      <w:r>
        <w:rPr>
          <w:rFonts w:ascii="Times New Roman" w:hAnsi="Times New Roman" w:eastAsia="標楷體"/>
          <w:b w:val="0"/>
          <w:sz w:val="24"/>
        </w:rPr>
      </w:r>
    </w:p>
    <w:p>
      <w:pPr>
        <w:spacing w:lineRule="auto" w:line="360" w:before="0" w:after="120"/>
        <w:ind w:left="1474" w:hanging="510"/>
      </w:pPr>
      <w:r>
        <w:rPr>
          <w:rFonts w:ascii="Times New Roman" w:hAnsi="Times New Roman" w:eastAsia="標楷體"/>
          <w:b w:val="0"/>
          <w:sz w:val="24"/>
        </w:rPr>
        <w:t>(3) 委外報備要件（葛世豪說明）</w:t>
      </w:r>
    </w:p>
    <w:p>
      <w:pPr>
        <w:spacing w:lineRule="auto" w:line="360" w:before="0" w:after="0"/>
        <w:ind w:left="0"/>
      </w:pPr>
      <w:r>
        <w:rPr>
          <w:rFonts w:ascii="Times New Roman" w:hAnsi="Times New Roman" w:eastAsia="標楷體"/>
          <w:b w:val="0"/>
          <w:sz w:val="24"/>
        </w:rPr>
      </w:r>
    </w:p>
    <w:p>
      <w:pPr>
        <w:spacing w:lineRule="auto" w:line="360" w:before="0" w:after="80"/>
        <w:ind w:left="1757" w:hanging="283"/>
      </w:pPr>
      <w:r>
        <w:rPr>
          <w:rFonts w:ascii="Times New Roman" w:hAnsi="Times New Roman" w:eastAsia="標楷體"/>
          <w:b w:val="0"/>
          <w:sz w:val="24"/>
        </w:rPr>
        <w:t>‧須同時該當「重大性消費金融業務資訊系統或直接串接交易系統」、「境外」、「作業委外」三者，才須報主管機關；未同時該當者屬內部核備。</w:t>
      </w:r>
    </w:p>
    <w:p>
      <w:pPr>
        <w:spacing w:lineRule="auto" w:line="360" w:before="0" w:after="80"/>
        <w:ind w:left="1757" w:hanging="283"/>
      </w:pPr>
      <w:r>
        <w:rPr>
          <w:rFonts w:ascii="Times New Roman" w:hAnsi="Times New Roman" w:eastAsia="標楷體"/>
          <w:b w:val="0"/>
          <w:sz w:val="24"/>
        </w:rPr>
        <w:t>‧SPADE 本身不是重大性消費金融業務資訊系統，但使用範圍若處理該類系統的資料，容易被認定為間接涉及，須由法務與風管認定。</w:t>
      </w:r>
    </w:p>
    <w:p>
      <w:pPr>
        <w:spacing w:lineRule="auto" w:line="360" w:before="0" w:after="80"/>
        <w:ind w:left="1757" w:hanging="283"/>
      </w:pPr>
      <w:r>
        <w:rPr>
          <w:rFonts w:ascii="Times New Roman" w:hAnsi="Times New Roman" w:eastAsia="標楷體"/>
          <w:b w:val="0"/>
          <w:sz w:val="24"/>
        </w:rPr>
        <w:t>‧M365 過去以「辦公室自動化」定位獲主管機關接受，SPADE 難以援用同一論點。</w:t>
      </w:r>
    </w:p>
    <w:p>
      <w:pPr>
        <w:spacing w:lineRule="auto" w:line="360" w:before="0" w:after="0"/>
        <w:ind w:left="0"/>
      </w:pPr>
      <w:r>
        <w:rPr>
          <w:rFonts w:ascii="Times New Roman" w:hAnsi="Times New Roman" w:eastAsia="標楷體"/>
          <w:b w:val="0"/>
          <w:sz w:val="24"/>
        </w:rPr>
      </w:r>
    </w:p>
    <w:p>
      <w:pPr>
        <w:spacing w:lineRule="auto" w:line="360" w:before="0" w:after="120"/>
        <w:ind w:left="1162" w:hanging="680"/>
      </w:pPr>
      <w:r>
        <w:rPr>
          <w:rFonts w:ascii="Times New Roman" w:hAnsi="Times New Roman" w:eastAsia="標楷體"/>
          <w:b w:val="0"/>
          <w:sz w:val="24"/>
        </w:rPr>
        <w:t>三、SPADE 正式上線時程</w:t>
      </w:r>
    </w:p>
    <w:p>
      <w:pPr>
        <w:spacing w:lineRule="auto" w:line="360" w:before="0" w:after="0"/>
        <w:ind w:left="0"/>
      </w:pPr>
      <w:r>
        <w:rPr>
          <w:rFonts w:ascii="Times New Roman" w:hAnsi="Times New Roman" w:eastAsia="標楷體"/>
          <w:b w:val="0"/>
          <w:sz w:val="24"/>
        </w:rPr>
      </w:r>
    </w:p>
    <w:p>
      <w:pPr>
        <w:spacing w:lineRule="auto" w:line="360" w:before="0" w:after="80"/>
        <w:ind w:left="1757" w:hanging="283"/>
      </w:pPr>
      <w:r>
        <w:rPr>
          <w:rFonts w:ascii="Times New Roman" w:hAnsi="Times New Roman" w:eastAsia="標楷體"/>
          <w:b w:val="0"/>
          <w:sz w:val="24"/>
        </w:rPr>
        <w:t>‧表定 12/14 上線，處長不反對此日期，但建議上線前先建置 pre-production 環境。</w:t>
      </w:r>
    </w:p>
    <w:p>
      <w:pPr>
        <w:spacing w:lineRule="auto" w:line="360" w:before="0" w:after="80"/>
        <w:ind w:left="1757" w:hanging="283"/>
      </w:pPr>
      <w:r>
        <w:rPr>
          <w:rFonts w:ascii="Times New Roman" w:hAnsi="Times New Roman" w:eastAsia="標楷體"/>
          <w:b w:val="0"/>
          <w:sz w:val="24"/>
        </w:rPr>
        <w:t>‧做法：自既有 900 名使用者中先取一小批試行，確認無虞後再全數納入，農曆年前完成正式上線。</w:t>
      </w:r>
    </w:p>
    <w:p>
      <w:pPr>
        <w:spacing w:lineRule="auto" w:line="360" w:before="0" w:after="80"/>
        <w:ind w:left="1757" w:hanging="283"/>
      </w:pPr>
      <w:r>
        <w:rPr>
          <w:rFonts w:ascii="Times New Roman" w:hAnsi="Times New Roman" w:eastAsia="標楷體"/>
          <w:b w:val="0"/>
          <w:sz w:val="24"/>
        </w:rPr>
        <w:t>‧pre-production 仍屬正式環境，合規程序依原規定辦理。</w:t>
      </w:r>
    </w:p>
    <w:p>
      <w:pPr>
        <w:spacing w:lineRule="auto" w:line="360" w:before="0" w:after="80"/>
        <w:ind w:left="1757" w:hanging="283"/>
      </w:pPr>
      <w:r>
        <w:rPr>
          <w:rFonts w:ascii="Times New Roman" w:hAnsi="Times New Roman" w:eastAsia="標楷體"/>
          <w:b w:val="0"/>
          <w:sz w:val="24"/>
        </w:rPr>
        <w:t>‧本項與資料分級議題將於 9/14 與 Jeffrey 副總、張老師對焦，下週一先向張老師說明。</w:t>
      </w:r>
    </w:p>
    <w:sectPr w:rsidR="00FC693F" w:rsidRPr="0006063C" w:rsidSect="00034616">
      <w:pgSz w:w="11906" w:h="16838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