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jc w:val="center"/>
      </w:pPr>
      <w:r>
        <w:rPr>
          <w:rFonts w:ascii="Calibri" w:cs="Calibri" w:eastAsia="Calibri" w:hAnsi="Calibri"/>
          <w:b/>
          <w:bCs/>
          <w:color w:val="0E7490"/>
          <w:sz w:val="56"/>
          <w:szCs w:val="56"/>
        </w:rPr>
        <w:t xml:space="preserve">DuctoVision Bolivia</w:t>
      </w:r>
    </w:p>
    <w:p>
      <w:pPr>
        <w:spacing w:after="300" w:before="0"/>
        <w:jc w:val="center"/>
      </w:pPr>
      <w:r>
        <w:rPr>
          <w:rFonts w:ascii="Calibri" w:cs="Calibri" w:eastAsia="Calibri" w:hAnsi="Calibri"/>
          <w:color w:val="475569"/>
          <w:sz w:val="26"/>
          <w:szCs w:val="26"/>
        </w:rPr>
        <w:t xml:space="preserve">Demo-simulador de transporte de hidrocarburos por ductos para la toma de decisiones — YPFB Transporte S.A. y subsidiarias</w:t>
      </w:r>
    </w:p>
    <w:p>
      <w:pPr>
        <w:spacing w:after="160" w:before="0"/>
        <w:jc w:val="center"/>
      </w:pPr>
      <w:r>
        <w:rPr>
          <w:rFonts w:ascii="Calibri" w:cs="Calibri" w:eastAsia="Calibri" w:hAnsi="Calibri"/>
          <w:color w:val="0F172A"/>
          <w:sz w:val="22"/>
          <w:szCs w:val="22"/>
        </w:rPr>
        <w:t xml:space="preserve">Documento ejecutivo y técnico · versión 2 · Incluye prompt completo para Claude Code</w:t>
      </w:r>
    </w:p>
    <w:p>
      <w:pPr>
        <w:spacing w:after="160" w:before="0"/>
        <w:jc w:val="center"/>
      </w:pPr>
      <w:r>
        <w:rPr>
          <w:rFonts w:ascii="Calibri" w:cs="Calibri" w:eastAsia="Calibri" w:hAnsi="Calibri"/>
          <w:i/>
          <w:iCs/>
          <w:color w:val="475569"/>
          <w:sz w:val="20"/>
          <w:szCs w:val="20"/>
        </w:rPr>
        <w:t xml:space="preserve">Julio 2026 · Datos referenciales y simulados con fines demostrativos</w:t>
      </w:r>
    </w:p>
    <w:p>
      <w:r>
        <w:br w:type="page"/>
      </w:r>
    </w:p>
    <w:p>
      <w:pPr>
        <w:pStyle w:val="Heading1"/>
        <w:spacing w:after="200" w:before="320"/>
      </w:pPr>
      <w:r>
        <w:rPr>
          <w:color w:val="0E749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color w:val="0E7490"/>
        </w:rPr>
        <w:t xml:space="preserve">1. Resumen ejecutivo</w:t>
      </w:r>
    </w:p>
    <w:p>
      <w:pPr>
        <w:spacing w:after="160" w:before="0"/>
      </w:pPr>
      <w:r>
        <w:rPr>
          <w:rFonts w:ascii="Calibri" w:cs="Calibri" w:eastAsia="Calibri" w:hAnsi="Calibri"/>
          <w:color w:val="0F172A"/>
          <w:sz w:val="22"/>
          <w:szCs w:val="22"/>
        </w:rPr>
        <w:t xml:space="preserve">DuctoVision Bolivia es un proyecto demo, construible con Claude Code y publicable en GitHub + Render (gratuito), que combina dos cosas: un visualizador cartográfico de la red completa de transporte de hidrocarburos por ductos de Bolivia y un simulador estructurado de cálculos —hidráulicos, de capacidad y financieros— para responder las preguntas que importan al decidir: ¿cuánto puede transportar un ducto de cierto diámetro?, ¿qué cuesta interconectar un pozo y en cuánto tiempo retorna?, ¿conviene mantener, optimizar o poner en standby una estación?, ¿qué proyectos de inversión resisten un análisis de sensibilidad de tarifas y volúmenes?</w:t>
      </w:r>
    </w:p>
    <w:p>
      <w:pPr>
        <w:spacing w:after="160" w:before="0"/>
      </w:pPr>
      <w:r>
        <w:rPr>
          <w:rFonts w:ascii="Calibri" w:cs="Calibri" w:eastAsia="Calibri" w:hAnsi="Calibri"/>
          <w:color w:val="0F172A"/>
          <w:sz w:val="22"/>
          <w:szCs w:val="22"/>
        </w:rPr>
        <w:t xml:space="preserve">La base de información cubre la red completa referencial: 32 ductos individuales (14 gasoductos incluyendo GTB, GASYRG y derivadas; 13 oleoductos del registro ANH incluyendo el propanoducto PRSZ; 5 poliductos), 55 estaciones (17 de compresión, 18 de bombeo, 20 de poliductos), 40 pozos y clusters del Plan de Reactivación del Upstream y de operadoras privadas, organizados en 4 corredores de interconexión, y 5 macroproyectos de inversión. Sobre esa base se generan series históricas 2018-2025 y proyecciones 2026-2035 en tres escenarios, de forma determinística y siempre rotuladas como simuladas.</w:t>
      </w:r>
    </w:p>
    <w:p>
      <w:pPr>
        <w:spacing w:after="160" w:before="0"/>
      </w:pPr>
      <w:r>
        <w:rPr>
          <w:rFonts w:ascii="Calibri" w:cs="Calibri" w:eastAsia="Calibri" w:hAnsi="Calibri"/>
          <w:color w:val="0F172A"/>
          <w:sz w:val="22"/>
          <w:szCs w:val="22"/>
        </w:rPr>
        <w:t xml:space="preserve">El paquete entrega: este documento, el prompt completo para Claude Code (PROMPT_CLAUDE_CODE.md, reproducido en el Anexo A) y cuatro archivos JSON de datos base (sistemas, estaciones, pozos y proyectos de inversión). El diseño sigue el patrón de plataforma integrada del demo de referencia MineOps 360: sidebar de módulos, KPIs ejecutivos, mapa operativo central y simulación de escenarios.</w:t>
      </w:r>
    </w:p>
    <w:p>
      <w:pPr>
        <w:pStyle w:val="Heading1"/>
        <w:spacing w:after="200" w:before="320"/>
      </w:pPr>
      <w:r>
        <w:rPr>
          <w:color w:val="0E7490"/>
        </w:rPr>
        <w:t xml:space="preserve">2. Hallazgos de la investigación</w:t>
      </w:r>
    </w:p>
    <w:p>
      <w:pPr>
        <w:pStyle w:val="Heading2"/>
        <w:spacing w:after="140" w:before="240"/>
      </w:pPr>
      <w:r>
        <w:rPr>
          <w:color w:val="0F172A"/>
        </w:rPr>
        <w:t xml:space="preserve">2.1 Cifras de la red</w:t>
      </w:r>
    </w:p>
    <w:p>
      <w:pPr>
        <w:spacing w:after="160" w:before="0"/>
      </w:pPr>
      <w:r>
        <w:rPr>
          <w:rFonts w:ascii="Calibri" w:cs="Calibri" w:eastAsia="Calibri" w:hAnsi="Calibri"/>
          <w:color w:val="0F172A"/>
          <w:sz w:val="22"/>
          <w:szCs w:val="22"/>
        </w:rPr>
        <w:t xml:space="preserve">YPFB Transporte opera ~8.645 km en 7 departamentos y 97 municipios: 3.584 km de gasoductos, 3.011 km de oleoductos y 1.706 km de poliductos, con más de 55 sitios operativos y 65.412 HP instalados. En 2025 invirtió USD 41,2 MM con ingresos operativos cercanos a USD 133 MM; para 2026 programó USD 50,2 MM (39,6 continuidad operativa, 9,8 Terminal de Arica, 0,8 expansión). Hitos recientes: automatización y operación remota del GAA, primera exportación de gas argentino en tránsito hacia Brasil (Sistema Integrado de Transporte, desde abril 2025, pruebas hasta 4,5 MMm³/d) y conclusión del tramo Oruro–Santa Cruz de la Reversa OSSA-2.</w:t>
      </w:r>
    </w:p>
    <w:p>
      <w:pPr>
        <w:pStyle w:val="Heading2"/>
        <w:spacing w:after="140" w:before="240"/>
      </w:pPr>
      <w:r>
        <w:rPr>
          <w:color w:val="0F172A"/>
        </w:rPr>
        <w:t xml:space="preserve">2.2 Oportunidades que alimentan el módulo de inversiones</w:t>
      </w:r>
    </w:p>
    <w:p>
      <w:pPr>
        <w:pStyle w:val="ListParagraph"/>
        <w:numPr>
          <w:ilvl w:val="0"/>
          <w:numId w:val="2"/>
        </w:numPr>
        <w:spacing w:after="100"/>
      </w:pPr>
      <w:r>
        <w:rPr>
          <w:b/>
          <w:bCs/>
          <w:sz w:val="22"/>
          <w:szCs w:val="22"/>
        </w:rPr>
        <w:t xml:space="preserve">Subandino Norte (Mayaya): </w:t>
      </w:r>
      <w:r>
        <w:rPr>
          <w:sz w:val="22"/>
          <w:szCs w:val="22"/>
        </w:rPr>
        <w:t xml:space="preserve">Mayaya Centro-X1 con 1,7 TCF en estructura y ~7 TCF zonal estimado; pozos X2/X3 y estratigráficos Tomachi, Suapi y Madre Selva; ducto Mayaya–Caranavi (fase 1 en obras civiles) y troncal a Senkata + línea de líquidos a Sica Sica; inversión estimada ~USD 400 MM e ingresos de vida útil ~USD 6.800 MM según YPFB. Voces independientes advierten reservas no certificadas: el demo lo modela con escenarios y el caso Boyuy-X2 como recordatorio de riesgo exploratorio.</w:t>
      </w:r>
    </w:p>
    <w:p>
      <w:pPr>
        <w:pStyle w:val="ListParagraph"/>
        <w:numPr>
          <w:ilvl w:val="0"/>
          <w:numId w:val="2"/>
        </w:numPr>
        <w:spacing w:after="100"/>
      </w:pPr>
      <w:r>
        <w:rPr>
          <w:b/>
          <w:bCs/>
          <w:sz w:val="22"/>
          <w:szCs w:val="22"/>
        </w:rPr>
        <w:t xml:space="preserve">SIT: </w:t>
      </w:r>
      <w:r>
        <w:rPr>
          <w:sz w:val="22"/>
          <w:szCs w:val="22"/>
        </w:rPr>
        <w:t xml:space="preserve">tránsito de gas de Vaca Muerta a Brasil por GSCY/GASYRG/GTB usando capacidad ociosa; ingresos por tarifa sin reservas propias; modelado como proyecto de expansión con compresión adicional.</w:t>
      </w:r>
    </w:p>
    <w:p>
      <w:pPr>
        <w:pStyle w:val="ListParagraph"/>
        <w:numPr>
          <w:ilvl w:val="0"/>
          <w:numId w:val="2"/>
        </w:numPr>
        <w:spacing w:after="100"/>
      </w:pPr>
      <w:r>
        <w:rPr>
          <w:b/>
          <w:bCs/>
          <w:sz w:val="22"/>
          <w:szCs w:val="22"/>
        </w:rPr>
        <w:t xml:space="preserve">Reversa OSSA-2: </w:t>
      </w:r>
      <w:r>
        <w:rPr>
          <w:sz w:val="22"/>
          <w:szCs w:val="22"/>
        </w:rPr>
        <w:t xml:space="preserve">importación de combustibles por ducto Arica–Charaña–Oruro–Santa Cruz; reversión habilitada de 9.000 BPD Oruro→Cochabamba y 8.000 BPD Cochabamba→Santa Cruz; USD 9,8 MM en Terminal Arica en 2026.</w:t>
      </w:r>
    </w:p>
    <w:p>
      <w:pPr>
        <w:pStyle w:val="ListParagraph"/>
        <w:numPr>
          <w:ilvl w:val="0"/>
          <w:numId w:val="2"/>
        </w:numPr>
        <w:spacing w:after="100"/>
      </w:pPr>
      <w:r>
        <w:rPr>
          <w:b/>
          <w:bCs/>
          <w:sz w:val="22"/>
          <w:szCs w:val="22"/>
        </w:rPr>
        <w:t xml:space="preserve">Ampliación PCS: </w:t>
      </w:r>
      <w:r>
        <w:rPr>
          <w:sz w:val="22"/>
          <w:szCs w:val="22"/>
        </w:rPr>
        <w:t xml:space="preserve">conversión de la línea 6" del GTS para duplicar refinados hacia Sucre y Potosí; la estación Monteagudo opera como cuello de botella (92% de utilización simulada).</w:t>
      </w:r>
    </w:p>
    <w:p>
      <w:pPr>
        <w:pStyle w:val="ListParagraph"/>
        <w:numPr>
          <w:ilvl w:val="0"/>
          <w:numId w:val="2"/>
        </w:numPr>
        <w:spacing w:after="100"/>
      </w:pPr>
      <w:r>
        <w:rPr>
          <w:b/>
          <w:bCs/>
          <w:sz w:val="22"/>
          <w:szCs w:val="22"/>
        </w:rPr>
        <w:t xml:space="preserve">Interconexión de pozos del PRU: </w:t>
      </w:r>
      <w:r>
        <w:rPr>
          <w:sz w:val="22"/>
          <w:szCs w:val="22"/>
        </w:rPr>
        <w:t xml:space="preserve">cartera de 57 pozos del plan; el demo modela 40 pozos/clusters anunciados públicamente con su distancia a la red, diámetro sugerido, CAPEX y ranking de prioridad.</w:t>
      </w:r>
    </w:p>
    <w:p>
      <w:pPr>
        <w:pStyle w:val="Heading1"/>
        <w:spacing w:after="200" w:before="320"/>
      </w:pPr>
      <w:r>
        <w:rPr>
          <w:color w:val="0E7490"/>
        </w:rPr>
        <w:t xml:space="preserve">3. Inventario completo de la red (datos base del demo)</w:t>
      </w:r>
    </w:p>
    <w:p>
      <w:pPr>
        <w:pStyle w:val="Heading2"/>
        <w:spacing w:after="140" w:before="240"/>
      </w:pPr>
      <w:r>
        <w:rPr>
          <w:color w:val="0F172A"/>
        </w:rPr>
        <w:t xml:space="preserve">3.1 Gasoductos (14)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900"/>
        <w:gridCol w:w="900"/>
        <w:gridCol w:w="1500"/>
        <w:gridCol w:w="1600"/>
      </w:tblGrid>
      <w:tr>
        <w:tc>
          <w:tcPr>
            <w:tcW w:type="dxa" w:w="900"/>
            <w:shd w:fill="0E7490" w:val="clear"/>
            <w:tcMar>
              <w:top w:type="dxa" w:w="70"/>
              <w:left w:type="dxa" w:w="110"/>
              <w:bottom w:type="dxa" w:w="70"/>
              <w:right w:type="dxa" w:w="110"/>
            </w:tcMar>
          </w:tcPr>
          <w:p>
            <w:pPr>
              <w:spacing w:after="0"/>
            </w:pPr>
            <w:r>
              <w:rPr>
                <w:b/>
                <w:bCs/>
                <w:color w:val="FFFFFF"/>
                <w:sz w:val="19"/>
                <w:szCs w:val="19"/>
              </w:rPr>
              <w:t xml:space="preserve">ID</w:t>
            </w:r>
          </w:p>
        </w:tc>
        <w:tc>
          <w:tcPr>
            <w:tcW w:type="dxa" w:w="3800"/>
            <w:shd w:fill="0E7490" w:val="clear"/>
            <w:tcMar>
              <w:top w:type="dxa" w:w="70"/>
              <w:left w:type="dxa" w:w="110"/>
              <w:bottom w:type="dxa" w:w="70"/>
              <w:right w:type="dxa" w:w="110"/>
            </w:tcMar>
          </w:tcPr>
          <w:p>
            <w:pPr>
              <w:spacing w:after="0"/>
            </w:pPr>
            <w:r>
              <w:rPr>
                <w:b/>
                <w:bCs/>
                <w:color w:val="FFFFFF"/>
                <w:sz w:val="19"/>
                <w:szCs w:val="19"/>
              </w:rPr>
              <w:t xml:space="preserve">Ducto / tramo</w:t>
            </w:r>
          </w:p>
        </w:tc>
        <w:tc>
          <w:tcPr>
            <w:tcW w:type="dxa" w:w="900"/>
            <w:shd w:fill="0E7490" w:val="clear"/>
            <w:tcMar>
              <w:top w:type="dxa" w:w="70"/>
              <w:left w:type="dxa" w:w="110"/>
              <w:bottom w:type="dxa" w:w="70"/>
              <w:right w:type="dxa" w:w="110"/>
            </w:tcMar>
          </w:tcPr>
          <w:p>
            <w:pPr>
              <w:spacing w:after="0"/>
            </w:pPr>
            <w:r>
              <w:rPr>
                <w:b/>
                <w:bCs/>
                <w:color w:val="FFFFFF"/>
                <w:sz w:val="19"/>
                <w:szCs w:val="19"/>
              </w:rPr>
              <w:t xml:space="preserve">Long.</w:t>
            </w:r>
          </w:p>
        </w:tc>
        <w:tc>
          <w:tcPr>
            <w:tcW w:type="dxa" w:w="900"/>
            <w:shd w:fill="0E7490" w:val="clear"/>
            <w:tcMar>
              <w:top w:type="dxa" w:w="70"/>
              <w:left w:type="dxa" w:w="110"/>
              <w:bottom w:type="dxa" w:w="70"/>
              <w:right w:type="dxa" w:w="110"/>
            </w:tcMar>
          </w:tcPr>
          <w:p>
            <w:pPr>
              <w:spacing w:after="0"/>
            </w:pPr>
            <w:r>
              <w:rPr>
                <w:b/>
                <w:bCs/>
                <w:color w:val="FFFFFF"/>
                <w:sz w:val="19"/>
                <w:szCs w:val="19"/>
              </w:rPr>
              <w:t xml:space="preserve">Ø (pulg)</w:t>
            </w:r>
          </w:p>
        </w:tc>
        <w:tc>
          <w:tcPr>
            <w:tcW w:type="dxa" w:w="1500"/>
            <w:shd w:fill="0E7490" w:val="clear"/>
            <w:tcMar>
              <w:top w:type="dxa" w:w="70"/>
              <w:left w:type="dxa" w:w="110"/>
              <w:bottom w:type="dxa" w:w="70"/>
              <w:right w:type="dxa" w:w="110"/>
            </w:tcMar>
          </w:tcPr>
          <w:p>
            <w:pPr>
              <w:spacing w:after="0"/>
            </w:pPr>
            <w:r>
              <w:rPr>
                <w:b/>
                <w:bCs/>
                <w:color w:val="FFFFFF"/>
                <w:sz w:val="19"/>
                <w:szCs w:val="19"/>
              </w:rPr>
              <w:t xml:space="preserve">Capacidad</w:t>
            </w:r>
          </w:p>
        </w:tc>
        <w:tc>
          <w:tcPr>
            <w:tcW w:type="dxa" w:w="1600"/>
            <w:shd w:fill="0E7490" w:val="clear"/>
            <w:tcMar>
              <w:top w:type="dxa" w:w="70"/>
              <w:left w:type="dxa" w:w="110"/>
              <w:bottom w:type="dxa" w:w="70"/>
              <w:right w:type="dxa" w:w="110"/>
            </w:tcMar>
          </w:tcPr>
          <w:p>
            <w:pPr>
              <w:spacing w:after="0"/>
            </w:pPr>
            <w:r>
              <w:rPr>
                <w:b/>
                <w:bCs/>
                <w:color w:val="FFFFFF"/>
                <w:sz w:val="19"/>
                <w:szCs w:val="19"/>
              </w:rPr>
              <w:t xml:space="preserve">Operador</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GAA</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Gasoducto al Altiplano</w:t>
            </w:r>
          </w:p>
        </w:tc>
        <w:tc>
          <w:tcPr>
            <w:tcW w:type="dxa" w:w="900"/>
            <w:tcMar>
              <w:top w:type="dxa" w:w="70"/>
              <w:left w:type="dxa" w:w="110"/>
              <w:bottom w:type="dxa" w:w="70"/>
              <w:right w:type="dxa" w:w="110"/>
            </w:tcMar>
          </w:tcPr>
          <w:p>
            <w:pPr>
              <w:spacing w:after="0"/>
            </w:pPr>
            <w:r>
              <w:rPr>
                <w:b w:val="false"/>
                <w:bCs w:val="false"/>
                <w:color w:val="0F172A"/>
                <w:sz w:val="19"/>
                <w:szCs w:val="19"/>
              </w:rPr>
              <w:t xml:space="preserve">779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10/6</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76,3 MMpcd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GCY</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Gasoducto Carrasco–Yapacaní</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217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16/12</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163 MMpcd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RCM</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Ramal Colpa–Mineros</w:t>
            </w:r>
          </w:p>
        </w:tc>
        <w:tc>
          <w:tcPr>
            <w:tcW w:type="dxa" w:w="900"/>
            <w:tcMar>
              <w:top w:type="dxa" w:w="70"/>
              <w:left w:type="dxa" w:w="110"/>
              <w:bottom w:type="dxa" w:w="70"/>
              <w:right w:type="dxa" w:w="110"/>
            </w:tcMar>
          </w:tcPr>
          <w:p>
            <w:pPr>
              <w:spacing w:after="0"/>
            </w:pPr>
            <w:r>
              <w:rPr>
                <w:b w:val="false"/>
                <w:bCs w:val="false"/>
                <w:color w:val="0F172A"/>
                <w:sz w:val="19"/>
                <w:szCs w:val="19"/>
              </w:rPr>
              <w:t xml:space="preserve">45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6</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16 MMpcd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GCC</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Gasoducto Carrasco–Cochabamba</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250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12</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90 MMpcd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GTC</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Gasoducto Taquiperenda–Cochabamba</w:t>
            </w:r>
          </w:p>
        </w:tc>
        <w:tc>
          <w:tcPr>
            <w:tcW w:type="dxa" w:w="900"/>
            <w:tcMar>
              <w:top w:type="dxa" w:w="70"/>
              <w:left w:type="dxa" w:w="110"/>
              <w:bottom w:type="dxa" w:w="70"/>
              <w:right w:type="dxa" w:w="110"/>
            </w:tcMar>
          </w:tcPr>
          <w:p>
            <w:pPr>
              <w:spacing w:after="0"/>
            </w:pPr>
            <w:r>
              <w:rPr>
                <w:b w:val="false"/>
                <w:bCs w:val="false"/>
                <w:color w:val="0F172A"/>
                <w:sz w:val="19"/>
                <w:szCs w:val="19"/>
              </w:rPr>
              <w:t xml:space="preserve">582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12/10</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60 MMpcd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GTS</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Gasoducto Tarabuco–Sucre</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44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10/6</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45,2 MMpcd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GSP</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Gasoducto Sucre–Potosí</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105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6/4</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7,3 MMpcd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GVT</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Gasoducto Villamontes–Tarija</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130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10</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30 MMpcd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GTEP</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Derivada Tarija–El Puente</w:t>
            </w:r>
          </w:p>
        </w:tc>
        <w:tc>
          <w:tcPr>
            <w:tcW w:type="dxa" w:w="900"/>
            <w:tcMar>
              <w:top w:type="dxa" w:w="70"/>
              <w:left w:type="dxa" w:w="110"/>
              <w:bottom w:type="dxa" w:w="70"/>
              <w:right w:type="dxa" w:w="110"/>
            </w:tcMar>
          </w:tcPr>
          <w:p>
            <w:pPr>
              <w:spacing w:after="0"/>
            </w:pPr>
            <w:r>
              <w:rPr>
                <w:b w:val="false"/>
                <w:bCs w:val="false"/>
                <w:color w:val="0F172A"/>
                <w:sz w:val="19"/>
                <w:szCs w:val="19"/>
              </w:rPr>
              <w:t xml:space="preserve">60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4</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4 MMpcd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GTLT</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Derivada Tarija–La Tablada</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12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4</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3 MMpcd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GSCY</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Gasoducto Santa Cruz–Yacuiba (ex YABOG)</w:t>
            </w:r>
          </w:p>
        </w:tc>
        <w:tc>
          <w:tcPr>
            <w:tcW w:type="dxa" w:w="900"/>
            <w:tcMar>
              <w:top w:type="dxa" w:w="70"/>
              <w:left w:type="dxa" w:w="110"/>
              <w:bottom w:type="dxa" w:w="70"/>
              <w:right w:type="dxa" w:w="110"/>
            </w:tcMar>
          </w:tcPr>
          <w:p>
            <w:pPr>
              <w:spacing w:after="0"/>
            </w:pPr>
            <w:r>
              <w:rPr>
                <w:b w:val="false"/>
                <w:bCs w:val="false"/>
                <w:color w:val="0F172A"/>
                <w:sz w:val="19"/>
                <w:szCs w:val="19"/>
              </w:rPr>
              <w:t xml:space="preserve">529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24</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213 MMpcd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GIJA</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Gasoducto Integración Juana Azurduy</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48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32</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706 MMpcd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GASYRG</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Gasoducto Yacuiba–Río Grande</w:t>
            </w:r>
          </w:p>
        </w:tc>
        <w:tc>
          <w:tcPr>
            <w:tcW w:type="dxa" w:w="900"/>
            <w:tcMar>
              <w:top w:type="dxa" w:w="70"/>
              <w:left w:type="dxa" w:w="110"/>
              <w:bottom w:type="dxa" w:w="70"/>
              <w:right w:type="dxa" w:w="110"/>
            </w:tcMar>
          </w:tcPr>
          <w:p>
            <w:pPr>
              <w:spacing w:after="0"/>
            </w:pPr>
            <w:r>
              <w:rPr>
                <w:b w:val="false"/>
                <w:bCs w:val="false"/>
                <w:color w:val="0F172A"/>
                <w:sz w:val="19"/>
                <w:szCs w:val="19"/>
              </w:rPr>
              <w:t xml:space="preserve">431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32</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706 MMpcd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Transierra (subsidiaria)</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GTB</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Gasoducto Bolivia–Brasil (tramo boliviano)</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557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32</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32,85 MMm3d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GTB (subsidiaria)</w:t>
            </w:r>
          </w:p>
        </w:tc>
      </w:tr>
    </w:tbl>
    <w:p>
      <w:pPr>
        <w:spacing w:after="60" w:before="0"/>
      </w:pPr>
      <w:r>
        <w:rPr>
          <w:rFonts w:ascii="Calibri" w:cs="Calibri" w:eastAsia="Calibri" w:hAnsi="Calibri"/>
          <w:color w:val="0F172A"/>
          <w:sz w:val="22"/>
          <w:szCs w:val="22"/>
        </w:rPr>
        <w:t xml:space="preserve"/>
      </w:r>
    </w:p>
    <w:p>
      <w:pPr>
        <w:pStyle w:val="Heading2"/>
        <w:spacing w:after="140" w:before="240"/>
      </w:pPr>
      <w:r>
        <w:rPr>
          <w:color w:val="0F172A"/>
        </w:rPr>
        <w:t xml:space="preserve">3.2 Oleoductos (13)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900"/>
        <w:gridCol w:w="900"/>
        <w:gridCol w:w="1500"/>
        <w:gridCol w:w="1600"/>
      </w:tblGrid>
      <w:tr>
        <w:tc>
          <w:tcPr>
            <w:tcW w:type="dxa" w:w="900"/>
            <w:shd w:fill="0E7490" w:val="clear"/>
            <w:tcMar>
              <w:top w:type="dxa" w:w="70"/>
              <w:left w:type="dxa" w:w="110"/>
              <w:bottom w:type="dxa" w:w="70"/>
              <w:right w:type="dxa" w:w="110"/>
            </w:tcMar>
          </w:tcPr>
          <w:p>
            <w:pPr>
              <w:spacing w:after="0"/>
            </w:pPr>
            <w:r>
              <w:rPr>
                <w:b/>
                <w:bCs/>
                <w:color w:val="FFFFFF"/>
                <w:sz w:val="19"/>
                <w:szCs w:val="19"/>
              </w:rPr>
              <w:t xml:space="preserve">ID</w:t>
            </w:r>
          </w:p>
        </w:tc>
        <w:tc>
          <w:tcPr>
            <w:tcW w:type="dxa" w:w="3800"/>
            <w:shd w:fill="0E7490" w:val="clear"/>
            <w:tcMar>
              <w:top w:type="dxa" w:w="70"/>
              <w:left w:type="dxa" w:w="110"/>
              <w:bottom w:type="dxa" w:w="70"/>
              <w:right w:type="dxa" w:w="110"/>
            </w:tcMar>
          </w:tcPr>
          <w:p>
            <w:pPr>
              <w:spacing w:after="0"/>
            </w:pPr>
            <w:r>
              <w:rPr>
                <w:b/>
                <w:bCs/>
                <w:color w:val="FFFFFF"/>
                <w:sz w:val="19"/>
                <w:szCs w:val="19"/>
              </w:rPr>
              <w:t xml:space="preserve">Ducto / tramo</w:t>
            </w:r>
          </w:p>
        </w:tc>
        <w:tc>
          <w:tcPr>
            <w:tcW w:type="dxa" w:w="900"/>
            <w:shd w:fill="0E7490" w:val="clear"/>
            <w:tcMar>
              <w:top w:type="dxa" w:w="70"/>
              <w:left w:type="dxa" w:w="110"/>
              <w:bottom w:type="dxa" w:w="70"/>
              <w:right w:type="dxa" w:w="110"/>
            </w:tcMar>
          </w:tcPr>
          <w:p>
            <w:pPr>
              <w:spacing w:after="0"/>
            </w:pPr>
            <w:r>
              <w:rPr>
                <w:b/>
                <w:bCs/>
                <w:color w:val="FFFFFF"/>
                <w:sz w:val="19"/>
                <w:szCs w:val="19"/>
              </w:rPr>
              <w:t xml:space="preserve">Long.</w:t>
            </w:r>
          </w:p>
        </w:tc>
        <w:tc>
          <w:tcPr>
            <w:tcW w:type="dxa" w:w="900"/>
            <w:shd w:fill="0E7490" w:val="clear"/>
            <w:tcMar>
              <w:top w:type="dxa" w:w="70"/>
              <w:left w:type="dxa" w:w="110"/>
              <w:bottom w:type="dxa" w:w="70"/>
              <w:right w:type="dxa" w:w="110"/>
            </w:tcMar>
          </w:tcPr>
          <w:p>
            <w:pPr>
              <w:spacing w:after="0"/>
            </w:pPr>
            <w:r>
              <w:rPr>
                <w:b/>
                <w:bCs/>
                <w:color w:val="FFFFFF"/>
                <w:sz w:val="19"/>
                <w:szCs w:val="19"/>
              </w:rPr>
              <w:t xml:space="preserve">Ø (pulg)</w:t>
            </w:r>
          </w:p>
        </w:tc>
        <w:tc>
          <w:tcPr>
            <w:tcW w:type="dxa" w:w="1500"/>
            <w:shd w:fill="0E7490" w:val="clear"/>
            <w:tcMar>
              <w:top w:type="dxa" w:w="70"/>
              <w:left w:type="dxa" w:w="110"/>
              <w:bottom w:type="dxa" w:w="70"/>
              <w:right w:type="dxa" w:w="110"/>
            </w:tcMar>
          </w:tcPr>
          <w:p>
            <w:pPr>
              <w:spacing w:after="0"/>
            </w:pPr>
            <w:r>
              <w:rPr>
                <w:b/>
                <w:bCs/>
                <w:color w:val="FFFFFF"/>
                <w:sz w:val="19"/>
                <w:szCs w:val="19"/>
              </w:rPr>
              <w:t xml:space="preserve">Capacidad</w:t>
            </w:r>
          </w:p>
        </w:tc>
        <w:tc>
          <w:tcPr>
            <w:tcW w:type="dxa" w:w="1600"/>
            <w:shd w:fill="0E7490" w:val="clear"/>
            <w:tcMar>
              <w:top w:type="dxa" w:w="70"/>
              <w:left w:type="dxa" w:w="110"/>
              <w:bottom w:type="dxa" w:w="70"/>
              <w:right w:type="dxa" w:w="110"/>
            </w:tcMar>
          </w:tcPr>
          <w:p>
            <w:pPr>
              <w:spacing w:after="0"/>
            </w:pPr>
            <w:r>
              <w:rPr>
                <w:b/>
                <w:bCs/>
                <w:color w:val="FFFFFF"/>
                <w:sz w:val="19"/>
                <w:szCs w:val="19"/>
              </w:rPr>
              <w:t xml:space="preserve">Operador</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OSSA-1</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Oleoducto Santa Cruz–Cochabamba (OSSA-1)</w:t>
            </w:r>
          </w:p>
        </w:tc>
        <w:tc>
          <w:tcPr>
            <w:tcW w:type="dxa" w:w="900"/>
            <w:tcMar>
              <w:top w:type="dxa" w:w="70"/>
              <w:left w:type="dxa" w:w="110"/>
              <w:bottom w:type="dxa" w:w="70"/>
              <w:right w:type="dxa" w:w="110"/>
            </w:tcMar>
          </w:tcPr>
          <w:p>
            <w:pPr>
              <w:spacing w:after="0"/>
            </w:pPr>
            <w:r>
              <w:rPr>
                <w:b w:val="false"/>
                <w:bCs w:val="false"/>
                <w:color w:val="0F172A"/>
                <w:sz w:val="19"/>
                <w:szCs w:val="19"/>
              </w:rPr>
              <w:t xml:space="preserve">494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12/10</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33.500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OSSA-2</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Oleoducto Cochabamba–Arica (OSSA-2)</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479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8/6</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18.000 BPD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OCC</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Oleoducto Carrasco–Cochabamba (OCC)</w:t>
            </w:r>
          </w:p>
        </w:tc>
        <w:tc>
          <w:tcPr>
            <w:tcW w:type="dxa" w:w="900"/>
            <w:tcMar>
              <w:top w:type="dxa" w:w="70"/>
              <w:left w:type="dxa" w:w="110"/>
              <w:bottom w:type="dxa" w:w="70"/>
              <w:right w:type="dxa" w:w="110"/>
            </w:tcMar>
          </w:tcPr>
          <w:p>
            <w:pPr>
              <w:spacing w:after="0"/>
            </w:pPr>
            <w:r>
              <w:rPr>
                <w:b w:val="false"/>
                <w:bCs w:val="false"/>
                <w:color w:val="0F172A"/>
                <w:sz w:val="19"/>
                <w:szCs w:val="19"/>
              </w:rPr>
              <w:t xml:space="preserve">246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10</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22.000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ONSZ-1</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Oleoducto Carrasco–Víbora–Caranda (ONSZ-1)</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193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12</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24.000 BPD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ONSZ-2</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Oleoducto Carrasco–Caranda (ONSZ-2)</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126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12</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20.000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OCSC</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Oleoducto Caranda–Santa Cruz (OCSC)</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72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10</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20.000 BPD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ORSZ</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Oleoducto Río Grande–Santa Cruz (ORSZ)</w:t>
            </w:r>
          </w:p>
        </w:tc>
        <w:tc>
          <w:tcPr>
            <w:tcW w:type="dxa" w:w="900"/>
            <w:tcMar>
              <w:top w:type="dxa" w:w="70"/>
              <w:left w:type="dxa" w:w="110"/>
              <w:bottom w:type="dxa" w:w="70"/>
              <w:right w:type="dxa" w:w="110"/>
            </w:tcMar>
          </w:tcPr>
          <w:p>
            <w:pPr>
              <w:spacing w:after="0"/>
            </w:pPr>
            <w:r>
              <w:rPr>
                <w:b w:val="false"/>
                <w:bCs w:val="false"/>
                <w:color w:val="0F172A"/>
                <w:sz w:val="19"/>
                <w:szCs w:val="19"/>
              </w:rPr>
              <w:t xml:space="preserve">51.6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8</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15.000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PRSZ</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Propanoducto Río Grande–Santa Cruz (PRSZ)</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48.3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6</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8.000 BPD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OCSZ-2</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Oleoducto Chorety–Santa Cruz (OCSZ-2)</w:t>
            </w:r>
          </w:p>
        </w:tc>
        <w:tc>
          <w:tcPr>
            <w:tcW w:type="dxa" w:w="900"/>
            <w:tcMar>
              <w:top w:type="dxa" w:w="70"/>
              <w:left w:type="dxa" w:w="110"/>
              <w:bottom w:type="dxa" w:w="70"/>
              <w:right w:type="dxa" w:w="110"/>
            </w:tcMar>
          </w:tcPr>
          <w:p>
            <w:pPr>
              <w:spacing w:after="0"/>
            </w:pPr>
            <w:r>
              <w:rPr>
                <w:b w:val="false"/>
                <w:bCs w:val="false"/>
                <w:color w:val="0F172A"/>
                <w:sz w:val="19"/>
                <w:szCs w:val="19"/>
              </w:rPr>
              <w:t xml:space="preserve">260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12</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59.100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OCY-1</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Oleoducto Camiri–Yacuiba (OCY-1)</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261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10</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18.000 BPD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OCY-2</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Oleoducto Camiri–Villamontes (OCY-2)</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164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8</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12.000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OCCH</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Oleoducto Cerrillos–Chorety</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56.7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6</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6.000 BPD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OSC</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Oleoducto Surubí–Carrasco (OSC)</w:t>
            </w:r>
          </w:p>
        </w:tc>
        <w:tc>
          <w:tcPr>
            <w:tcW w:type="dxa" w:w="900"/>
            <w:tcMar>
              <w:top w:type="dxa" w:w="70"/>
              <w:left w:type="dxa" w:w="110"/>
              <w:bottom w:type="dxa" w:w="70"/>
              <w:right w:type="dxa" w:w="110"/>
            </w:tcMar>
          </w:tcPr>
          <w:p>
            <w:pPr>
              <w:spacing w:after="0"/>
            </w:pPr>
            <w:r>
              <w:rPr>
                <w:b w:val="false"/>
                <w:bCs w:val="false"/>
                <w:color w:val="0F172A"/>
                <w:sz w:val="19"/>
                <w:szCs w:val="19"/>
              </w:rPr>
              <w:t xml:space="preserve">26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8</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10.000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bl>
    <w:p>
      <w:pPr>
        <w:spacing w:after="60" w:before="0"/>
      </w:pPr>
      <w:r>
        <w:rPr>
          <w:rFonts w:ascii="Calibri" w:cs="Calibri" w:eastAsia="Calibri" w:hAnsi="Calibri"/>
          <w:color w:val="0F172A"/>
          <w:sz w:val="22"/>
          <w:szCs w:val="22"/>
        </w:rPr>
        <w:t xml:space="preserve"/>
      </w:r>
    </w:p>
    <w:p>
      <w:pPr>
        <w:pStyle w:val="Heading2"/>
        <w:spacing w:after="140" w:before="240"/>
      </w:pPr>
      <w:r>
        <w:rPr>
          <w:color w:val="0F172A"/>
        </w:rPr>
        <w:t xml:space="preserve">3.3 Poliductos (5)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900"/>
        <w:gridCol w:w="900"/>
        <w:gridCol w:w="1500"/>
        <w:gridCol w:w="1600"/>
      </w:tblGrid>
      <w:tr>
        <w:tc>
          <w:tcPr>
            <w:tcW w:type="dxa" w:w="900"/>
            <w:shd w:fill="0E7490" w:val="clear"/>
            <w:tcMar>
              <w:top w:type="dxa" w:w="70"/>
              <w:left w:type="dxa" w:w="110"/>
              <w:bottom w:type="dxa" w:w="70"/>
              <w:right w:type="dxa" w:w="110"/>
            </w:tcMar>
          </w:tcPr>
          <w:p>
            <w:pPr>
              <w:spacing w:after="0"/>
            </w:pPr>
            <w:r>
              <w:rPr>
                <w:b/>
                <w:bCs/>
                <w:color w:val="FFFFFF"/>
                <w:sz w:val="19"/>
                <w:szCs w:val="19"/>
              </w:rPr>
              <w:t xml:space="preserve">ID</w:t>
            </w:r>
          </w:p>
        </w:tc>
        <w:tc>
          <w:tcPr>
            <w:tcW w:type="dxa" w:w="3800"/>
            <w:shd w:fill="0E7490" w:val="clear"/>
            <w:tcMar>
              <w:top w:type="dxa" w:w="70"/>
              <w:left w:type="dxa" w:w="110"/>
              <w:bottom w:type="dxa" w:w="70"/>
              <w:right w:type="dxa" w:w="110"/>
            </w:tcMar>
          </w:tcPr>
          <w:p>
            <w:pPr>
              <w:spacing w:after="0"/>
            </w:pPr>
            <w:r>
              <w:rPr>
                <w:b/>
                <w:bCs/>
                <w:color w:val="FFFFFF"/>
                <w:sz w:val="19"/>
                <w:szCs w:val="19"/>
              </w:rPr>
              <w:t xml:space="preserve">Ducto / tramo</w:t>
            </w:r>
          </w:p>
        </w:tc>
        <w:tc>
          <w:tcPr>
            <w:tcW w:type="dxa" w:w="900"/>
            <w:shd w:fill="0E7490" w:val="clear"/>
            <w:tcMar>
              <w:top w:type="dxa" w:w="70"/>
              <w:left w:type="dxa" w:w="110"/>
              <w:bottom w:type="dxa" w:w="70"/>
              <w:right w:type="dxa" w:w="110"/>
            </w:tcMar>
          </w:tcPr>
          <w:p>
            <w:pPr>
              <w:spacing w:after="0"/>
            </w:pPr>
            <w:r>
              <w:rPr>
                <w:b/>
                <w:bCs/>
                <w:color w:val="FFFFFF"/>
                <w:sz w:val="19"/>
                <w:szCs w:val="19"/>
              </w:rPr>
              <w:t xml:space="preserve">Long.</w:t>
            </w:r>
          </w:p>
        </w:tc>
        <w:tc>
          <w:tcPr>
            <w:tcW w:type="dxa" w:w="900"/>
            <w:shd w:fill="0E7490" w:val="clear"/>
            <w:tcMar>
              <w:top w:type="dxa" w:w="70"/>
              <w:left w:type="dxa" w:w="110"/>
              <w:bottom w:type="dxa" w:w="70"/>
              <w:right w:type="dxa" w:w="110"/>
            </w:tcMar>
          </w:tcPr>
          <w:p>
            <w:pPr>
              <w:spacing w:after="0"/>
            </w:pPr>
            <w:r>
              <w:rPr>
                <w:b/>
                <w:bCs/>
                <w:color w:val="FFFFFF"/>
                <w:sz w:val="19"/>
                <w:szCs w:val="19"/>
              </w:rPr>
              <w:t xml:space="preserve">Ø (pulg)</w:t>
            </w:r>
          </w:p>
        </w:tc>
        <w:tc>
          <w:tcPr>
            <w:tcW w:type="dxa" w:w="1500"/>
            <w:shd w:fill="0E7490" w:val="clear"/>
            <w:tcMar>
              <w:top w:type="dxa" w:w="70"/>
              <w:left w:type="dxa" w:w="110"/>
              <w:bottom w:type="dxa" w:w="70"/>
              <w:right w:type="dxa" w:w="110"/>
            </w:tcMar>
          </w:tcPr>
          <w:p>
            <w:pPr>
              <w:spacing w:after="0"/>
            </w:pPr>
            <w:r>
              <w:rPr>
                <w:b/>
                <w:bCs/>
                <w:color w:val="FFFFFF"/>
                <w:sz w:val="19"/>
                <w:szCs w:val="19"/>
              </w:rPr>
              <w:t xml:space="preserve">Capacidad</w:t>
            </w:r>
          </w:p>
        </w:tc>
        <w:tc>
          <w:tcPr>
            <w:tcW w:type="dxa" w:w="1600"/>
            <w:shd w:fill="0E7490" w:val="clear"/>
            <w:tcMar>
              <w:top w:type="dxa" w:w="70"/>
              <w:left w:type="dxa" w:w="110"/>
              <w:bottom w:type="dxa" w:w="70"/>
              <w:right w:type="dxa" w:w="110"/>
            </w:tcMar>
          </w:tcPr>
          <w:p>
            <w:pPr>
              <w:spacing w:after="0"/>
            </w:pPr>
            <w:r>
              <w:rPr>
                <w:b/>
                <w:bCs/>
                <w:color w:val="FFFFFF"/>
                <w:sz w:val="19"/>
                <w:szCs w:val="19"/>
              </w:rPr>
              <w:t xml:space="preserve">Operador</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PCS</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Poliducto Camiri–Sucre (PCS)</w:t>
            </w:r>
          </w:p>
        </w:tc>
        <w:tc>
          <w:tcPr>
            <w:tcW w:type="dxa" w:w="900"/>
            <w:tcMar>
              <w:top w:type="dxa" w:w="70"/>
              <w:left w:type="dxa" w:w="110"/>
              <w:bottom w:type="dxa" w:w="70"/>
              <w:right w:type="dxa" w:w="110"/>
            </w:tcMar>
          </w:tcPr>
          <w:p>
            <w:pPr>
              <w:spacing w:after="0"/>
            </w:pPr>
            <w:r>
              <w:rPr>
                <w:b w:val="false"/>
                <w:bCs w:val="false"/>
                <w:color w:val="0F172A"/>
                <w:sz w:val="19"/>
                <w:szCs w:val="19"/>
              </w:rPr>
              <w:t xml:space="preserve">385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6/4</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3.334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PSP</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Poliducto Sucre–Potosí (PSP)</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110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4</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2.500 BPD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PVT</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Poliducto Villamontes–Tarija (PVT)</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128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4</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2.200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PCSZ</w:t>
            </w:r>
          </w:p>
        </w:tc>
        <w:tc>
          <w:tcPr>
            <w:tcW w:type="dxa" w:w="3800"/>
            <w:shd w:fill="F1F5F9" w:val="clear"/>
            <w:tcMar>
              <w:top w:type="dxa" w:w="70"/>
              <w:left w:type="dxa" w:w="110"/>
              <w:bottom w:type="dxa" w:w="70"/>
              <w:right w:type="dxa" w:w="110"/>
            </w:tcMar>
          </w:tcPr>
          <w:p>
            <w:pPr>
              <w:spacing w:after="0"/>
            </w:pPr>
            <w:r>
              <w:rPr>
                <w:b w:val="false"/>
                <w:bCs w:val="false"/>
                <w:color w:val="0F172A"/>
                <w:sz w:val="19"/>
                <w:szCs w:val="19"/>
              </w:rPr>
              <w:t xml:space="preserve">Poliducto Camiri–Santa Cruz (PCSZ)</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268 km</w:t>
            </w:r>
          </w:p>
        </w:tc>
        <w:tc>
          <w:tcPr>
            <w:tcW w:type="dxa" w:w="900"/>
            <w:shd w:fill="F1F5F9" w:val="clear"/>
            <w:tcMar>
              <w:top w:type="dxa" w:w="70"/>
              <w:left w:type="dxa" w:w="110"/>
              <w:bottom w:type="dxa" w:w="70"/>
              <w:right w:type="dxa" w:w="110"/>
            </w:tcMar>
          </w:tcPr>
          <w:p>
            <w:pPr>
              <w:spacing w:after="0"/>
            </w:pPr>
            <w:r>
              <w:rPr>
                <w:b w:val="false"/>
                <w:bCs w:val="false"/>
                <w:color w:val="0F172A"/>
                <w:sz w:val="19"/>
                <w:szCs w:val="19"/>
              </w:rPr>
              <w:t xml:space="preserve">6</w:t>
            </w:r>
          </w:p>
        </w:tc>
        <w:tc>
          <w:tcPr>
            <w:tcW w:type="dxa" w:w="1500"/>
            <w:shd w:fill="F1F5F9" w:val="clear"/>
            <w:tcMar>
              <w:top w:type="dxa" w:w="70"/>
              <w:left w:type="dxa" w:w="110"/>
              <w:bottom w:type="dxa" w:w="70"/>
              <w:right w:type="dxa" w:w="110"/>
            </w:tcMar>
          </w:tcPr>
          <w:p>
            <w:pPr>
              <w:spacing w:after="0"/>
            </w:pPr>
            <w:r>
              <w:rPr>
                <w:b w:val="false"/>
                <w:bCs w:val="false"/>
                <w:color w:val="0F172A"/>
                <w:sz w:val="19"/>
                <w:szCs w:val="19"/>
              </w:rPr>
              <w:t xml:space="preserve">6.000 BPD</w:t>
            </w:r>
          </w:p>
        </w:tc>
        <w:tc>
          <w:tcPr>
            <w:tcW w:type="dxa" w:w="1600"/>
            <w:shd w:fill="F1F5F9" w:val="clear"/>
            <w:tcMar>
              <w:top w:type="dxa" w:w="70"/>
              <w:left w:type="dxa" w:w="110"/>
              <w:bottom w:type="dxa" w:w="70"/>
              <w:right w:type="dxa" w:w="110"/>
            </w:tcMar>
          </w:tcPr>
          <w:p>
            <w:pPr>
              <w:spacing w:after="0"/>
            </w:pPr>
            <w:r>
              <w:rPr>
                <w:b w:val="false"/>
                <w:bCs w:val="false"/>
                <w:color w:val="0F172A"/>
                <w:sz w:val="19"/>
                <w:szCs w:val="19"/>
              </w:rPr>
              <w:t xml:space="preserve">YPFB Transporte</w:t>
            </w:r>
          </w:p>
        </w:tc>
      </w:tr>
      <w:tr>
        <w:tc>
          <w:tcPr>
            <w:tcW w:type="dxa" w:w="900"/>
            <w:tcMar>
              <w:top w:type="dxa" w:w="70"/>
              <w:left w:type="dxa" w:w="110"/>
              <w:bottom w:type="dxa" w:w="70"/>
              <w:right w:type="dxa" w:w="110"/>
            </w:tcMar>
          </w:tcPr>
          <w:p>
            <w:pPr>
              <w:spacing w:after="0"/>
            </w:pPr>
            <w:r>
              <w:rPr>
                <w:b w:val="false"/>
                <w:bCs w:val="false"/>
                <w:color w:val="0F172A"/>
                <w:sz w:val="19"/>
                <w:szCs w:val="19"/>
              </w:rPr>
              <w:t xml:space="preserve">PCOLP</w:t>
            </w:r>
          </w:p>
        </w:tc>
        <w:tc>
          <w:tcPr>
            <w:tcW w:type="dxa" w:w="3800"/>
            <w:tcMar>
              <w:top w:type="dxa" w:w="70"/>
              <w:left w:type="dxa" w:w="110"/>
              <w:bottom w:type="dxa" w:w="70"/>
              <w:right w:type="dxa" w:w="110"/>
            </w:tcMar>
          </w:tcPr>
          <w:p>
            <w:pPr>
              <w:spacing w:after="0"/>
            </w:pPr>
            <w:r>
              <w:rPr>
                <w:b w:val="false"/>
                <w:bCs w:val="false"/>
                <w:color w:val="0F172A"/>
                <w:sz w:val="19"/>
                <w:szCs w:val="19"/>
              </w:rPr>
              <w:t xml:space="preserve">Poliducto Cochabamba–Oruro–La Paz (PCOLP II)</w:t>
            </w:r>
          </w:p>
        </w:tc>
        <w:tc>
          <w:tcPr>
            <w:tcW w:type="dxa" w:w="900"/>
            <w:tcMar>
              <w:top w:type="dxa" w:w="70"/>
              <w:left w:type="dxa" w:w="110"/>
              <w:bottom w:type="dxa" w:w="70"/>
              <w:right w:type="dxa" w:w="110"/>
            </w:tcMar>
          </w:tcPr>
          <w:p>
            <w:pPr>
              <w:spacing w:after="0"/>
            </w:pPr>
            <w:r>
              <w:rPr>
                <w:b w:val="false"/>
                <w:bCs w:val="false"/>
                <w:color w:val="0F172A"/>
                <w:sz w:val="19"/>
                <w:szCs w:val="19"/>
              </w:rPr>
              <w:t xml:space="preserve">167 km</w:t>
            </w:r>
          </w:p>
        </w:tc>
        <w:tc>
          <w:tcPr>
            <w:tcW w:type="dxa" w:w="900"/>
            <w:tcMar>
              <w:top w:type="dxa" w:w="70"/>
              <w:left w:type="dxa" w:w="110"/>
              <w:bottom w:type="dxa" w:w="70"/>
              <w:right w:type="dxa" w:w="110"/>
            </w:tcMar>
          </w:tcPr>
          <w:p>
            <w:pPr>
              <w:spacing w:after="0"/>
            </w:pPr>
            <w:r>
              <w:rPr>
                <w:b w:val="false"/>
                <w:bCs w:val="false"/>
                <w:color w:val="0F172A"/>
                <w:sz w:val="19"/>
                <w:szCs w:val="19"/>
              </w:rPr>
              <w:t xml:space="preserve">6</w:t>
            </w:r>
          </w:p>
        </w:tc>
        <w:tc>
          <w:tcPr>
            <w:tcW w:type="dxa" w:w="1500"/>
            <w:tcMar>
              <w:top w:type="dxa" w:w="70"/>
              <w:left w:type="dxa" w:w="110"/>
              <w:bottom w:type="dxa" w:w="70"/>
              <w:right w:type="dxa" w:w="110"/>
            </w:tcMar>
          </w:tcPr>
          <w:p>
            <w:pPr>
              <w:spacing w:after="0"/>
            </w:pPr>
            <w:r>
              <w:rPr>
                <w:b w:val="false"/>
                <w:bCs w:val="false"/>
                <w:color w:val="0F172A"/>
                <w:sz w:val="19"/>
                <w:szCs w:val="19"/>
              </w:rPr>
              <w:t xml:space="preserve">12.000 BPD</w:t>
            </w:r>
          </w:p>
        </w:tc>
        <w:tc>
          <w:tcPr>
            <w:tcW w:type="dxa" w:w="1600"/>
            <w:tcMar>
              <w:top w:type="dxa" w:w="70"/>
              <w:left w:type="dxa" w:w="110"/>
              <w:bottom w:type="dxa" w:w="70"/>
              <w:right w:type="dxa" w:w="110"/>
            </w:tcMar>
          </w:tcPr>
          <w:p>
            <w:pPr>
              <w:spacing w:after="0"/>
            </w:pPr>
            <w:r>
              <w:rPr>
                <w:b w:val="false"/>
                <w:bCs w:val="false"/>
                <w:color w:val="0F172A"/>
                <w:sz w:val="19"/>
                <w:szCs w:val="19"/>
              </w:rPr>
              <w:t xml:space="preserve">YPFB Logística</w:t>
            </w:r>
          </w:p>
        </w:tc>
      </w:tr>
    </w:tbl>
    <w:p>
      <w:pPr>
        <w:spacing w:after="160" w:before="0"/>
      </w:pPr>
      <w:r>
        <w:rPr>
          <w:rFonts w:ascii="Calibri" w:cs="Calibri" w:eastAsia="Calibri" w:hAnsi="Calibri"/>
          <w:i/>
          <w:iCs/>
          <w:color w:val="475569"/>
          <w:sz w:val="22"/>
          <w:szCs w:val="22"/>
        </w:rPr>
        <w:t xml:space="preserve">Los valores marcados (est.) en los JSON son estimaciones referenciales para completar el inventario donde no hay cifra pública; los trazados son aproximados. Total modelado: 32 ductos.</w:t>
      </w:r>
    </w:p>
    <w:p>
      <w:pPr>
        <w:pStyle w:val="Heading2"/>
        <w:spacing w:after="140" w:before="240"/>
      </w:pPr>
      <w:r>
        <w:rPr>
          <w:color w:val="0F172A"/>
        </w:rPr>
        <w:t xml:space="preserve">3.4 Estaciones (55)</w:t>
      </w:r>
    </w:p>
    <w:p>
      <w:pPr>
        <w:spacing w:after="160" w:before="0"/>
      </w:pPr>
      <w:r>
        <w:rPr>
          <w:rFonts w:ascii="Calibri" w:cs="Calibri" w:eastAsia="Calibri" w:hAnsi="Calibri"/>
          <w:color w:val="0F172A"/>
          <w:sz w:val="22"/>
          <w:szCs w:val="22"/>
        </w:rPr>
        <w:t xml:space="preserve">El catálogo cubre las 17 estaciones de compresión (Carrasco, Colpa, Río Grande, Lazo Sur, Samaipata, Oconi, Chilijchi, Huayñacota, Totoroco, Sica Sica, Saipurú, Taquiperenda, Caigua, Campo Grande, San Antonio, San Lorenzo y Villamontes-Transierra), las 18 de bombeo (cabeceras Santa Cruz y Cochabamba, Comarapa, Sayari, Sica Sica, Charaña, Terminal Marítima de Arica, Carrasco, Víbora, Caranda, Surubí, Chorety, Tatarenda, Cerrillos, Tigüipa, Pocitos, Río Grande-líquidos y Samaipata) y 20 de poliductos (terminales y estaciones intermedias de Camiri a Senkata, incluyendo Monteagudo, Padilla, Qhora Qhora, Abapó, Parotani, Caracollo y Puerto Villarroel). Cada estación registra tipo, sistema, departamento, coordenadas, potencia o capacidad, año y si su fuente es pública o referencial. Doce tienen score curado de factibilidad; el resto se puntúa determinísticamente en el backend.</w:t>
      </w:r>
    </w:p>
    <w:p>
      <w:pPr>
        <w:pStyle w:val="Heading1"/>
        <w:spacing w:after="200" w:before="320"/>
      </w:pPr>
      <w:r>
        <w:rPr>
          <w:color w:val="0E7490"/>
        </w:rPr>
        <w:t xml:space="preserve">4. Pozos y corredores de interconexión</w:t>
      </w:r>
    </w:p>
    <w:p>
      <w:pPr>
        <w:spacing w:after="160" w:before="0"/>
      </w:pPr>
      <w:r>
        <w:rPr>
          <w:rFonts w:ascii="Calibri" w:cs="Calibri" w:eastAsia="Calibri" w:hAnsi="Calibri"/>
          <w:color w:val="0F172A"/>
          <w:sz w:val="22"/>
          <w:szCs w:val="22"/>
        </w:rPr>
        <w:t xml:space="preserve">El archivo pozos.json modela 40 pozos y clusters con categoría (descubrimiento, desarrollo, en perforación, programado, estratigráfico o negativo), tipo de hidrocarburo, producción potencial, distancia a la red, diámetro sugerido, terreno y CAPEX de interconexión, organizados en cuatro corredores:</w:t>
      </w:r>
    </w:p>
    <w:p>
      <w:pPr>
        <w:pStyle w:val="ListParagraph"/>
        <w:numPr>
          <w:ilvl w:val="0"/>
          <w:numId w:val="2"/>
        </w:numPr>
        <w:spacing w:after="100"/>
      </w:pPr>
      <w:r>
        <w:rPr>
          <w:b/>
          <w:bCs/>
          <w:sz w:val="22"/>
          <w:szCs w:val="22"/>
        </w:rPr>
        <w:t xml:space="preserve">Corredor Subandino Norte: </w:t>
      </w:r>
      <w:r>
        <w:rPr>
          <w:sz w:val="22"/>
          <w:szCs w:val="22"/>
        </w:rPr>
        <w:t xml:space="preserve">cluster Mayaya (X1/X2/X3), Tomachi, Suapi, Madre Selva y Eva Eva; evacúa por el troncal nuevo Mayaya–Caranavi–Senkata (empalme GAA) y líquidos a Sica Sica. Es el de mayor CAPEX y mayor potencial.</w:t>
      </w:r>
    </w:p>
    <w:p>
      <w:pPr>
        <w:pStyle w:val="ListParagraph"/>
        <w:numPr>
          <w:ilvl w:val="0"/>
          <w:numId w:val="2"/>
        </w:numPr>
        <w:spacing w:after="100"/>
      </w:pPr>
      <w:r>
        <w:rPr>
          <w:b/>
          <w:bCs/>
          <w:sz w:val="22"/>
          <w:szCs w:val="22"/>
        </w:rPr>
        <w:t xml:space="preserve">Corredor Boomerang / Norte Integrado: </w:t>
      </w:r>
      <w:r>
        <w:rPr>
          <w:sz w:val="22"/>
          <w:szCs w:val="22"/>
        </w:rPr>
        <w:t xml:space="preserve">Remanso X1/X2, Yarará X1/X2, Yope, Chané NW, Las Delicias, Yapacaní Este, Sirari West, Curiche, Florida, Caranda X1005 y Montecristo; líneas cortas en llano hacia GCY/ONSZ. El menor costo por MMpcd incorporado.</w:t>
      </w:r>
    </w:p>
    <w:p>
      <w:pPr>
        <w:pStyle w:val="ListParagraph"/>
        <w:numPr>
          <w:ilvl w:val="0"/>
          <w:numId w:val="2"/>
        </w:numPr>
        <w:spacing w:after="100"/>
      </w:pPr>
      <w:r>
        <w:rPr>
          <w:b/>
          <w:bCs/>
          <w:sz w:val="22"/>
          <w:szCs w:val="22"/>
        </w:rPr>
        <w:t xml:space="preserve">Corredor Chuquisaca / Incahuasi: </w:t>
      </w:r>
      <w:r>
        <w:rPr>
          <w:sz w:val="22"/>
          <w:szCs w:val="22"/>
        </w:rPr>
        <w:t xml:space="preserve">Iñau X3D, Vitiacua, Yapucaiti, Charagua y Sararenda, más el desarrollo de Incahuasi (TotalEnergies); empalmes a GTC y GSCY.</w:t>
      </w:r>
    </w:p>
    <w:p>
      <w:pPr>
        <w:pStyle w:val="ListParagraph"/>
        <w:numPr>
          <w:ilvl w:val="0"/>
          <w:numId w:val="2"/>
        </w:numPr>
        <w:spacing w:after="100"/>
      </w:pPr>
      <w:r>
        <w:rPr>
          <w:b/>
          <w:bCs/>
          <w:sz w:val="22"/>
          <w:szCs w:val="22"/>
        </w:rPr>
        <w:t xml:space="preserve">Corredor Chaco / Villamontes: </w:t>
      </w:r>
      <w:r>
        <w:rPr>
          <w:sz w:val="22"/>
          <w:szCs w:val="22"/>
        </w:rPr>
        <w:t xml:space="preserve">Churumas, San Roque, San Ignacio, Astillero, Villamontes X7, Los Monos, cluster Chaco Este, Domo Oso, Ñupuco e Iñiguazu, junto al megacampo Margarita–Huacaya (ya conectado) y el caso Boyuy-X2 (resultado no comercial) como lección de riesgo; empalmes a GVT/GSCY/GASYRG y al sistema OCY para líquidos.</w:t>
      </w:r>
    </w:p>
    <w:p>
      <w:pPr>
        <w:spacing w:after="160" w:before="0"/>
      </w:pPr>
      <w:r>
        <w:rPr>
          <w:rFonts w:ascii="Calibri" w:cs="Calibri" w:eastAsia="Calibri" w:hAnsi="Calibri"/>
          <w:color w:val="0F172A"/>
          <w:sz w:val="22"/>
          <w:szCs w:val="22"/>
        </w:rPr>
        <w:t xml:space="preserve">El backend calcula por pozo el índice de prioridad (producción incorporable sobre CAPEX, ajustado por categoría), el costo en USD MM por MMpcd equivalente y la TIR estimada aplicando la tarifa del producto dominante, y agrega los resultados por corredor. El módulo Pozos permite filtrar, ordenar y ver en el mapa la línea de interconexión sugerida de cada pozo hasta su nodo de empalme.</w:t>
      </w:r>
    </w:p>
    <w:p>
      <w:pPr>
        <w:pStyle w:val="Heading1"/>
        <w:spacing w:after="200" w:before="320"/>
      </w:pPr>
      <w:r>
        <w:rPr>
          <w:color w:val="0E7490"/>
        </w:rPr>
        <w:t xml:space="preserve">5. El simulador: motor de cálculo</w:t>
      </w:r>
    </w:p>
    <w:p>
      <w:pPr>
        <w:spacing w:after="160" w:before="0"/>
      </w:pPr>
      <w:r>
        <w:rPr>
          <w:rFonts w:ascii="Calibri" w:cs="Calibri" w:eastAsia="Calibri" w:hAnsi="Calibri"/>
          <w:color w:val="0F172A"/>
          <w:sz w:val="22"/>
          <w:szCs w:val="22"/>
        </w:rPr>
        <w:t xml:space="preserve">El corazón del demo es un motor de cálculo en el backend con fórmulas documentadas y expuestas en la interfaz (cada pantalla tiene un desplegable 'Ver metodología'):</w:t>
      </w:r>
    </w:p>
    <w:p>
      <w:pPr>
        <w:pStyle w:val="ListParagraph"/>
        <w:numPr>
          <w:ilvl w:val="0"/>
          <w:numId w:val="2"/>
        </w:numPr>
        <w:spacing w:after="100"/>
      </w:pPr>
      <w:r>
        <w:rPr>
          <w:b/>
          <w:bCs/>
          <w:sz w:val="22"/>
          <w:szCs w:val="22"/>
        </w:rPr>
        <w:t xml:space="preserve">Capacidad de gasoductos: </w:t>
      </w:r>
      <w:r>
        <w:rPr>
          <w:sz w:val="22"/>
          <w:szCs w:val="22"/>
        </w:rPr>
        <w:t xml:space="preserve">ecuación de Weymouth simplificada en unidades de campo, con presiones de entrada/salida, gravedad específica, temperatura, factor Z y eficiencia parametrizables; resultado en MMpcd y MMm³/d, comparado contra la capacidad declarada de ductos reales similares.</w:t>
      </w:r>
    </w:p>
    <w:p>
      <w:pPr>
        <w:pStyle w:val="ListParagraph"/>
        <w:numPr>
          <w:ilvl w:val="0"/>
          <w:numId w:val="2"/>
        </w:numPr>
        <w:spacing w:after="100"/>
      </w:pPr>
      <w:r>
        <w:rPr>
          <w:b/>
          <w:bCs/>
          <w:sz w:val="22"/>
          <w:szCs w:val="22"/>
        </w:rPr>
        <w:t xml:space="preserve">Capacidad de líquidos: </w:t>
      </w:r>
      <w:r>
        <w:rPr>
          <w:sz w:val="22"/>
          <w:szCs w:val="22"/>
        </w:rPr>
        <w:t xml:space="preserve">Hazen-Williams con corrección por viscosidad según producto (crudo, crudo reconstituido, refinados, GLP); resultado en BPD.</w:t>
      </w:r>
    </w:p>
    <w:p>
      <w:pPr>
        <w:pStyle w:val="ListParagraph"/>
        <w:numPr>
          <w:ilvl w:val="0"/>
          <w:numId w:val="2"/>
        </w:numPr>
        <w:spacing w:after="100"/>
      </w:pPr>
      <w:r>
        <w:rPr>
          <w:b/>
          <w:bCs/>
          <w:sz w:val="22"/>
          <w:szCs w:val="22"/>
        </w:rPr>
        <w:t xml:space="preserve">CAPEX paramétrico: </w:t>
      </w:r>
      <w:r>
        <w:rPr>
          <w:sz w:val="22"/>
          <w:szCs w:val="22"/>
        </w:rPr>
        <w:t xml:space="preserve">costo unitario por pulgada-km según terreno (llano 45.000, pie de monte 62.000, montaña/selva 85.000 USD) con factor de ruta 1,25 sobre distancia geodésica.</w:t>
      </w:r>
    </w:p>
    <w:p>
      <w:pPr>
        <w:pStyle w:val="ListParagraph"/>
        <w:numPr>
          <w:ilvl w:val="0"/>
          <w:numId w:val="2"/>
        </w:numPr>
        <w:spacing w:after="100"/>
      </w:pPr>
      <w:r>
        <w:rPr>
          <w:b/>
          <w:bCs/>
          <w:sz w:val="22"/>
          <w:szCs w:val="22"/>
        </w:rPr>
        <w:t xml:space="preserve">Evaluación financiera: </w:t>
      </w:r>
      <w:r>
        <w:rPr>
          <w:sz w:val="22"/>
          <w:szCs w:val="22"/>
        </w:rPr>
        <w:t xml:space="preserve">flujo de caja a 25 años con OPEX de 3,5% del CAPEX, tarifas de referencia (estampilla interna 0,41 US$/MPC y demás parametrizables), VAN a tasa configurable, TIR por bisección, payback simple y descontado, y costo nivelado de transporte (LCOT).</w:t>
      </w:r>
    </w:p>
    <w:p>
      <w:pPr>
        <w:pStyle w:val="ListParagraph"/>
        <w:numPr>
          <w:ilvl w:val="0"/>
          <w:numId w:val="2"/>
        </w:numPr>
        <w:spacing w:after="100"/>
      </w:pPr>
      <w:r>
        <w:rPr>
          <w:b/>
          <w:bCs/>
          <w:sz w:val="22"/>
          <w:szCs w:val="22"/>
        </w:rPr>
        <w:t xml:space="preserve">Sensibilidad: </w:t>
      </w:r>
      <w:r>
        <w:rPr>
          <w:sz w:val="22"/>
          <w:szCs w:val="22"/>
        </w:rPr>
        <w:t xml:space="preserve">matriz 5×5 de TIR variando tarifa ±20% y utilización ±20% con semáforo verde/amarillo/rojo.</w:t>
      </w:r>
    </w:p>
    <w:p>
      <w:pPr>
        <w:pStyle w:val="ListParagraph"/>
        <w:numPr>
          <w:ilvl w:val="0"/>
          <w:numId w:val="2"/>
        </w:numPr>
        <w:spacing w:after="100"/>
      </w:pPr>
      <w:r>
        <w:rPr>
          <w:b/>
          <w:bCs/>
          <w:sz w:val="22"/>
          <w:szCs w:val="22"/>
        </w:rPr>
        <w:t xml:space="preserve">Nuevo ducto sobre el mapa: </w:t>
      </w:r>
      <w:r>
        <w:rPr>
          <w:sz w:val="22"/>
          <w:szCs w:val="22"/>
        </w:rPr>
        <w:t xml:space="preserve">el usuario marca origen y destino (click o nodos de la red), el sistema calcula longitud, sugiere el diámetro comercial mínimo que satisface el volumen objetivo, arma el CAPEX y el análisis financiero completo, y permite guardar y comparar escenarios con exportación a CSV.</w:t>
      </w:r>
    </w:p>
    <w:p>
      <w:pPr>
        <w:pStyle w:val="ListParagraph"/>
        <w:numPr>
          <w:ilvl w:val="0"/>
          <w:numId w:val="2"/>
        </w:numPr>
        <w:spacing w:after="100"/>
      </w:pPr>
      <w:r>
        <w:rPr>
          <w:b/>
          <w:bCs/>
          <w:sz w:val="22"/>
          <w:szCs w:val="22"/>
        </w:rPr>
        <w:t xml:space="preserve">Standby de estaciones: </w:t>
      </w:r>
      <w:r>
        <w:rPr>
          <w:sz w:val="22"/>
          <w:szCs w:val="22"/>
        </w:rPr>
        <w:t xml:space="preserve">simula el impacto de poner una estación en standby: capacidad afectada del sistema, ahorro de OPEX y score recalculado, con advertencias si es crítica.</w:t>
      </w:r>
    </w:p>
    <w:p>
      <w:pPr>
        <w:pStyle w:val="ListParagraph"/>
        <w:numPr>
          <w:ilvl w:val="0"/>
          <w:numId w:val="2"/>
        </w:numPr>
        <w:spacing w:after="100"/>
      </w:pPr>
      <w:r>
        <w:rPr>
          <w:b/>
          <w:bCs/>
          <w:sz w:val="22"/>
          <w:szCs w:val="22"/>
        </w:rPr>
        <w:t xml:space="preserve">Series y proyecciones: </w:t>
      </w:r>
      <w:r>
        <w:rPr>
          <w:sz w:val="22"/>
          <w:szCs w:val="22"/>
        </w:rPr>
        <w:t xml:space="preserve">históricos mensuales 2018-2025 y proyecciones 2026-2035 en tres escenarios (con entrada de Mayaya en 2027/2028/2031 según escenario y consolidación del SIT), generados con semilla fija para que el demo sea reproducible.</w:t>
      </w:r>
    </w:p>
    <w:p>
      <w:pPr>
        <w:pStyle w:val="Heading1"/>
        <w:spacing w:after="200" w:before="320"/>
      </w:pPr>
      <w:r>
        <w:rPr>
          <w:color w:val="0E7490"/>
        </w:rPr>
        <w:t xml:space="preserve">6. Visualización cartográfica</w:t>
      </w:r>
    </w:p>
    <w:p>
      <w:pPr>
        <w:spacing w:after="160" w:before="0"/>
      </w:pPr>
      <w:r>
        <w:rPr>
          <w:rFonts w:ascii="Calibri" w:cs="Calibri" w:eastAsia="Calibri" w:hAnsi="Calibri"/>
          <w:color w:val="0F172A"/>
          <w:sz w:val="22"/>
          <w:szCs w:val="22"/>
        </w:rPr>
        <w:t xml:space="preserve">El mapa (Leaflet + OpenStreetMap, sin claves de API) es el eje visual de la plataforma y se especifica en detalle en el prompt: fondos claro y oscuro conmutables; polilíneas coloreadas por sistema (rojo gasoductos, verde oleoductos, azul poliductos, ámbar punteado para propuestas) con grosor proporcional al diámetro; modo alternativo de color por utilización (verde &lt;60%, amarillo 60-85%, rojo &gt;85%); flechas de sentido de flujo sobre las líneas; simbología diferenciada para estaciones de compresión, bombeo y poliductos; íconos de pozos con halo por categoría; control de capas por tipo y subtipo; leyenda flotante permanente; buscador con autocompletado que vuela al elemento y abre su ficha; y paneles de detalle laterales en escritorio que se convierten en drawers inferiores en el celular. Al seleccionar un ducto se compara su capacidad declarada contra la teórica calculada por el motor, se muestra su utilización y se puede saltar directo a sus proyecciones o simular su expansión.</w:t>
      </w:r>
    </w:p>
    <w:p>
      <w:pPr>
        <w:pStyle w:val="Heading1"/>
        <w:spacing w:after="200" w:before="320"/>
      </w:pPr>
      <w:r>
        <w:rPr>
          <w:color w:val="0E7490"/>
        </w:rPr>
        <w:t xml:space="preserve">7. Arquitectura y módulos</w:t>
      </w:r>
    </w:p>
    <w:p>
      <w:pPr>
        <w:spacing w:after="160" w:before="0"/>
      </w:pPr>
      <w:r>
        <w:rPr>
          <w:rFonts w:ascii="Calibri" w:cs="Calibri" w:eastAsia="Calibri" w:hAnsi="Calibri"/>
          <w:color w:val="0F172A"/>
          <w:sz w:val="22"/>
          <w:szCs w:val="22"/>
        </w:rPr>
        <w:t xml:space="preserve">Monorepo React 18 + Vite + Tailwind (frontend) y Node 20 + Express (backend) donde Express sirve la API y el build estático: un solo servicio, sin base de datos, con datos JSON y generación determinística en memoria. Siete módulos con navegación de sidebar al estilo MineOps 360: Dashboard, Mapa, Simulador (5 pestañas), Proyecciones, Inversiones, Pozos y Estaciones, más un selector de escenario global (conservador/base/optimista) que afecta a toda la plataforma. La API expone 12 endpoints documentados en el prompt, incluyendo los POST del simulador.</w:t>
      </w:r>
    </w:p>
    <w:p>
      <w:pPr>
        <w:pStyle w:val="Heading1"/>
        <w:spacing w:after="200" w:before="320"/>
      </w:pPr>
      <w:r>
        <w:rPr>
          <w:color w:val="0E7490"/>
        </w:rPr>
        <w:t xml:space="preserve">8. Publicación: GitHub + Render</w:t>
      </w:r>
    </w:p>
    <w:p>
      <w:pPr>
        <w:pStyle w:val="ListParagraph"/>
        <w:numPr>
          <w:ilvl w:val="0"/>
          <w:numId w:val="2"/>
        </w:numPr>
        <w:spacing w:after="100"/>
      </w:pPr>
      <w:r>
        <w:rPr>
          <w:sz w:val="22"/>
          <w:szCs w:val="22"/>
        </w:rPr>
        <w:t xml:space="preserve">1. Ejecutar el prompt en Claude Code (sección 9) hasta completar el checklist de aceptación.</w:t>
      </w:r>
    </w:p>
    <w:p>
      <w:pPr>
        <w:pStyle w:val="ListParagraph"/>
        <w:numPr>
          <w:ilvl w:val="0"/>
          <w:numId w:val="2"/>
        </w:numPr>
        <w:spacing w:after="100"/>
      </w:pPr>
      <w:r>
        <w:rPr>
          <w:sz w:val="22"/>
          <w:szCs w:val="22"/>
        </w:rPr>
        <w:t xml:space="preserve">2. Repositorio público en GitHub: git init · add · commit · remote add origin · push (Claude Code lo deja listo).</w:t>
      </w:r>
    </w:p>
    <w:p>
      <w:pPr>
        <w:pStyle w:val="ListParagraph"/>
        <w:numPr>
          <w:ilvl w:val="0"/>
          <w:numId w:val="2"/>
        </w:numPr>
        <w:spacing w:after="100"/>
      </w:pPr>
      <w:r>
        <w:rPr>
          <w:sz w:val="22"/>
          <w:szCs w:val="22"/>
        </w:rPr>
        <w:t xml:space="preserve">3. Render → New Web Service → conectar el repo. Build: npm install &amp;&amp; npm run build. Start: npm start. Runtime Node.</w:t>
      </w:r>
    </w:p>
    <w:p>
      <w:pPr>
        <w:pStyle w:val="ListParagraph"/>
        <w:numPr>
          <w:ilvl w:val="0"/>
          <w:numId w:val="2"/>
        </w:numPr>
        <w:spacing w:after="100"/>
      </w:pPr>
      <w:r>
        <w:rPr>
          <w:sz w:val="22"/>
          <w:szCs w:val="22"/>
        </w:rPr>
        <w:t xml:space="preserve">4. URL pública tipo https://ductovision.onrender.com. El plan free duerme tras inactividad y tarda 30-60 s en despertar: abrir la URL minutos antes de presentar. Alternativas: Railway, Fly.io.</w:t>
      </w:r>
    </w:p>
    <w:p>
      <w:pPr>
        <w:pStyle w:val="Heading1"/>
        <w:spacing w:after="200" w:before="320"/>
      </w:pPr>
      <w:r>
        <w:rPr>
          <w:color w:val="0E7490"/>
        </w:rPr>
        <w:t xml:space="preserve">9. Cómo ejecutar el prompt en Claude Code</w:t>
      </w:r>
    </w:p>
    <w:p>
      <w:pPr>
        <w:pStyle w:val="ListParagraph"/>
        <w:numPr>
          <w:ilvl w:val="0"/>
          <w:numId w:val="2"/>
        </w:numPr>
        <w:spacing w:after="100"/>
      </w:pPr>
      <w:r>
        <w:rPr>
          <w:sz w:val="22"/>
          <w:szCs w:val="22"/>
        </w:rPr>
        <w:t xml:space="preserve">1. Crear una carpeta vacía y copiar dentro la carpeta data/ con los 4 JSON (sistemas, estaciones, pozos, proyectos_inversion).</w:t>
      </w:r>
    </w:p>
    <w:p>
      <w:pPr>
        <w:pStyle w:val="ListParagraph"/>
        <w:numPr>
          <w:ilvl w:val="0"/>
          <w:numId w:val="2"/>
        </w:numPr>
        <w:spacing w:after="100"/>
      </w:pPr>
      <w:r>
        <w:rPr>
          <w:sz w:val="22"/>
          <w:szCs w:val="22"/>
        </w:rPr>
        <w:t xml:space="preserve">2. Abrir la terminal en esa carpeta y ejecutar claude.</w:t>
      </w:r>
    </w:p>
    <w:p>
      <w:pPr>
        <w:pStyle w:val="ListParagraph"/>
        <w:numPr>
          <w:ilvl w:val="0"/>
          <w:numId w:val="2"/>
        </w:numPr>
        <w:spacing w:after="100"/>
      </w:pPr>
      <w:r>
        <w:rPr>
          <w:sz w:val="22"/>
          <w:szCs w:val="22"/>
        </w:rPr>
        <w:t xml:space="preserve">3. Pegar íntegro el contenido de PROMPT_CLAUDE_CODE.md. El prompt define 10 etapas de trabajo, ordena compactar contexto entre etapas para optimizar tokens, exige verificación del build y de los 12 endpoints, y prohíbe inventar entidades fuera de los JSON.</w:t>
      </w:r>
    </w:p>
    <w:p>
      <w:pPr>
        <w:pStyle w:val="ListParagraph"/>
        <w:numPr>
          <w:ilvl w:val="0"/>
          <w:numId w:val="2"/>
        </w:numPr>
        <w:spacing w:after="100"/>
      </w:pPr>
      <w:r>
        <w:rPr>
          <w:sz w:val="22"/>
          <w:szCs w:val="22"/>
        </w:rPr>
        <w:t xml:space="preserve">4. Validar contra el checklist de criterios de aceptación de la sección 13 del prompt.</w:t>
      </w:r>
    </w:p>
    <w:p>
      <w:pPr>
        <w:pStyle w:val="Heading1"/>
        <w:spacing w:after="200" w:before="320"/>
      </w:pPr>
      <w:r>
        <w:rPr>
          <w:color w:val="0E7490"/>
        </w:rPr>
        <w:t xml:space="preserve">10. Fuentes consultadas</w:t>
      </w:r>
    </w:p>
    <w:p>
      <w:pPr>
        <w:pStyle w:val="ListParagraph"/>
        <w:numPr>
          <w:ilvl w:val="0"/>
          <w:numId w:val="2"/>
        </w:numPr>
        <w:spacing w:after="100"/>
      </w:pPr>
      <w:r>
        <w:rPr>
          <w:sz w:val="22"/>
          <w:szCs w:val="22"/>
        </w:rPr>
        <w:t xml:space="preserve">YPFB Transporte S.A. — sitio institucional y memorias: sistemas, estaciones, cifras de red e inversiones 2025-2026.</w:t>
      </w:r>
    </w:p>
    <w:p>
      <w:pPr>
        <w:pStyle w:val="ListParagraph"/>
        <w:numPr>
          <w:ilvl w:val="0"/>
          <w:numId w:val="2"/>
        </w:numPr>
        <w:spacing w:after="100"/>
      </w:pPr>
      <w:r>
        <w:rPr>
          <w:sz w:val="22"/>
          <w:szCs w:val="22"/>
        </w:rPr>
        <w:t xml:space="preserve">YPFB Corporación — Rendición Pública de Cuentas 2025/2026 y notas de prensa: PRU, pozos, Mayaya, SIT.</w:t>
      </w:r>
    </w:p>
    <w:p>
      <w:pPr>
        <w:pStyle w:val="ListParagraph"/>
        <w:numPr>
          <w:ilvl w:val="0"/>
          <w:numId w:val="2"/>
        </w:numPr>
        <w:spacing w:after="100"/>
      </w:pPr>
      <w:r>
        <w:rPr>
          <w:sz w:val="22"/>
          <w:szCs w:val="22"/>
        </w:rPr>
        <w:t xml:space="preserve">ANH — registro de ductos, tarifas de transporte (gestión 2024) y marco regulatorio (DS 26116, DS 27354, DS 5206).</w:t>
      </w:r>
    </w:p>
    <w:p>
      <w:pPr>
        <w:pStyle w:val="ListParagraph"/>
        <w:numPr>
          <w:ilvl w:val="0"/>
          <w:numId w:val="2"/>
        </w:numPr>
        <w:spacing w:after="100"/>
      </w:pPr>
      <w:r>
        <w:rPr>
          <w:sz w:val="22"/>
          <w:szCs w:val="22"/>
        </w:rPr>
        <w:t xml:space="preserve">Gas TransBoliviano S.A. — capacidades, tarifas y presiones publicadas por libre acceso.</w:t>
      </w:r>
    </w:p>
    <w:p>
      <w:pPr>
        <w:pStyle w:val="ListParagraph"/>
        <w:numPr>
          <w:ilvl w:val="0"/>
          <w:numId w:val="2"/>
        </w:numPr>
        <w:spacing w:after="100"/>
      </w:pPr>
      <w:r>
        <w:rPr>
          <w:sz w:val="22"/>
          <w:szCs w:val="22"/>
        </w:rPr>
        <w:t xml:space="preserve">Prensa especializada y agencias (La Razón, El Mundo, Urgentebo, EnergyPress, Erbol, ABI, Unitel, Diario Financiero, BioBioChile) — inversiones, Reversa OSSA-2, SIT y Subandino Norte.</w:t>
      </w:r>
    </w:p>
    <w:p>
      <w:r>
        <w:br w:type="page"/>
      </w:r>
    </w:p>
    <w:p>
      <w:pPr>
        <w:pStyle w:val="Heading1"/>
        <w:spacing w:after="200" w:before="320"/>
      </w:pPr>
      <w:r>
        <w:rPr>
          <w:color w:val="0E7490"/>
        </w:rPr>
        <w:t xml:space="preserve">Anexo A — Prompt completo para Claude Code (v2)</w:t>
      </w:r>
    </w:p>
    <w:p>
      <w:pPr>
        <w:spacing w:after="160" w:before="0"/>
      </w:pPr>
      <w:r>
        <w:rPr>
          <w:rFonts w:ascii="Calibri" w:cs="Calibri" w:eastAsia="Calibri" w:hAnsi="Calibri"/>
          <w:i/>
          <w:iCs/>
          <w:color w:val="475569"/>
          <w:sz w:val="22"/>
          <w:szCs w:val="22"/>
        </w:rPr>
        <w:t xml:space="preserve">Contenido literal de PROMPT_CLAUDE_CODE.md:</w:t>
      </w:r>
    </w:p>
    <w:p>
      <w:pPr>
        <w:spacing w:after="36"/>
      </w:pPr>
      <w:r>
        <w:rPr>
          <w:rFonts w:ascii="Consolas" w:cs="Consolas" w:eastAsia="Consolas" w:hAnsi="Consolas"/>
          <w:b/>
          <w:bCs/>
          <w:color w:val="0E7490"/>
          <w:sz w:val="15"/>
          <w:szCs w:val="15"/>
        </w:rPr>
        <w:t xml:space="preserve"># PROMPT PARA CLAUDE CODE — "DuctoVision Bolivia" v2 (YPFB Transporte)</w:t>
      </w:r>
    </w:p>
    <w:p>
      <w:pPr>
        <w:spacing w:after="36"/>
      </w:pPr>
      <w:r>
        <w:rPr>
          <w:rFonts w:ascii="Consolas" w:cs="Consolas" w:eastAsia="Consolas" w:hAnsi="Consolas"/>
          <w:b/>
          <w:bCs/>
          <w:color w:val="0E7490"/>
          <w:sz w:val="15"/>
          <w:szCs w:val="15"/>
        </w:rPr>
        <w:t xml:space="preserve"># Demo-simulador de transporte de hidrocarburos por ductos para toma de decisiones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&gt; USO: crea una carpeta vacía, copia dentro la carpeta `data/` (sistemas.json, estaciones.json, pozos.json, proyectos_inversion.json), abre Claude Code y pega TODO este archivo como primer mensaje. Trabaja por etapas en el orden de la sección 12 y compacta contexto entre etapas para optimizar tokens.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1. ROL, OBJETIVO Y REFERENTE DE DISEÑO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Actúa como un equipo full-stack senior (arquitecto, frontend, backend, analista energético). Construye **DuctoVision Bolivia**: una plataforma web demo, en español, que es a la vez (a) un visualizador de la red completa de ductos de YPFB Transporte y subsidiarias, y (b) un **simulador estructurado de cálculos** hidráulicos, de capacidad y financieros para decisiones de transporte, inversión, interconexión de pozos y factibilidad de estaciones.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**Referente de diseño:** el patrón de plataforma integrada tipo "MineOps 360" (https://360-integrated-minin-t43c.bolt.host/): sidebar lateral izquierdo oscuro con módulos e íconos, barra superior con título del módulo y KPIs, área de contenido con tarjetas, mapa operativo central y simulación de escenarios. Replica ese patrón de navegación y densidad de información, no su contenido.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**Naturaleza de los datos (obligatorio comunicar):** infraestructura de fuentes públicas y referencial; trazados aproximados; series, finanzas y proyecciones simuladas determinísticamente. Banner fijo en el footer: "Demo con datos referenciales y simulados — no representa información oficial de YPFB Transporte S.A."</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2. STACK (no negociable)</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 Monorepo: `client/` (React 18 + Vite + Tailwind CSS + React Router + react-leaflet + Recharts) y `server/` (Node 20 + Express).</w:t>
      </w:r>
    </w:p>
    <w:p>
      <w:pPr>
        <w:spacing w:after="36"/>
      </w:pPr>
      <w:r>
        <w:rPr>
          <w:rFonts w:ascii="Consolas" w:cs="Consolas" w:eastAsia="Consolas" w:hAnsi="Consolas"/>
          <w:b w:val="false"/>
          <w:bCs w:val="false"/>
          <w:color w:val="0F172A"/>
          <w:sz w:val="15"/>
          <w:szCs w:val="15"/>
        </w:rPr>
        <w:t xml:space="preserve">- Express sirve `/api/*` y el build de `client/dist` en producción (un solo Web Service para Render free).</w:t>
      </w:r>
    </w:p>
    <w:p>
      <w:pPr>
        <w:spacing w:after="36"/>
      </w:pPr>
      <w:r>
        <w:rPr>
          <w:rFonts w:ascii="Consolas" w:cs="Consolas" w:eastAsia="Consolas" w:hAnsi="Consolas"/>
          <w:b w:val="false"/>
          <w:bCs w:val="false"/>
          <w:color w:val="0F172A"/>
          <w:sz w:val="15"/>
          <w:szCs w:val="15"/>
        </w:rPr>
        <w:t xml:space="preserve">- Sin base de datos: JSON en `server/data/` + generación determinística en memoria al arranque (PRNG mulberry32, semilla 20260704).</w:t>
      </w:r>
    </w:p>
    <w:p>
      <w:pPr>
        <w:spacing w:after="36"/>
      </w:pPr>
      <w:r>
        <w:rPr>
          <w:rFonts w:ascii="Consolas" w:cs="Consolas" w:eastAsia="Consolas" w:hAnsi="Consolas"/>
          <w:b w:val="false"/>
          <w:bCs w:val="false"/>
          <w:color w:val="0F172A"/>
          <w:sz w:val="15"/>
          <w:szCs w:val="15"/>
        </w:rPr>
        <w:t xml:space="preserve">- Idioma UI: español. Números formato es-BO (miles con punto, decimales con coma) mediante `Intl.NumberFormat('es-BO')`.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3. DATOS DE ENTRADA (copiar a server/data/ — fuente de verdad, NO inventar entidades)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 `sistemas.json`: 32 ductos individuales (14 gasoductos incl. GTB/GASYRG y derivadas, 13 oleoductos del registro ANH incl. propanoducto PRSZ, 5 poliductos) con id, tipo, mercado, operador, tramo, longitud, diámetros, capacidad+unidad, productos, año, estado y polilínea de coords.</w:t>
      </w:r>
    </w:p>
    <w:p>
      <w:pPr>
        <w:spacing w:after="36"/>
      </w:pPr>
      <w:r>
        <w:rPr>
          <w:rFonts w:ascii="Consolas" w:cs="Consolas" w:eastAsia="Consolas" w:hAnsi="Consolas"/>
          <w:b w:val="false"/>
          <w:bCs w:val="false"/>
          <w:color w:val="0F172A"/>
          <w:sz w:val="15"/>
          <w:szCs w:val="15"/>
        </w:rPr>
        <w:t xml:space="preserve">- `estaciones.json`: catálogo de 55 estaciones (17 compresión, 18 bombeo, 20 poliductos) con tipo, sistema asociado, depto, coords, potencia HP o capacidad BPD, año, fuente (publica|referencial); criterios de scoring con pesos; 12 scores curados; regla para generar los demás.</w:t>
      </w:r>
    </w:p>
    <w:p>
      <w:pPr>
        <w:spacing w:after="36"/>
      </w:pPr>
      <w:r>
        <w:rPr>
          <w:rFonts w:ascii="Consolas" w:cs="Consolas" w:eastAsia="Consolas" w:hAnsi="Consolas"/>
          <w:b w:val="false"/>
          <w:bCs w:val="false"/>
          <w:color w:val="0F172A"/>
          <w:sz w:val="15"/>
          <w:szCs w:val="15"/>
        </w:rPr>
        <w:t xml:space="preserve">- `pozos.json`: 40 pozos/clusters del PRU y operadoras privadas con categoría (descubrimiento|desarrollo|perforacion|programado|estratigrafico|negativo), tipo de hidrocarburo, producción potencial, coords, corredor, distancia a red, diámetro sugerido, terreno, CAPEX de interconexión y prioridad; más 4 corredores de interconexión (Norte, Boomerang, Chuquisaca, Chaco).</w:t>
      </w:r>
    </w:p>
    <w:p>
      <w:pPr>
        <w:spacing w:after="36"/>
      </w:pPr>
      <w:r>
        <w:rPr>
          <w:rFonts w:ascii="Consolas" w:cs="Consolas" w:eastAsia="Consolas" w:hAnsi="Consolas"/>
          <w:b w:val="false"/>
          <w:bCs w:val="false"/>
          <w:color w:val="0F172A"/>
          <w:sz w:val="15"/>
          <w:szCs w:val="15"/>
        </w:rPr>
        <w:t xml:space="preserve">- `proyectos_inversion.json`: parámetros financieros globales (tasa 10%, vida 25 años, OPEX 3,5% CAPEX, CAPEX unitario por pulgada-km por terreno, factor de ruta 1,25, tarifas de referencia) y 5 macroproyectos con fases, CAPEX y escenarios ROI precargados.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4. MOTOR DE CÁLCULO (server/services/engine.js) — implementar EXACTAMENTE estas fórmulas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Documenta cada fórmula en JSDoc y expórtalas puras (testeables).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**4.1 Capacidad de gasoducto — Weymouth simplificado (unidades de campo):**</w:t>
      </w:r>
    </w:p>
    <w:p>
      <w:pPr>
        <w:spacing w:after="36"/>
      </w:pPr>
      <w:r>
        <w:rPr>
          <w:rFonts w:ascii="Consolas" w:cs="Consolas" w:eastAsia="Consolas" w:hAnsi="Consolas"/>
          <w:b w:val="false"/>
          <w:bCs w:val="false"/>
          <w:color w:val="0F172A"/>
          <w:sz w:val="15"/>
          <w:szCs w:val="15"/>
        </w:rPr>
        <w:t xml:space="preserve">`Q = 433.5 * (Tb/Pb) * d^(8/3) * sqrt((P1^2 - P2^2) / (G * Tf * L * Z)) * E`</w:t>
      </w:r>
    </w:p>
    <w:p>
      <w:pPr>
        <w:spacing w:after="36"/>
      </w:pPr>
      <w:r>
        <w:rPr>
          <w:rFonts w:ascii="Consolas" w:cs="Consolas" w:eastAsia="Consolas" w:hAnsi="Consolas"/>
          <w:b w:val="false"/>
          <w:bCs w:val="false"/>
          <w:color w:val="0F172A"/>
          <w:sz w:val="15"/>
          <w:szCs w:val="15"/>
        </w:rPr>
        <w:t xml:space="preserve">Q en pcd; Tb=520 °R; Pb=14.7 psia; d=diámetro interno pulg (usar nominal - 0.5"); P1,P2 presiones psia (defaults 1200/600); G=0.65; Tf=530 °R; L=millas (km*0.621371); Z=0.88; E=eficiencia 0.92. Devolver en MMpcd y MMm³/d (1 m³ = 35.3147 pc).</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**4.2 Capacidad de líquidos — Hazen-Williams (agua eq.) con corrección por viscosidad:**</w:t>
      </w:r>
    </w:p>
    <w:p>
      <w:pPr>
        <w:spacing w:after="36"/>
      </w:pPr>
      <w:r>
        <w:rPr>
          <w:rFonts w:ascii="Consolas" w:cs="Consolas" w:eastAsia="Consolas" w:hAnsi="Consolas"/>
          <w:b w:val="false"/>
          <w:bCs w:val="false"/>
          <w:color w:val="0F172A"/>
          <w:sz w:val="15"/>
          <w:szCs w:val="15"/>
        </w:rPr>
        <w:t xml:space="preserve">`Q_bpd = 0.148 * C * d^2.63 * (ΔP_psi_por_milla)^0.54` con C=120 (acero), luego `Q_producto = Q_bpd * f_visc` donde f_visc: crudo liviano 0.85, crudo reconstituido 0.75, refinados 0.95, GLP 1.0. Default ΔP=25 psi/milla.</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**4.3 CAPEX de ducto nuevo:** `CAPEX = diámetro_pulg × longitud_km × costo_unitario(terreno) × factor_ruta(1.25 si la longitud viene de distancia geodésica; 1.0 si el usuario da longitud real)`. Distancia geodésica con Haversine.</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**4.4 Financiero:** flujo anual `F_t = Ingresos_t − OPEX_t` con `Ingresos = volumen_diseño × utilización × tarifa × factor_conversión_anual` (MMpcd→MPC/año ×365×1000; MMm³/d→MPC/año ×365×35.3147×1000/1000; BPD→bbl/año ×365). CAPEX en año 0 (o por fases en años 0-2 si hay fases). Calcular: **VAN** (tasa parametrizable, default 10%), **TIR** (bisección entre −50% y 100%, tolerancia 1e-6), **payback simple y descontado**, **LCOT** (costo nivelado de transporte = (CAPEX anualizado + OPEX) / volumen anual, en US$/MPC o US$/bbl).</w:t>
      </w:r>
    </w:p>
    <w:p>
      <w:pPr>
        <w:spacing w:after="36"/>
      </w:pPr>
      <w:r>
        <w:rPr>
          <w:rFonts w:ascii="Consolas" w:cs="Consolas" w:eastAsia="Consolas" w:hAnsi="Consolas"/>
          <w:b w:val="false"/>
          <w:bCs w:val="false"/>
          <w:color w:val="0F172A"/>
          <w:sz w:val="15"/>
          <w:szCs w:val="15"/>
        </w:rPr>
        <w:t xml:space="preserve">**4.5 Sensibilidad:** matriz 5×5 de TIR variando tarifa {−20,−10,0,+10,+20}% × utilización {−20,−10,0,+10,+20}%.</w:t>
      </w:r>
    </w:p>
    <w:p>
      <w:pPr>
        <w:spacing w:after="36"/>
      </w:pPr>
      <w:r>
        <w:rPr>
          <w:rFonts w:ascii="Consolas" w:cs="Consolas" w:eastAsia="Consolas" w:hAnsi="Consolas"/>
          <w:b w:val="false"/>
          <w:bCs w:val="false"/>
          <w:color w:val="0F172A"/>
          <w:sz w:val="15"/>
          <w:szCs w:val="15"/>
        </w:rPr>
        <w:t xml:space="preserve">**4.6 Ranking de pozos:** `indice = (gas_mmpcd + liquidos_bpd/500) / capex_interconexion` × factor de categoría (descubrimiento 1.0, desarrollo 1.0, perforacion 0.8, programado 0.55, estratigrafico 0.35, negativo 0) ; ordenar descendente; exponer USD MM por MMpcd equivalente y TIR por pozo (usar 4.4 con tarifa del producto dominante).</w:t>
      </w:r>
    </w:p>
    <w:p>
      <w:pPr>
        <w:spacing w:after="36"/>
      </w:pPr>
      <w:r>
        <w:rPr>
          <w:rFonts w:ascii="Consolas" w:cs="Consolas" w:eastAsia="Consolas" w:hAnsi="Consolas"/>
          <w:b w:val="false"/>
          <w:bCs w:val="false"/>
          <w:color w:val="0F172A"/>
          <w:sz w:val="15"/>
          <w:szCs w:val="15"/>
        </w:rPr>
        <w:t xml:space="preserve">**4.7 Scoring de estaciones:** score = Σ(sub_score_i × peso_i). Sub-scores de los 12 curados vienen del JSON; para el resto generarlos determinísticamente en [30,95] correlacionados con la utilización del ducto asociado. Recomendación: ≥70 mantener, 55-69 optimizar, &lt;55 evaluar standby.</w:t>
      </w:r>
    </w:p>
    <w:p>
      <w:pPr>
        <w:spacing w:after="36"/>
      </w:pPr>
      <w:r>
        <w:rPr>
          <w:rFonts w:ascii="Consolas" w:cs="Consolas" w:eastAsia="Consolas" w:hAnsi="Consolas"/>
          <w:b w:val="false"/>
          <w:bCs w:val="false"/>
          <w:color w:val="0F172A"/>
          <w:sz w:val="15"/>
          <w:szCs w:val="15"/>
        </w:rPr>
        <w:t xml:space="preserve">**4.8 Series históricas 2018-01→2025-12 por ducto:** volumen = capacidad × utilización_base × (1+tendencia)^años × estacionalidad × (1+ruido±6%). Utilización base/tendencia: gas exportación 55%/−4% anual; gas interno 68%/0% con +8% mayo-agosto; oleoductos 52%/−3%; poliductos 84%/+2%. Desde 2025-04, GSCY, GASYRG y GTB suman gas en tránsito: rampa 1,5→4,5 MMm³/d en 6 meses. Ingresos = volumen × tarifa del mercado del ducto.</w:t>
      </w:r>
    </w:p>
    <w:p>
      <w:pPr>
        <w:spacing w:after="36"/>
      </w:pPr>
      <w:r>
        <w:rPr>
          <w:rFonts w:ascii="Consolas" w:cs="Consolas" w:eastAsia="Consolas" w:hAnsi="Consolas"/>
          <w:b w:val="false"/>
          <w:bCs w:val="false"/>
          <w:color w:val="0F172A"/>
          <w:sz w:val="15"/>
          <w:szCs w:val="15"/>
        </w:rPr>
        <w:t xml:space="preserve">**4.9 Proyecciones 2026-01→2035-12, 3 escenarios:** base = tendencia + Mayaya entra 2028 con rampa 2→10 MMm³/d en 3 años (suma al GAA y al corredor Norte) + SIT consolidado en 8 MMm³/d hacia 2030; conservador = base ×0.75 sin Mayaya hasta 2031; optimista = base ×1.20 con Mayaya desde 2027. Marcar por ducto el primer año con utilización &gt;90% ("requiere expansión").</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5. API REST (server/routes/, prefijo /api) — contratos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GET `/red/resumen` → `{ km:{total,gas,oleo,poli}, ductos:n, estaciones:{compresion,bombeo,poliducto}, potencia_hp, utilizacion_promedio_pct, ingresos_anualizados_usd_mm, volumen_ultimo_mes }`</w:t>
      </w:r>
    </w:p>
    <w:p>
      <w:pPr>
        <w:spacing w:after="36"/>
      </w:pPr>
      <w:r>
        <w:rPr>
          <w:rFonts w:ascii="Consolas" w:cs="Consolas" w:eastAsia="Consolas" w:hAnsi="Consolas"/>
          <w:b w:val="false"/>
          <w:bCs w:val="false"/>
          <w:color w:val="0F172A"/>
          <w:sz w:val="15"/>
          <w:szCs w:val="15"/>
        </w:rPr>
        <w:t xml:space="preserve">GET `/ductos` → lista resumida; GET `/ductos/:id` → ficha + serie histórica + proyecciones (3 escenarios) + capacidad Weymouth/HW teórica vs declarada.</w:t>
      </w:r>
    </w:p>
    <w:p>
      <w:pPr>
        <w:spacing w:after="36"/>
      </w:pPr>
      <w:r>
        <w:rPr>
          <w:rFonts w:ascii="Consolas" w:cs="Consolas" w:eastAsia="Consolas" w:hAnsi="Consolas"/>
          <w:b w:val="false"/>
          <w:bCs w:val="false"/>
          <w:color w:val="0F172A"/>
          <w:sz w:val="15"/>
          <w:szCs w:val="15"/>
        </w:rPr>
        <w:t xml:space="preserve">GET `/ductos/:id/series?metrica=volumen|ingresos&amp;escenario=base|conservador|optimista`</w:t>
      </w:r>
    </w:p>
    <w:p>
      <w:pPr>
        <w:spacing w:after="36"/>
      </w:pPr>
      <w:r>
        <w:rPr>
          <w:rFonts w:ascii="Consolas" w:cs="Consolas" w:eastAsia="Consolas" w:hAnsi="Consolas"/>
          <w:b w:val="false"/>
          <w:bCs w:val="false"/>
          <w:color w:val="0F172A"/>
          <w:sz w:val="15"/>
          <w:szCs w:val="15"/>
        </w:rPr>
        <w:t xml:space="preserve">GET `/estaciones` → catálogo completo con score y recomendación; GET `/estaciones/:id` → ficha + sub-scores + estaciones del mismo sistema.</w:t>
      </w:r>
    </w:p>
    <w:p>
      <w:pPr>
        <w:spacing w:after="36"/>
      </w:pPr>
      <w:r>
        <w:rPr>
          <w:rFonts w:ascii="Consolas" w:cs="Consolas" w:eastAsia="Consolas" w:hAnsi="Consolas"/>
          <w:b w:val="false"/>
          <w:bCs w:val="false"/>
          <w:color w:val="0F172A"/>
          <w:sz w:val="15"/>
          <w:szCs w:val="15"/>
        </w:rPr>
        <w:t xml:space="preserve">GET `/pozos?corredor=&amp;categoria=` → cartera con ranking, índice, USD/MMpcd y TIR; GET `/corredores` → 4 corredores con agregados (CAPEX total, volumen incorporable, TIR agregada).</w:t>
      </w:r>
    </w:p>
    <w:p>
      <w:pPr>
        <w:spacing w:after="36"/>
      </w:pPr>
      <w:r>
        <w:rPr>
          <w:rFonts w:ascii="Consolas" w:cs="Consolas" w:eastAsia="Consolas" w:hAnsi="Consolas"/>
          <w:b w:val="false"/>
          <w:bCs w:val="false"/>
          <w:color w:val="0F172A"/>
          <w:sz w:val="15"/>
          <w:szCs w:val="15"/>
        </w:rPr>
        <w:t xml:space="preserve">GET `/proyectos` y `/proyectos/:id` → ficha + flujo de caja 25 años por escenario + sensibilidad 5×5 + LCOT.</w:t>
      </w:r>
    </w:p>
    <w:p>
      <w:pPr>
        <w:spacing w:after="36"/>
      </w:pPr>
      <w:r>
        <w:rPr>
          <w:rFonts w:ascii="Consolas" w:cs="Consolas" w:eastAsia="Consolas" w:hAnsi="Consolas"/>
          <w:b w:val="false"/>
          <w:bCs w:val="false"/>
          <w:color w:val="0F172A"/>
          <w:sz w:val="15"/>
          <w:szCs w:val="15"/>
        </w:rPr>
        <w:t xml:space="preserve">POST `/simulador/gas` body `{diametro_pulg, longitud_km, p1_psia?, p2_psia?, eficiencia?}` → capacidad MMpcd/MMm³d + supuestos usados.</w:t>
      </w:r>
    </w:p>
    <w:p>
      <w:pPr>
        <w:spacing w:after="36"/>
      </w:pPr>
      <w:r>
        <w:rPr>
          <w:rFonts w:ascii="Consolas" w:cs="Consolas" w:eastAsia="Consolas" w:hAnsi="Consolas"/>
          <w:b w:val="false"/>
          <w:bCs w:val="false"/>
          <w:color w:val="0F172A"/>
          <w:sz w:val="15"/>
          <w:szCs w:val="15"/>
        </w:rPr>
        <w:t xml:space="preserve">POST `/simulador/liquidos` body `{diametro_pulg, dp_psi_milla?, producto}` → BPD.</w:t>
      </w:r>
    </w:p>
    <w:p>
      <w:pPr>
        <w:spacing w:after="36"/>
      </w:pPr>
      <w:r>
        <w:rPr>
          <w:rFonts w:ascii="Consolas" w:cs="Consolas" w:eastAsia="Consolas" w:hAnsi="Consolas"/>
          <w:b w:val="false"/>
          <w:bCs w:val="false"/>
          <w:color w:val="0F172A"/>
          <w:sz w:val="15"/>
          <w:szCs w:val="15"/>
        </w:rPr>
        <w:t xml:space="preserve">POST `/simulador/financiero` body `{capex_usd_mm | (diametro,longitud,terreno), volumen:{tipo:'gas'|'liquidos', valor, unidad}, utilizacion_pct, tarifa, tasa_pct?, horizonte?, opex_pct?}` → `{van, tir, payback, payback_desc, lcot, flujo:[{anio, ingreso, opex, neto, acumulado}], sensibilidad}`.</w:t>
      </w:r>
    </w:p>
    <w:p>
      <w:pPr>
        <w:spacing w:after="36"/>
      </w:pPr>
      <w:r>
        <w:rPr>
          <w:rFonts w:ascii="Consolas" w:cs="Consolas" w:eastAsia="Consolas" w:hAnsi="Consolas"/>
          <w:b w:val="false"/>
          <w:bCs w:val="false"/>
          <w:color w:val="0F172A"/>
          <w:sz w:val="15"/>
          <w:szCs w:val="15"/>
        </w:rPr>
        <w:t xml:space="preserve">POST `/simulador/nuevo-ducto` body `{origen:{lat,lng}|nodo_id, destino:{...}, tipo, volumen_objetivo, terreno}` → longitud (Haversine×1.25), diámetro sugerido (menor diámetro comercial de {4,6,8,10,12,16,20,24,32} cuya capacidad 4.1/4.2 ≥ volumen objetivo), CAPEX, financiero completo (usa tarifa según tipo).</w:t>
      </w:r>
    </w:p>
    <w:p>
      <w:pPr>
        <w:spacing w:after="36"/>
      </w:pPr>
      <w:r>
        <w:rPr>
          <w:rFonts w:ascii="Consolas" w:cs="Consolas" w:eastAsia="Consolas" w:hAnsi="Consolas"/>
          <w:b w:val="false"/>
          <w:bCs w:val="false"/>
          <w:color w:val="0F172A"/>
          <w:sz w:val="15"/>
          <w:szCs w:val="15"/>
        </w:rPr>
        <w:t xml:space="preserve">POST `/simulador/estacion-standby` body `{estacion_id, reduccion_capacidad_pct?}` → impacto en capacidad del sistema, ahorro OPEX anual estimado (2,2% del CAPEX equivalente de la estación, simulado), nuevo score y advertencias.</w:t>
      </w:r>
    </w:p>
    <w:p>
      <w:pPr>
        <w:spacing w:after="36"/>
      </w:pPr>
      <w:r>
        <w:rPr>
          <w:rFonts w:ascii="Consolas" w:cs="Consolas" w:eastAsia="Consolas" w:hAnsi="Consolas"/>
          <w:b w:val="false"/>
          <w:bCs w:val="false"/>
          <w:color w:val="0F172A"/>
          <w:sz w:val="15"/>
          <w:szCs w:val="15"/>
        </w:rPr>
        <w:t xml:space="preserve">Errores uniformes `{error}`, validación de body con mensajes claros, CORS, compression.</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6. FRONTEND — LAYOUT (patrón MineOps 360)</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 **Sidebar izquierdo fijo** (w-64, colapsable a íconos w-16; en móvil se oculta y se abre como drawer con hamburguesa): fondo `#0b1220`, texto slate-300, ítem activo con barra de acento y fondo `#12203a`. Módulos con íconos lucide-react: Dashboard (LayoutDashboard), Mapa (Map), Simulador (Calculator), Proyecciones (TrendingUp), Inversiones (Landmark), Pozos (Fuel/Drill), Estaciones (Factory).</w:t>
      </w:r>
    </w:p>
    <w:p>
      <w:pPr>
        <w:spacing w:after="36"/>
      </w:pPr>
      <w:r>
        <w:rPr>
          <w:rFonts w:ascii="Consolas" w:cs="Consolas" w:eastAsia="Consolas" w:hAnsi="Consolas"/>
          <w:b w:val="false"/>
          <w:bCs w:val="false"/>
          <w:color w:val="0F172A"/>
          <w:sz w:val="15"/>
          <w:szCs w:val="15"/>
        </w:rPr>
        <w:t xml:space="preserve">- **Topbar**: título del módulo, chips de contexto (fecha simulada, escenario activo global), botón de escenario (conservador/base/optimista) persistente en un React Context que afecta a todas las vistas.</w:t>
      </w:r>
    </w:p>
    <w:p>
      <w:pPr>
        <w:spacing w:after="36"/>
      </w:pPr>
      <w:r>
        <w:rPr>
          <w:rFonts w:ascii="Consolas" w:cs="Consolas" w:eastAsia="Consolas" w:hAnsi="Consolas"/>
          <w:b w:val="false"/>
          <w:bCs w:val="false"/>
          <w:color w:val="0F172A"/>
          <w:sz w:val="15"/>
          <w:szCs w:val="15"/>
        </w:rPr>
        <w:t xml:space="preserve">- Contenido claro: fondo `#f8fafc`, tarjetas blancas `rounded-2xl shadow-sm border border-slate-200`.</w:t>
      </w:r>
    </w:p>
    <w:p>
      <w:pPr>
        <w:spacing w:after="36"/>
      </w:pPr>
      <w:r>
        <w:rPr>
          <w:rFonts w:ascii="Consolas" w:cs="Consolas" w:eastAsia="Consolas" w:hAnsi="Consolas"/>
          <w:b w:val="false"/>
          <w:bCs w:val="false"/>
          <w:color w:val="0F172A"/>
          <w:sz w:val="15"/>
          <w:szCs w:val="15"/>
        </w:rPr>
        <w:t xml:space="preserve">- Colores de dominio: gasoductos `#dc2626`, oleoductos `#16a34a`, poliductos `#2563eb`, propuestas/inversión `#d97706` (dash), acento UI `#0e7490`. Tipografía Inter.</w:t>
      </w:r>
    </w:p>
    <w:p>
      <w:pPr>
        <w:spacing w:after="36"/>
      </w:pPr>
      <w:r>
        <w:rPr>
          <w:rFonts w:ascii="Consolas" w:cs="Consolas" w:eastAsia="Consolas" w:hAnsi="Consolas"/>
          <w:b w:val="false"/>
          <w:bCs w:val="false"/>
          <w:color w:val="0F172A"/>
          <w:sz w:val="15"/>
          <w:szCs w:val="15"/>
        </w:rPr>
        <w:t xml:space="preserve">- Footer con disclaimer en todas las vistas.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7. ESPECIFICACIÓN CARTOGRÁFICA (aplica a Mapa, Inversiones y Simulador de nuevo ducto)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 Leaflet, tiles OSM estándar + selector de fondo "Claro | Oscuro" (CartoDB positron / dark_matter). Centro (−17.0, −64.5), zoom 6, `maxBounds` Bolivia ampliado.</w:t>
      </w:r>
    </w:p>
    <w:p>
      <w:pPr>
        <w:spacing w:after="36"/>
      </w:pPr>
      <w:r>
        <w:rPr>
          <w:rFonts w:ascii="Consolas" w:cs="Consolas" w:eastAsia="Consolas" w:hAnsi="Consolas"/>
          <w:b w:val="false"/>
          <w:bCs w:val="false"/>
          <w:color w:val="0F172A"/>
          <w:sz w:val="15"/>
          <w:szCs w:val="15"/>
        </w:rPr>
        <w:t xml:space="preserve">- **Simbología de ductos:** polilíneas color por tipo; **grosor = 1.5 + diámetro_pulg × 0.18 px**; opacidad 0.85; propuestas en dash "8 6" ámbar. **Modo de color alternativo "Utilización"** (toggle en la leyenda): degradado verde `&lt;60%`, amarillo `60-85%`, rojo `&gt;85%` sobre la utilización del último mes.</w:t>
      </w:r>
    </w:p>
    <w:p>
      <w:pPr>
        <w:spacing w:after="36"/>
      </w:pPr>
      <w:r>
        <w:rPr>
          <w:rFonts w:ascii="Consolas" w:cs="Consolas" w:eastAsia="Consolas" w:hAnsi="Consolas"/>
          <w:b w:val="false"/>
          <w:bCs w:val="false"/>
          <w:color w:val="0F172A"/>
          <w:sz w:val="15"/>
          <w:szCs w:val="15"/>
        </w:rPr>
        <w:t xml:space="preserve">- **Sentido de flujo:** triángulos SVG decorativos cada ~80 px a lo largo de la línea (implementa un componente propio con `L.polylineDecorator` de leaflet-polylinedecorator, o triángulos calculados en puntos intermedios si prefieres no añadir la dependencia — decide y documenta).</w:t>
      </w:r>
    </w:p>
    <w:p>
      <w:pPr>
        <w:spacing w:after="36"/>
      </w:pPr>
      <w:r>
        <w:rPr>
          <w:rFonts w:ascii="Consolas" w:cs="Consolas" w:eastAsia="Consolas" w:hAnsi="Consolas"/>
          <w:b w:val="false"/>
          <w:bCs w:val="false"/>
          <w:color w:val="0F172A"/>
          <w:sz w:val="15"/>
          <w:szCs w:val="15"/>
        </w:rPr>
        <w:t xml:space="preserve">- **Estaciones:** circleMarker; compresión ▲ (triángulo divIcon), bombeo ● , poliducto ■ ; tamaño 8-12 px; color del sistema; tooltip nombre+tipo.</w:t>
      </w:r>
    </w:p>
    <w:p>
      <w:pPr>
        <w:spacing w:after="36"/>
      </w:pPr>
      <w:r>
        <w:rPr>
          <w:rFonts w:ascii="Consolas" w:cs="Consolas" w:eastAsia="Consolas" w:hAnsi="Consolas"/>
          <w:b w:val="false"/>
          <w:bCs w:val="false"/>
          <w:color w:val="0F172A"/>
          <w:sz w:val="15"/>
          <w:szCs w:val="15"/>
        </w:rPr>
        <w:t xml:space="preserve">- **Pozos:** divIcon 🛢 con halo por categoría (verde descubrimiento/desarrollo, azul perforación, gris programado/estratigráfico, rojo negativo).</w:t>
      </w:r>
    </w:p>
    <w:p>
      <w:pPr>
        <w:spacing w:after="36"/>
      </w:pPr>
      <w:r>
        <w:rPr>
          <w:rFonts w:ascii="Consolas" w:cs="Consolas" w:eastAsia="Consolas" w:hAnsi="Consolas"/>
          <w:b w:val="false"/>
          <w:bCs w:val="false"/>
          <w:color w:val="0F172A"/>
          <w:sz w:val="15"/>
          <w:szCs w:val="15"/>
        </w:rPr>
        <w:t xml:space="preserve">- **Control de capas propio** (panel flotante): checkboxes Gasoductos/Oleoductos/Poliductos/Estaciones (por subtipo)/Pozos (por categoría)/Corredores/Proyectos. **Leyenda flotante** siempre visible con simbología y modo de color. **Buscador** con autocompletado de ducto/estación/pozo que hace flyTo y abre su ficha.</w:t>
      </w:r>
    </w:p>
    <w:p>
      <w:pPr>
        <w:spacing w:after="36"/>
      </w:pPr>
      <w:r>
        <w:rPr>
          <w:rFonts w:ascii="Consolas" w:cs="Consolas" w:eastAsia="Consolas" w:hAnsi="Consolas"/>
          <w:b w:val="false"/>
          <w:bCs w:val="false"/>
          <w:color w:val="0F172A"/>
          <w:sz w:val="15"/>
          <w:szCs w:val="15"/>
        </w:rPr>
        <w:t xml:space="preserve">- **Interacción:** hover=tooltip; click en ducto → resalta (grosor+2, resto opacidad 0.25) y abre panel lateral derecho (drawer inferior 60vh en móvil) con ficha completa: tramo, longitud, diámetros, capacidad declarada vs teórica (Weymouth/HW), barra de utilización, productos, estaciones del ducto (lista clickeable), sparkline 12 meses, botones "Proyecciones" y "Simular expansión" (lleva al Simulador con datos precargados).</w:t>
      </w:r>
    </w:p>
    <w:p>
      <w:pPr>
        <w:spacing w:after="36"/>
      </w:pPr>
      <w:r>
        <w:rPr>
          <w:rFonts w:ascii="Consolas" w:cs="Consolas" w:eastAsia="Consolas" w:hAnsi="Consolas"/>
          <w:b w:val="false"/>
          <w:bCs w:val="false"/>
          <w:color w:val="0F172A"/>
          <w:sz w:val="15"/>
          <w:szCs w:val="15"/>
        </w:rPr>
        <w:t xml:space="preserve">- Controles: zoom, escala métrica, botón fullscreen, botón "recentrar Bolivia".</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8. MÓDULOS (7 vistas React Router)</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 Dashboard**: 8 KPIs (km total, km por tipo ×3, nº estaciones, volumen gas último mes, volumen líquidos último mes, ingresos anualizados); área apilada de volumen por sistema 2022-2025; barras top-8 ductos por ingresos; tarjeta SIT con mini-serie del gas en tránsito; tabla "Alertas de decisión" (estaciones score&lt;55, ductos util&lt;35% o &gt;85%, pozos prioridad 1 sin conectar) con links a los módulos.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**/mapa**: sección 7 a pantalla completa del área de contenido.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**/simulador** (corazón del demo; tabs):</w:t>
      </w:r>
    </w:p>
    <w:p>
      <w:pPr>
        <w:spacing w:after="36"/>
      </w:pPr>
      <w:r>
        <w:rPr>
          <w:rFonts w:ascii="Consolas" w:cs="Consolas" w:eastAsia="Consolas" w:hAnsi="Consolas"/>
          <w:b w:val="false"/>
          <w:bCs w:val="false"/>
          <w:color w:val="0F172A"/>
          <w:sz w:val="15"/>
          <w:szCs w:val="15"/>
        </w:rPr>
        <w:t xml:space="preserve">1. *Capacidad de gas*: formulario (diámetro select comercial, longitud, presiones, eficiencia) → resultado grande MMpcd/MMm³d + tabla de supuestos + comparación con ductos reales similares.</w:t>
      </w:r>
    </w:p>
    <w:p>
      <w:pPr>
        <w:spacing w:after="36"/>
      </w:pPr>
      <w:r>
        <w:rPr>
          <w:rFonts w:ascii="Consolas" w:cs="Consolas" w:eastAsia="Consolas" w:hAnsi="Consolas"/>
          <w:b w:val="false"/>
          <w:bCs w:val="false"/>
          <w:color w:val="0F172A"/>
          <w:sz w:val="15"/>
          <w:szCs w:val="15"/>
        </w:rPr>
        <w:t xml:space="preserve">2. *Capacidad de líquidos*: formulario análogo (producto, ΔP) → BPD.</w:t>
      </w:r>
    </w:p>
    <w:p>
      <w:pPr>
        <w:spacing w:after="36"/>
      </w:pPr>
      <w:r>
        <w:rPr>
          <w:rFonts w:ascii="Consolas" w:cs="Consolas" w:eastAsia="Consolas" w:hAnsi="Consolas"/>
          <w:b w:val="false"/>
          <w:bCs w:val="false"/>
          <w:color w:val="0F172A"/>
          <w:sz w:val="15"/>
          <w:szCs w:val="15"/>
        </w:rPr>
        <w:t xml:space="preserve">3. *Evaluación financiera*: formulario completo (CAPEX manual o calculado por diámetro/longitud/terreno; volumen; utilización slider; tarifa select con las 5 de referencia o personalizada; tasa; horizonte) → tarjetas VAN/TIR/payback/LCOT + gráfico de flujo acumulado + matriz de sensibilidad 5×5 con semáforo (TIR ≥12% verde, 8-12% amarillo, &lt;8% rojo).</w:t>
      </w:r>
    </w:p>
    <w:p>
      <w:pPr>
        <w:spacing w:after="36"/>
      </w:pPr>
      <w:r>
        <w:rPr>
          <w:rFonts w:ascii="Consolas" w:cs="Consolas" w:eastAsia="Consolas" w:hAnsi="Consolas"/>
          <w:b w:val="false"/>
          <w:bCs w:val="false"/>
          <w:color w:val="0F172A"/>
          <w:sz w:val="15"/>
          <w:szCs w:val="15"/>
        </w:rPr>
        <w:t xml:space="preserve">4. *Nuevo ducto en el mapa*: mapa donde el usuario hace click en origen y destino (o elige nodos de la red en dropdowns) → línea propuesta dibujada, longitud, diámetro sugerido, CAPEX y KPIs financieros; botón "Guardar escenario" (estado en memoria) y tabla comparativa de escenarios guardados (nombre editable, longitud, Ø, CAPEX, TIR, VAN, LCOT) exportable a CSV (client-side).</w:t>
      </w:r>
    </w:p>
    <w:p>
      <w:pPr>
        <w:spacing w:after="36"/>
      </w:pPr>
      <w:r>
        <w:rPr>
          <w:rFonts w:ascii="Consolas" w:cs="Consolas" w:eastAsia="Consolas" w:hAnsi="Consolas"/>
          <w:b w:val="false"/>
          <w:bCs w:val="false"/>
          <w:color w:val="0F172A"/>
          <w:sz w:val="15"/>
          <w:szCs w:val="15"/>
        </w:rPr>
        <w:t xml:space="preserve">5. *Standby de estación*: selector de estación → impacto (capacidad del sistema afectado, ahorro OPEX, score recalculado, advertencia si la estación es crítica).</w:t>
      </w:r>
    </w:p>
    <w:p>
      <w:pPr>
        <w:spacing w:after="36"/>
      </w:pPr>
      <w:r>
        <w:rPr>
          <w:rFonts w:ascii="Consolas" w:cs="Consolas" w:eastAsia="Consolas" w:hAnsi="Consolas"/>
          <w:b w:val="false"/>
          <w:bCs w:val="false"/>
          <w:color w:val="0F172A"/>
          <w:sz w:val="15"/>
          <w:szCs w:val="15"/>
        </w:rPr>
        <w:t xml:space="preserve">Cada tab muestra las fórmulas usadas en un `&lt;details&gt;` "Ver metodología".</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**/proyecciones**: selector ducto/red + métrica + escenarios; línea histórica sólida + 3 proyecciones (base sólida, otras punteadas), banda entre conservador y optimista, línea vertical "hoy"; tarjetas CAGR histórico/proyectado y año de expansión requerida; tabla de supuestos del escenario.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**/inversiones**: mapa con trazados propuestos + tarjetas de los 5 macroproyectos; al seleccionar: justificación, fases/CAPEX, flujo 25 años por escenario, TIR/VAN/payback/LCOT, sensibilidad 5×5. Botón "Abrir en simulador" precargando parámetros.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**/pozos**: mapa de la cartera + filtros (corredor, categoría, operador); tabla ordenable: pozo, operador, depto, categoría (chip de color), producción potencial, km a red, Ø, CAPEX, USD MM/MMpcd, TIR, prioridad; tarjetas de los 4 corredores con agregados; ficha de pozo con detalle e "interconexión sugerida" dibujada en el mapa (línea punteada al nodo de empalme). Incluir el caso Boyuy-X2 como recordatorio de riesgo exploratorio.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**/estaciones**: tabla completa de las 55 (filtros por tipo/sistema/recomendación; búsqueda); score con barra coloreada; chips mantener/optimizar/standby; al seleccionar: radar de 5 criterios, ficha (potencia/capacidad, año, sistema, fuente publica|referencial), botón "Simular standby". Panel de metodología con los pesos.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9. RESPONSIVE</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Sidebar→drawer; KPIs 2 col; gráficos altura 220px; tablas overflow-x; mapa detalles como bottom-drawer; formularios del simulador en 1 columna; probar 375px y 1440px.</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10. CALIDAD</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Estructura `client/src/{components,pages,hooks,context,lib}` y `server/{routes,services,data}`. Componentes: KpiCard, ChartCard, ScenarioContext, MapBase, DuctoDrawer, SensitivityMatrix, FormulaDetails, DataTable (ordenable+filtrable reutilizable). README es en español con supuestos, fórmulas y capturas de estructura. Scripts raíz: `dev` (concurrently), `build`, `start`. `.gitignore` correcto. **Verificación obligatoria:** `npm run build` + `npm start` + curl a los 12 endpoints (incluye 1 POST por simulador) + revisar consola sin warnings + confirmar 32 ductos y 55 estaciones renderizados.</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11. GIT Y DESPLIEGUE</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Al final: `git init` + commit; instrucciones exactas para crear repo público en GitHub (gh CLI y manual) y push; despliegue en Render Web Service free (build `npm install &amp;&amp; npm run build`, start `npm start`, Node 20) con recordatorio del sleep del plan free (~30-60 s el primer acceso).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12. PLAN DE ETAPAS (compactar contexto al cerrar cada una)</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1) Estructura del monorepo + deps + datos copiados. 2) engine.js con las 9 familias de cálculo + tests rápidos por consola. 3) Rutas API + seriesGenerator. 4) Layout (sidebar/topbar/context de escenario) + Dashboard. 5) Mapa completo (sección 7). 6) Simulador (5 tabs). 7) Proyecciones + Inversiones. 8) Pozos + Estaciones. 9) Responsive + pulido visual. 10) Verificación, README, git, instrucciones de deploy.</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bCs/>
          <w:color w:val="0E7490"/>
          <w:sz w:val="15"/>
          <w:szCs w:val="15"/>
        </w:rPr>
        <w:t xml:space="preserve">## 13. CRITERIOS DE ACEPTACIÓN</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 [ ] 7 módulos navegables desktop/móvil con patrón sidebar tipo MineOps 360.</w:t>
      </w:r>
    </w:p>
    <w:p>
      <w:pPr>
        <w:spacing w:after="36"/>
      </w:pPr>
      <w:r>
        <w:rPr>
          <w:rFonts w:ascii="Consolas" w:cs="Consolas" w:eastAsia="Consolas" w:hAnsi="Consolas"/>
          <w:b w:val="false"/>
          <w:bCs w:val="false"/>
          <w:color w:val="0F172A"/>
          <w:sz w:val="15"/>
          <w:szCs w:val="15"/>
        </w:rPr>
        <w:t xml:space="preserve">- [ ] Mapa: 32 ductos, 55 estaciones, 40 pozos, 4 corredores, capas, leyenda, buscador, modo utilización, flechas de flujo, selección con ficha.</w:t>
      </w:r>
    </w:p>
    <w:p>
      <w:pPr>
        <w:spacing w:after="36"/>
      </w:pPr>
      <w:r>
        <w:rPr>
          <w:rFonts w:ascii="Consolas" w:cs="Consolas" w:eastAsia="Consolas" w:hAnsi="Consolas"/>
          <w:b w:val="false"/>
          <w:bCs w:val="false"/>
          <w:color w:val="0F172A"/>
          <w:sz w:val="15"/>
          <w:szCs w:val="15"/>
        </w:rPr>
        <w:t xml:space="preserve">- [ ] Simulador: los 5 tabs calculan en backend con las fórmulas 4.1-4.7 y muestran metodología.</w:t>
      </w:r>
    </w:p>
    <w:p>
      <w:pPr>
        <w:spacing w:after="36"/>
      </w:pPr>
      <w:r>
        <w:rPr>
          <w:rFonts w:ascii="Consolas" w:cs="Consolas" w:eastAsia="Consolas" w:hAnsi="Consolas"/>
          <w:b w:val="false"/>
          <w:bCs w:val="false"/>
          <w:color w:val="0F172A"/>
          <w:sz w:val="15"/>
          <w:szCs w:val="15"/>
        </w:rPr>
        <w:t xml:space="preserve">- [ ] Escenario global (context) afecta proyecciones, inversiones y dashboard.</w:t>
      </w:r>
    </w:p>
    <w:p>
      <w:pPr>
        <w:spacing w:after="36"/>
      </w:pPr>
      <w:r>
        <w:rPr>
          <w:rFonts w:ascii="Consolas" w:cs="Consolas" w:eastAsia="Consolas" w:hAnsi="Consolas"/>
          <w:b w:val="false"/>
          <w:bCs w:val="false"/>
          <w:color w:val="0F172A"/>
          <w:sz w:val="15"/>
          <w:szCs w:val="15"/>
        </w:rPr>
        <w:t xml:space="preserve">- [ ] Series determinísticas; TIR/VAN del backend ≈ precargados del JSON (loguear diferencias).</w:t>
      </w:r>
    </w:p>
    <w:p>
      <w:pPr>
        <w:spacing w:after="36"/>
      </w:pPr>
      <w:r>
        <w:rPr>
          <w:rFonts w:ascii="Consolas" w:cs="Consolas" w:eastAsia="Consolas" w:hAnsi="Consolas"/>
          <w:b w:val="false"/>
          <w:bCs w:val="false"/>
          <w:color w:val="0F172A"/>
          <w:sz w:val="15"/>
          <w:szCs w:val="15"/>
        </w:rPr>
        <w:t xml:space="preserve">- [ ] Comparador de escenarios de nuevo ducto con export CSV.</w:t>
      </w:r>
    </w:p>
    <w:p>
      <w:pPr>
        <w:spacing w:after="36"/>
      </w:pPr>
      <w:r>
        <w:rPr>
          <w:rFonts w:ascii="Consolas" w:cs="Consolas" w:eastAsia="Consolas" w:hAnsi="Consolas"/>
          <w:b w:val="false"/>
          <w:bCs w:val="false"/>
          <w:color w:val="0F172A"/>
          <w:sz w:val="15"/>
          <w:szCs w:val="15"/>
        </w:rPr>
        <w:t xml:space="preserve">- [ ] Disclaimer permanente; build de producción OK; un solo servicio Express; README completo; repo listo.</w:t>
      </w:r>
    </w:p>
    <w:p>
      <w:pPr>
        <w:spacing w:after="36"/>
      </w:pPr>
      <w:r>
        <w:rPr>
          <w:rFonts w:ascii="Consolas" w:cs="Consolas" w:eastAsia="Consolas" w:hAnsi="Consolas"/>
          <w:b w:val="false"/>
          <w:bCs w:val="false"/>
          <w:color w:val="0F172A"/>
          <w:sz w:val="15"/>
          <w:szCs w:val="15"/>
        </w:rPr>
        <w:t xml:space="preserve"> </w:t>
      </w:r>
    </w:p>
    <w:p>
      <w:pPr>
        <w:spacing w:after="36"/>
      </w:pPr>
      <w:r>
        <w:rPr>
          <w:rFonts w:ascii="Consolas" w:cs="Consolas" w:eastAsia="Consolas" w:hAnsi="Consolas"/>
          <w:b w:val="false"/>
          <w:bCs w:val="false"/>
          <w:color w:val="0F172A"/>
          <w:sz w:val="15"/>
          <w:szCs w:val="15"/>
        </w:rPr>
        <w:t xml:space="preserve">Si algo queda ambiguo, decide con criterio profesional y documéntalo en README bajo "Supuestos". No pidas confirmaciones intermedias salvo bloqueo real.</w:t>
      </w:r>
    </w:p>
    <w:p>
      <w:pPr>
        <w:spacing w:after="36"/>
      </w:pPr>
      <w:r>
        <w:rPr>
          <w:rFonts w:ascii="Consolas" w:cs="Consolas" w:eastAsia="Consolas" w:hAnsi="Consolas"/>
          <w:b w:val="false"/>
          <w:bCs w:val="false"/>
          <w:color w:val="0F172A"/>
          <w:sz w:val="15"/>
          <w:szCs w:val="15"/>
        </w:rPr>
        <w:t xml:space="preserve"> </w:t>
      </w:r>
    </w:p>
    <w:sectPr>
      <w:pgSz w:w="12240" w:h="15840"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2026-07-04T17:32:38.990Z</dcterms:created>
  <dcterms:modified xsi:type="dcterms:W3CDTF">2026-07-04T17:32:38.991Z</dcterms:modified>
</cp:coreProperties>
</file>

<file path=docProps/custom.xml><?xml version="1.0" encoding="utf-8"?>
<Properties xmlns="http://schemas.openxmlformats.org/officeDocument/2006/custom-properties" xmlns:vt="http://schemas.openxmlformats.org/officeDocument/2006/docPropsVTypes"/>
</file>