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A2CDB6">
      <w:pPr>
        <w:pStyle w:val="2"/>
        <w:keepNext w:val="0"/>
        <w:keepLines w:val="0"/>
        <w:widowControl/>
        <w:suppressLineNumbers w:val="0"/>
        <w:rPr>
          <w:rFonts w:hint="eastAsia" w:eastAsia="宋体"/>
          <w:sz w:val="32"/>
          <w:szCs w:val="32"/>
          <w:lang w:eastAsia="zh-CN"/>
        </w:rPr>
      </w:pPr>
      <w:r>
        <w:rPr>
          <w:sz w:val="32"/>
          <w:szCs w:val="32"/>
        </w:rPr>
        <w:t>弹窗</w:t>
      </w:r>
      <w:r>
        <w:rPr>
          <w:rFonts w:hint="eastAsia"/>
          <w:sz w:val="32"/>
          <w:szCs w:val="32"/>
          <w:lang w:eastAsia="zh-CN"/>
        </w:rPr>
        <w:t>（</w:t>
      </w:r>
      <w:r>
        <w:rPr>
          <w:sz w:val="32"/>
          <w:szCs w:val="32"/>
        </w:rPr>
        <w:t>红包</w:t>
      </w:r>
      <w:r>
        <w:rPr>
          <w:rFonts w:hint="eastAsia"/>
          <w:sz w:val="32"/>
          <w:szCs w:val="32"/>
          <w:lang w:eastAsia="zh-CN"/>
        </w:rPr>
        <w:t>）</w:t>
      </w:r>
      <w:bookmarkStart w:id="0" w:name="_GoBack"/>
      <w:bookmarkEnd w:id="0"/>
    </w:p>
    <w:p w14:paraId="00686E2D">
      <w:pPr>
        <w:pStyle w:val="8"/>
        <w:keepNext w:val="0"/>
        <w:keepLines w:val="0"/>
        <w:widowControl/>
        <w:suppressLineNumbers w:val="0"/>
      </w:pPr>
      <w:r>
        <w:t>结构：居中弹窗布局</w:t>
      </w:r>
    </w:p>
    <w:p w14:paraId="29ABF20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背景：半透明遮罩（可带模糊效果）</w:t>
      </w:r>
    </w:p>
    <w:p w14:paraId="473E4C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主体：单个红包视觉元素（带“开”字或红包封口样式）</w:t>
      </w:r>
    </w:p>
    <w:p w14:paraId="38F1854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辅助元素：引导文案（如“点击开红包”）、关闭按钮（右上角）</w:t>
      </w:r>
    </w:p>
    <w:p w14:paraId="22F8F219">
      <w:pPr>
        <w:pStyle w:val="6"/>
        <w:keepNext w:val="0"/>
        <w:keepLines w:val="0"/>
        <w:widowControl/>
        <w:suppressLineNumbers w:val="0"/>
      </w:pPr>
    </w:p>
    <w:p w14:paraId="390C27A7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1. 动效设计</w:t>
      </w:r>
    </w:p>
    <w:p w14:paraId="7881D69C">
      <w:pPr>
        <w:pStyle w:val="8"/>
        <w:keepNext w:val="0"/>
        <w:keepLines w:val="0"/>
        <w:widowControl/>
        <w:suppressLineNumbers w:val="0"/>
      </w:pPr>
      <w:r>
        <w:t>1.1 弹窗入场动效</w:t>
      </w:r>
    </w:p>
    <w:p w14:paraId="52DEA71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红包弹窗从屏幕中心由小变大并伴随弹簧弹性效果（Scale 0.5 → 1.05 → 1），同时背景遮罩淡入。</w:t>
      </w:r>
    </w:p>
    <w:p w14:paraId="5928218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红包本身可附带微弱光晕脉冲（金色光效），持续 0.6 秒后恢复。</w:t>
      </w:r>
    </w:p>
    <w:p w14:paraId="43429C64">
      <w:pPr>
        <w:pStyle w:val="8"/>
        <w:keepNext w:val="0"/>
        <w:keepLines w:val="0"/>
        <w:widowControl/>
        <w:suppressLineNumbers w:val="0"/>
      </w:pPr>
      <w:r>
        <w:t>1.2 悬停 / 待开状态动效</w:t>
      </w:r>
    </w:p>
    <w:p w14:paraId="037C920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红包轻微上下浮动（Y 轴位移 ±5px，周期 1.5 秒），提示可点击。</w:t>
      </w:r>
    </w:p>
    <w:p w14:paraId="00B5C1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红包封口处（或“开”字区域）有呼吸式缩放（Scale 1.0 → 1.05 → 1.0，周期 1 秒）。</w:t>
      </w:r>
    </w:p>
    <w:p w14:paraId="20B9140E">
      <w:pPr>
        <w:pStyle w:val="8"/>
        <w:keepNext w:val="0"/>
        <w:keepLines w:val="0"/>
        <w:widowControl/>
        <w:suppressLineNumbers w:val="0"/>
      </w:pPr>
      <w:r>
        <w:t>1.3 点击开启动效（开红包）</w:t>
      </w:r>
    </w:p>
    <w:p w14:paraId="58EA35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用户点击红包后：</w:t>
      </w:r>
    </w:p>
    <w:p w14:paraId="0289ABB3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红包快速向两侧分裂（或封口撕裂、碎片飞散），伴随金色粒子飞溅效果。</w:t>
      </w:r>
    </w:p>
    <w:p w14:paraId="12BE4D5E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红包内部发出闪光（全屏或局部白色闪白，持续时间 0.2 秒）。</w:t>
      </w:r>
    </w:p>
    <w:p w14:paraId="59FB818B">
      <w:pPr>
        <w:keepNext w:val="0"/>
        <w:keepLines w:val="0"/>
        <w:widowControl/>
        <w:numPr>
          <w:ilvl w:val="1"/>
          <w:numId w:val="5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同时播放“哗啦”或金币音效（可选）。</w:t>
      </w:r>
    </w:p>
    <w:p w14:paraId="0AFF17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红包内容（奖品信息）从中心由小变大并弹入视野（Scale 0 → 1，带微小弹性）。</w:t>
      </w:r>
    </w:p>
    <w:p w14:paraId="40CE43C3">
      <w:pPr>
        <w:pStyle w:val="8"/>
        <w:keepNext w:val="0"/>
        <w:keepLines w:val="0"/>
        <w:widowControl/>
        <w:suppressLineNumbers w:val="0"/>
      </w:pPr>
      <w:r>
        <w:t>1.4 奖品展示动效</w:t>
      </w:r>
    </w:p>
    <w:p w14:paraId="55F161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奖品图标（如金币、优惠券）旋转 360° 并缩放出现。</w:t>
      </w:r>
    </w:p>
    <w:p w14:paraId="548A6DC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奖品文字（如“100元优惠券”）逐字或淡入显示。</w:t>
      </w:r>
    </w:p>
    <w:p w14:paraId="63277B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出现“领取奖品”按钮，按钮附带呼吸光效或横向脉动。</w:t>
      </w:r>
    </w:p>
    <w:p w14:paraId="3191F2D8">
      <w:pPr>
        <w:pStyle w:val="8"/>
        <w:keepNext w:val="0"/>
        <w:keepLines w:val="0"/>
        <w:widowControl/>
        <w:suppressLineNumbers w:val="0"/>
      </w:pPr>
      <w:r>
        <w:t>1.5 关闭 / 退出动效</w:t>
      </w:r>
    </w:p>
    <w:p w14:paraId="6FF05B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点击关闭按钮（右上角 X）或点击遮罩（可配置）：</w:t>
      </w:r>
    </w:p>
    <w:p w14:paraId="385F2FA6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弹窗淡出并缩小（Scale 1 → 0.8 → 0），背景遮罩淡出。</w:t>
      </w:r>
    </w:p>
    <w:p w14:paraId="1A8984C9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可选：红包向上飘出并消失。</w:t>
      </w:r>
    </w:p>
    <w:p w14:paraId="5273EA1A">
      <w:pPr>
        <w:pStyle w:val="6"/>
        <w:keepNext w:val="0"/>
        <w:keepLines w:val="0"/>
        <w:widowControl/>
        <w:suppressLineNumbers w:val="0"/>
      </w:pPr>
    </w:p>
    <w:p w14:paraId="26CE43EF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2. 交互与逻辑</w:t>
      </w:r>
    </w:p>
    <w:p w14:paraId="123E28C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点击红包 → 播放开启动效 → 关闭红包状态 → 展示奖品详情与“领取奖品”按钮。</w:t>
      </w:r>
    </w:p>
    <w:p w14:paraId="4C277C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点击“领取奖品” → 根据广告配置执行跳转：</w:t>
      </w:r>
    </w:p>
    <w:p w14:paraId="41720420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H5 落地页</w:t>
      </w:r>
    </w:p>
    <w:p w14:paraId="7A67958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App 下载页</w:t>
      </w:r>
    </w:p>
    <w:p w14:paraId="6162554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0" w:after="0" w:afterAutospacing="0"/>
        <w:ind w:left="144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直接调起 App（DeepLink / Universal Link）</w:t>
      </w:r>
    </w:p>
    <w:p w14:paraId="6876B37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关闭弹窗：右上角 X 或点击遮罩关闭，需上报关闭行为。</w:t>
      </w:r>
    </w:p>
    <w:p w14:paraId="761BA09E">
      <w:pPr>
        <w:pStyle w:val="6"/>
        <w:keepNext w:val="0"/>
        <w:keepLines w:val="0"/>
        <w:widowControl/>
        <w:suppressLineNumbers w:val="0"/>
      </w:pPr>
    </w:p>
    <w:p w14:paraId="46F159EA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3. 可配置项</w:t>
      </w:r>
    </w:p>
    <w:p w14:paraId="335907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红包样式（颜色、封口图案、文字）</w:t>
      </w:r>
    </w:p>
    <w:p w14:paraId="23ED9D7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奖品内容（图标、名称、描述）</w:t>
      </w:r>
    </w:p>
    <w:p w14:paraId="5797B33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跳转链接及类型</w:t>
      </w:r>
    </w:p>
    <w:p w14:paraId="31CC87F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动效开关与时长（如是否启用粒子效果、闪光、弹性等）</w:t>
      </w:r>
    </w:p>
    <w:p w14:paraId="17EF54D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音效开关（开红包音效、领奖音效）</w:t>
      </w:r>
    </w:p>
    <w:p w14:paraId="341566F7">
      <w:pPr>
        <w:pStyle w:val="6"/>
        <w:keepNext w:val="0"/>
        <w:keepLines w:val="0"/>
        <w:widowControl/>
        <w:suppressLineNumbers w:val="0"/>
      </w:pPr>
    </w:p>
    <w:p w14:paraId="7AA3B832">
      <w:pPr>
        <w:pStyle w:val="7"/>
        <w:keepNext w:val="0"/>
        <w:keepLines w:val="0"/>
        <w:widowControl/>
        <w:suppressLineNumbers w:val="0"/>
      </w:pPr>
      <w:r>
        <w:rPr>
          <w:b/>
          <w:bCs/>
        </w:rPr>
        <w:t>4. 注意事项</w:t>
      </w:r>
    </w:p>
    <w:p w14:paraId="18242C7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动效应适配不同性能设备，粒子数量可配置或降级。</w:t>
      </w:r>
    </w:p>
    <w:p w14:paraId="268DB8D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弹窗需支持无障碍点击（VoiceOver / TalkBack 适配）。</w:t>
      </w:r>
    </w:p>
    <w:p w14:paraId="540EA87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/>
        <w:ind w:left="720" w:right="0" w:hanging="360"/>
        <w:rPr>
          <w:rFonts w:ascii="pingfang sc" w:hAnsi="pingfang sc" w:eastAsia="pingfang sc" w:cs="pingfang sc"/>
          <w:sz w:val="26"/>
          <w:szCs w:val="26"/>
        </w:rPr>
      </w:pPr>
      <w:r>
        <w:rPr>
          <w:rFonts w:hint="eastAsia" w:ascii="pingfang sc" w:hAnsi="pingfang sc" w:eastAsia="pingfang sc" w:cs="pingfang sc"/>
          <w:sz w:val="26"/>
          <w:szCs w:val="26"/>
        </w:rPr>
        <w:t>同一时间仅展示一个弹窗，避免重叠。</w:t>
      </w:r>
    </w:p>
    <w:p w14:paraId="4775FA11"/>
    <w:p w14:paraId="15602A68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895600" cy="3886200"/>
            <wp:effectExtent l="0" t="0" r="0" b="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38862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04970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1C091C0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互动场景：</w:t>
      </w:r>
    </w:p>
    <w:p w14:paraId="3AC15A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红包元素：支持替换，可自定义上传，不上传默认；</w:t>
      </w:r>
    </w:p>
    <w:p w14:paraId="6B83023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图片要求：</w:t>
      </w:r>
    </w:p>
    <w:p w14:paraId="54A772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尺寸：9:16</w:t>
      </w:r>
    </w:p>
    <w:p w14:paraId="1ACD455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1BC920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大小：小于1M；</w:t>
      </w:r>
    </w:p>
    <w:p w14:paraId="19C4603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落地页：通过模式选择，支持手动输入、宏替换和复用广告（素材）链接；</w:t>
      </w:r>
    </w:p>
    <w:p w14:paraId="69EE2B3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color w:val="D83931"/>
          <w:kern w:val="0"/>
          <w:sz w:val="24"/>
          <w:szCs w:val="24"/>
          <w:lang w:val="en-US" w:eastAsia="zh-CN" w:bidi="ar"/>
        </w:rPr>
        <w:t>不配置默认使用广告(素材)链接；</w:t>
      </w:r>
    </w:p>
    <w:p w14:paraId="025F664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领奖场景：</w:t>
      </w:r>
    </w:p>
    <w:p w14:paraId="6F2D58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引导文案：最多支持20个字符，即10个汉字，不含标点符号，标点符号算一个字符；</w:t>
      </w:r>
    </w:p>
    <w:p w14:paraId="309BB95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奖励类型分为：现金和自定义</w:t>
      </w:r>
    </w:p>
    <w:p w14:paraId="2FC09AE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自定义支持上传图片</w:t>
      </w:r>
    </w:p>
    <w:p w14:paraId="7B29EC6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比例：16:9</w:t>
      </w:r>
    </w:p>
    <w:p w14:paraId="6039F79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格式：jpg、png、jpeg</w:t>
      </w:r>
    </w:p>
    <w:p w14:paraId="74AA62F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大小：最大300k；</w:t>
      </w:r>
    </w:p>
    <w:p w14:paraId="2A2C818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奖品文案：最多支持30个字符，即15个汉字，不含标点符号，标点符号算一个字符；</w:t>
      </w:r>
    </w:p>
    <w:p w14:paraId="7AE9A59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特殊说明：最多支持20个字符，即10个汉字，不含标点符号，标点符号算一个字符；</w:t>
      </w:r>
    </w:p>
    <w:p w14:paraId="78F24F4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默认：实际奖品以APP为准</w:t>
      </w:r>
    </w:p>
    <w:p w14:paraId="474B550A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DF3566">
      <w:pPr>
        <w:keepNext w:val="0"/>
        <w:keepLines w:val="0"/>
        <w:widowControl/>
        <w:suppressLineNumbers w:val="0"/>
        <w:jc w:val="left"/>
      </w:pPr>
    </w:p>
    <w:p w14:paraId="1FAC1846">
      <w:pPr>
        <w:keepNext w:val="0"/>
        <w:keepLines w:val="0"/>
        <w:widowControl/>
        <w:suppressLineNumbers w:val="0"/>
        <w:jc w:val="center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5420" cy="2861945"/>
            <wp:effectExtent l="0" t="0" r="17780" b="8255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861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F17C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领奖样式：</w:t>
      </w:r>
    </w:p>
    <w:p w14:paraId="3F519B6A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6FE32"/>
    <w:multiLevelType w:val="multilevel"/>
    <w:tmpl w:val="EEE6FE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FBECD998"/>
    <w:multiLevelType w:val="multilevel"/>
    <w:tmpl w:val="FBECD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FDAD9980"/>
    <w:multiLevelType w:val="multilevel"/>
    <w:tmpl w:val="FDAD99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FE9E9C19"/>
    <w:multiLevelType w:val="multilevel"/>
    <w:tmpl w:val="FE9E9C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29FF2149"/>
    <w:multiLevelType w:val="multilevel"/>
    <w:tmpl w:val="29FF21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3DFD442A"/>
    <w:multiLevelType w:val="multilevel"/>
    <w:tmpl w:val="3DFD44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3F778C12"/>
    <w:multiLevelType w:val="multilevel"/>
    <w:tmpl w:val="3F778C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5054E7C6"/>
    <w:multiLevelType w:val="multilevel"/>
    <w:tmpl w:val="5054E7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7DFE15C2"/>
    <w:multiLevelType w:val="multilevel"/>
    <w:tmpl w:val="7DFE15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5"/>
  </w:num>
  <w:num w:numId="2">
    <w:abstractNumId w:val="7"/>
  </w:num>
  <w:num w:numId="3">
    <w:abstractNumId w:val="3"/>
  </w:num>
  <w:num w:numId="4">
    <w:abstractNumId w:val="4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0"/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7D70CBF"/>
    <w:rsid w:val="E7D70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s1"/>
    <w:basedOn w:val="4"/>
    <w:uiPriority w:val="0"/>
    <w:rPr>
      <w:rFonts w:ascii="menlo" w:hAnsi="menlo" w:eastAsia="menlo" w:cs="menlo"/>
      <w:sz w:val="18"/>
      <w:szCs w:val="18"/>
    </w:rPr>
  </w:style>
  <w:style w:type="paragraph" w:customStyle="1" w:styleId="6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7">
    <w:name w:val="p3"/>
    <w:basedOn w:val="1"/>
    <w:uiPriority w:val="0"/>
    <w:pPr>
      <w:spacing w:before="0" w:beforeAutospacing="0" w:after="4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32"/>
      <w:szCs w:val="32"/>
      <w:lang w:val="en-US" w:eastAsia="zh-CN" w:bidi="ar"/>
    </w:rPr>
  </w:style>
  <w:style w:type="paragraph" w:customStyle="1" w:styleId="8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2026-04-16T17:21:00Z</dcterms:created>
  <dc:creator>海娣</dc:creator>
  <cp:lastModifiedBy>海娣</cp:lastModifiedBy>
  <dcterms:modified xsi:type="dcterms:W3CDTF">2026-04-16T17:29:13Z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C386BA6A0D7DD6E029AAE069052F53E7_41</vt:lpwstr>
  </property>
</Properties>
</file>