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6C5D58" w:rsidP="006C5D58" w:rsidRDefault="006C5D58" w14:paraId="79F0E3D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 w:rsidRPr="0061330D">
        <w:rPr>
          <w:rFonts w:hint="eastAsia" w:ascii="Times New Roman" w:hAnsi="Times New Roman" w:cs="Times New Roman"/>
          <w:b/>
          <w:bCs/>
          <w:color w:val="000000"/>
        </w:rPr>
        <w:t>2.1</w:t>
      </w:r>
      <w:r>
        <w:rPr>
          <w:rFonts w:hint="eastAsia" w:ascii="Times New Roman" w:hAnsi="Times New Roman" w:cs="Times New Roman"/>
          <w:b/>
          <w:bCs/>
          <w:color w:val="000000"/>
        </w:rPr>
        <w:t xml:space="preserve"> </w:t>
      </w:r>
      <w:r w:rsidRPr="0061330D">
        <w:rPr>
          <w:rFonts w:ascii="Times New Roman" w:hAnsi="Times New Roman" w:cs="Times New Roman"/>
          <w:b/>
          <w:bCs/>
          <w:color w:val="000000"/>
        </w:rPr>
        <w:t>Data Preprocessing and Feature Transformation</w:t>
      </w:r>
    </w:p>
    <w:p w:rsidRPr="0061330D" w:rsidR="006C5D58" w:rsidP="006C5D58" w:rsidRDefault="006C5D58" w14:paraId="2962586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 w:rsidRPr="0061330D">
        <w:rPr>
          <w:rFonts w:ascii="Times New Roman" w:hAnsi="Times New Roman" w:cs="Times New Roman"/>
          <w:color w:val="000000"/>
        </w:rPr>
        <w:t>Preprocessing involved filtering records (2015–2024) and removing missing geodata. We extracted temporal features and reduced location dimensionality to the top-20 categories. Categorical variables were label-encoded, while frequency matrices underwent</w:t>
      </w:r>
      <w:r w:rsidRPr="0061330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1330D">
        <w:rPr>
          <w:rFonts w:ascii="Times New Roman" w:hAnsi="Times New Roman" w:cs="Times New Roman"/>
          <w:b/>
          <w:bCs/>
          <w:color w:val="000000"/>
        </w:rPr>
        <w:t>row-wise normalization</w:t>
      </w:r>
      <w:r w:rsidRPr="0061330D">
        <w:rPr>
          <w:rFonts w:ascii="Times New Roman" w:hAnsi="Times New Roman" w:cs="Times New Roman"/>
          <w:color w:val="000000"/>
        </w:rPr>
        <w:t>. This enabled the comparison of temporal probabilities across crime types by neutralizing volume biases.</w:t>
      </w:r>
    </w:p>
    <w:p w:rsidRPr="0061330D" w:rsidR="006C5D58" w:rsidP="006C5D58" w:rsidRDefault="006C5D58" w14:paraId="3CE6F77C" w14:textId="77777777">
      <w:pPr>
        <w:spacing w:before="100" w:beforeAutospacing="1" w:after="100" w:afterAutospacing="1" w:line="240" w:lineRule="auto"/>
        <w:outlineLvl w:val="2"/>
        <w:rPr>
          <w:rFonts w:hint="eastAsia"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hint="eastAsia"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 xml:space="preserve">2.2 </w:t>
      </w:r>
      <w:r w:rsidRPr="0061330D"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Comprehensive Correlation Analysis</w:t>
      </w:r>
    </w:p>
    <w:p w:rsidRPr="0061330D" w:rsidR="006C5D58" w:rsidP="006C5D58" w:rsidRDefault="006C5D58" w14:paraId="03B1182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To investigate the underlying dependencies between crime variables, we performed a stratified analysis focusing on multivariate linear correlations, temporal specificities, and enforcement efficiency disparities.</w:t>
      </w:r>
    </w:p>
    <w:p w:rsidR="006C5D58" w:rsidP="006C5D58" w:rsidRDefault="006C5D58" w14:paraId="3BF779C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hint="eastAsia"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 xml:space="preserve">2.21 </w:t>
      </w:r>
      <w:r w:rsidRPr="0061330D"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Multivariate Correlation Matrix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 We first constructed a correlation matrix of key features (Figure </w:t>
      </w:r>
      <w:r>
        <w:rPr>
          <w:rFonts w:hint="eastAsia" w:ascii="Times New Roman" w:hAnsi="Times New Roman" w:eastAsia="Times New Roman" w:cs="Times New Roman"/>
          <w:color w:val="000000"/>
          <w:kern w:val="0"/>
          <w14:ligatures w14:val="none"/>
        </w:rPr>
        <w:t>2.2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1). While the overall Pearson correlation coefficients were relatively low due to the categorical nature of the data, the analysis revealed critical structural associations. Notably, the variable </w:t>
      </w:r>
      <w:r w:rsidRPr="0061330D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Arrest_Flag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showed the strongest positive global correlation with </w:t>
      </w:r>
      <w:r w:rsidRPr="0061330D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Type_Code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(0.20), indicating that the likelihood of apprehension depends primarily on the nature of the offense rather than time or location. Additionally, </w:t>
      </w:r>
      <w:r w:rsidRPr="0061330D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Domestic_Flag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displayed a significant negative correlation with </w:t>
      </w:r>
      <w:r w:rsidRPr="0061330D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Type_Code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(-0.21), revealing that domestic incidents are restricted to specific crime categories and differ distinctly from public street crime patterns. It is important to note that the near-zero linear correlation between </w:t>
      </w:r>
      <w:r w:rsidRPr="0061330D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Hour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and other variables does not imply insignificance; rather, it suggests complex non-linear relationships that require further visualization.</w:t>
      </w:r>
    </w:p>
    <w:p w:rsidRPr="0061330D" w:rsidR="006C5D58" w:rsidP="006C5D58" w:rsidRDefault="006C5D58" w14:paraId="2007FF0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hint="eastAsia"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 xml:space="preserve">2.22 </w:t>
      </w:r>
      <w:r w:rsidRPr="0061330D"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Temporal Specificity and Non-Linear Patterns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 To decode these hidden temporal patterns, we generated a Normalized Temporal Heatmap (Figure 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2.22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), which uncovered strong temporal profiles for specific crime types. For instance, </w:t>
      </w:r>
      <w:r w:rsidRPr="0061330D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DECEPTIVE PRACTICE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shows sharp spikes at 09:00, 12:00, and 00:00, aligning with business transaction hours and automated system reporting cycles. Similarly, </w:t>
      </w:r>
      <w:r w:rsidRPr="0061330D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NARCOTICS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exhibits a clear bimodal distribution with activity peaks at 10:00–11:00 and 19:00–20:00, providing direct evidence for targeted shift scheduling. The data further validates classic criminological patterns by highlighting the divergence between </w:t>
      </w:r>
      <w:r w:rsidRPr="0061330D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BURGLARY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, which peaks during work hours (08:00–15:00) when homes are empty, and </w:t>
      </w:r>
      <w:r w:rsidRPr="0061330D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ROBBERY</w:t>
      </w:r>
      <w:r w:rsidRPr="0061330D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, which escalates during evening hours (18:00–23:00).</w:t>
      </w:r>
    </w:p>
    <w:p w:rsidR="006C5D58" w:rsidP="4E1F8E91" w:rsidRDefault="006C5D58" w14:paraId="6DCF24FA" w14:textId="77777777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 w:rsidR="006C5D58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 xml:space="preserve">2.23 </w:t>
      </w:r>
      <w:r w:rsidRPr="0061330D" w:rsidR="006C5D58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Enforcement Efficiency and Business Justification</w:t>
      </w:r>
      <w:r w:rsidRPr="0061330D" w:rsidR="006C5D5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 Finally, we analyzed the arrest rates for the Top 15 crime types (Figure </w:t>
      </w:r>
      <w:r w:rsidR="006C5D5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2.23</w:t>
      </w:r>
      <w:r w:rsidRPr="0061330D" w:rsidR="006C5D5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), revealing a stark dichotomy between proactive and reactive policing. Crimes like </w:t>
      </w:r>
      <w:r w:rsidRPr="0061330D" w:rsidR="006C5D58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NARCOTICS</w:t>
      </w:r>
      <w:r w:rsidRPr="0061330D" w:rsidR="006C5D5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(~99%) and </w:t>
      </w:r>
      <w:r w:rsidRPr="0061330D" w:rsidR="006C5D58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WEAPONS VIOLATION</w:t>
      </w:r>
      <w:r w:rsidRPr="0061330D" w:rsidR="006C5D5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(~65%) demonstrate high enforcement efficiency, as these are typically "proactive" offenses where police initiation leads to immediate arrest. In contrast, property crimes such as </w:t>
      </w:r>
      <w:r w:rsidRPr="0061330D" w:rsidR="006C5D58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BURGLARY</w:t>
      </w:r>
      <w:r w:rsidRPr="0061330D" w:rsidR="006C5D5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and </w:t>
      </w:r>
      <w:r w:rsidRPr="0061330D" w:rsidR="006C5D58">
        <w:rPr>
          <w:rFonts w:ascii="Courier New" w:hAnsi="Courier New" w:eastAsia="Times New Roman" w:cs="Courier New"/>
          <w:color w:val="000000"/>
          <w:kern w:val="0"/>
          <w:sz w:val="20"/>
          <w:szCs w:val="20"/>
          <w14:ligatures w14:val="none"/>
        </w:rPr>
        <w:t>MOTOR VEHICLE THEFT</w:t>
      </w:r>
      <w:r w:rsidRPr="0061330D" w:rsidR="006C5D5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show a drastic drop in arrest rates, falling well below the 20% efficiency threshold. These crimes are typically reported post-incident, placing police in a reactive stance. This efficiency gap serves as the primary justification for the Predictive Policing Model proposed in this project; since traditional reactive methods are insufficient for low-clearance property crimes, algorithmically forecasting high-risk spatiotemporal zones is essential to shift operations from reactive investigation to proactive deterrence.</w:t>
      </w:r>
    </w:p>
    <w:p w:rsidR="006C5D58" w:rsidP="006C5D58" w:rsidRDefault="006C5D58" w14:paraId="4DB3F32D" w14:textId="4B68119B">
      <w:pPr>
        <w:jc w:val="center"/>
      </w:pPr>
      <w:r w:rsidRPr="00D417CC">
        <w:rPr>
          <w:rFonts w:ascii="Times New Roman" w:hAnsi="Times New Roman" w:eastAsia="Times New Roma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727834DB" wp14:editId="0890B5B1">
            <wp:extent cx="2991293" cy="2453436"/>
            <wp:effectExtent l="0" t="0" r="0" b="0"/>
            <wp:docPr id="181794566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56179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2114" cy="247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D58" w:rsidP="006C5D58" w:rsidRDefault="006C5D58" w14:paraId="5B2150D0" w14:textId="77777777">
      <w:pPr>
        <w:spacing w:after="100" w:afterAutospacing="1" w:line="240" w:lineRule="auto"/>
        <w:jc w:val="center"/>
        <w:outlineLvl w:val="3"/>
        <w:rPr>
          <w:rFonts w:ascii="Times New Roman" w:hAnsi="Times New Roman" w:eastAsia="Times New Roman" w:cs="Times New Roman"/>
          <w:color w:val="000000"/>
          <w:kern w:val="0"/>
          <w:sz w:val="16"/>
          <w:szCs w:val="16"/>
          <w14:ligatures w14:val="none"/>
        </w:rPr>
      </w:pPr>
      <w:r w:rsidRPr="00D417CC">
        <w:rPr>
          <w:rFonts w:hint="eastAsia" w:ascii="Times New Roman" w:hAnsi="Times New Roman" w:eastAsia="Times New Roman" w:cs="Times New Roman"/>
          <w:color w:val="000000"/>
          <w:kern w:val="0"/>
          <w:sz w:val="16"/>
          <w:szCs w:val="16"/>
          <w14:ligatures w14:val="none"/>
        </w:rPr>
        <w:t xml:space="preserve">Figure </w:t>
      </w:r>
      <w:r>
        <w:rPr>
          <w:rFonts w:ascii="Times New Roman" w:hAnsi="Times New Roman" w:eastAsia="Times New Roman" w:cs="Times New Roman"/>
          <w:color w:val="000000"/>
          <w:kern w:val="0"/>
          <w:sz w:val="16"/>
          <w:szCs w:val="16"/>
          <w14:ligatures w14:val="none"/>
        </w:rPr>
        <w:t>2.21</w:t>
      </w:r>
    </w:p>
    <w:p w:rsidR="006C5D58" w:rsidP="006C5D58" w:rsidRDefault="006C5D58" w14:paraId="7C679464" w14:textId="15290A89">
      <w:pPr>
        <w:jc w:val="center"/>
      </w:pPr>
      <w:r w:rsidRPr="00D417CC">
        <w:rPr>
          <w:rFonts w:ascii="Times New Roman" w:hAnsi="Times New Roman" w:eastAsia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6285F00D" wp14:editId="47570B19">
            <wp:extent cx="3019647" cy="1973417"/>
            <wp:effectExtent l="0" t="0" r="3175" b="0"/>
            <wp:docPr id="771027419" name="Picture 1" descr="A diagram of a heat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27419" name="Picture 1" descr="A diagram of a heat ma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0532" cy="202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D58" w:rsidP="006C5D58" w:rsidRDefault="006C5D58" w14:paraId="1B27AD49" w14:textId="77777777">
      <w:pPr>
        <w:spacing w:after="100" w:afterAutospacing="1" w:line="240" w:lineRule="auto"/>
        <w:jc w:val="center"/>
        <w:outlineLvl w:val="3"/>
        <w:rPr>
          <w:rFonts w:ascii="Times New Roman" w:hAnsi="Times New Roman" w:eastAsia="Times New Roman" w:cs="Times New Roman"/>
          <w:color w:val="000000"/>
          <w:kern w:val="0"/>
          <w:sz w:val="16"/>
          <w:szCs w:val="16"/>
          <w14:ligatures w14:val="none"/>
        </w:rPr>
      </w:pPr>
      <w:bookmarkStart w:name="OLE_LINK1" w:id="0"/>
      <w:r w:rsidRPr="00D417CC">
        <w:rPr>
          <w:rFonts w:hint="eastAsia" w:ascii="Times New Roman" w:hAnsi="Times New Roman" w:eastAsia="Times New Roman" w:cs="Times New Roman"/>
          <w:color w:val="000000"/>
          <w:kern w:val="0"/>
          <w:sz w:val="16"/>
          <w:szCs w:val="16"/>
          <w14:ligatures w14:val="none"/>
        </w:rPr>
        <w:t xml:space="preserve">Figure </w:t>
      </w:r>
      <w:r>
        <w:rPr>
          <w:rFonts w:ascii="Times New Roman" w:hAnsi="Times New Roman" w:eastAsia="Times New Roman" w:cs="Times New Roman"/>
          <w:color w:val="000000"/>
          <w:kern w:val="0"/>
          <w:sz w:val="16"/>
          <w:szCs w:val="16"/>
          <w14:ligatures w14:val="none"/>
        </w:rPr>
        <w:t>2.22</w:t>
      </w:r>
    </w:p>
    <w:bookmarkEnd w:id="0"/>
    <w:p w:rsidR="006C5D58" w:rsidP="006C5D58" w:rsidRDefault="006C5D58" w14:paraId="3DDC85B7" w14:textId="0229C3C2">
      <w:pPr>
        <w:jc w:val="center"/>
      </w:pPr>
      <w:r w:rsidRPr="00D417CC">
        <w:rPr>
          <w:rFonts w:ascii="Times New Roman" w:hAnsi="Times New Roman" w:eastAsia="Times New Roman" w:cs="Times New Roman"/>
          <w:noProof/>
          <w:color w:val="000000"/>
          <w:kern w:val="0"/>
          <w14:ligatures w14:val="none"/>
        </w:rPr>
        <w:drawing>
          <wp:inline distT="0" distB="0" distL="0" distR="0" wp14:anchorId="1747995C" wp14:editId="30D31486">
            <wp:extent cx="3033823" cy="2120111"/>
            <wp:effectExtent l="0" t="0" r="1905" b="1270"/>
            <wp:docPr id="2004132853" name="Picture 1" descr="A graph of crime ty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30132" name="Picture 1" descr="A graph of crime typ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2772" cy="216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D58" w:rsidP="006C5D58" w:rsidRDefault="006C5D58" w14:paraId="05C89A29" w14:textId="77777777">
      <w:pPr>
        <w:spacing w:after="100" w:afterAutospacing="1" w:line="240" w:lineRule="auto"/>
        <w:jc w:val="center"/>
        <w:outlineLvl w:val="3"/>
        <w:rPr>
          <w:rFonts w:ascii="Times New Roman" w:hAnsi="Times New Roman" w:eastAsia="Times New Roman" w:cs="Times New Roman"/>
          <w:color w:val="000000"/>
          <w:kern w:val="0"/>
          <w:sz w:val="16"/>
          <w:szCs w:val="16"/>
          <w14:ligatures w14:val="none"/>
        </w:rPr>
      </w:pPr>
      <w:r w:rsidRPr="00D417CC">
        <w:rPr>
          <w:rFonts w:hint="eastAsia" w:ascii="Times New Roman" w:hAnsi="Times New Roman" w:eastAsia="Times New Roman" w:cs="Times New Roman"/>
          <w:color w:val="000000"/>
          <w:kern w:val="0"/>
          <w:sz w:val="16"/>
          <w:szCs w:val="16"/>
          <w14:ligatures w14:val="none"/>
        </w:rPr>
        <w:t xml:space="preserve">Figure </w:t>
      </w:r>
      <w:r>
        <w:rPr>
          <w:rFonts w:ascii="Times New Roman" w:hAnsi="Times New Roman" w:eastAsia="Times New Roman" w:cs="Times New Roman"/>
          <w:color w:val="000000"/>
          <w:kern w:val="0"/>
          <w:sz w:val="16"/>
          <w:szCs w:val="16"/>
          <w14:ligatures w14:val="none"/>
        </w:rPr>
        <w:t>2.23</w:t>
      </w:r>
    </w:p>
    <w:p w:rsidR="006C5D58" w:rsidP="006C5D58" w:rsidRDefault="006C5D58" w14:paraId="0C212B2D" w14:textId="77777777">
      <w:pPr>
        <w:jc w:val="center"/>
      </w:pPr>
    </w:p>
    <w:sectPr w:rsidR="006C5D58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oNotDisplayPageBoundaries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58"/>
    <w:rsid w:val="006C5D58"/>
    <w:rsid w:val="008A472C"/>
    <w:rsid w:val="4E1F8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C27C3"/>
  <w15:chartTrackingRefBased/>
  <w15:docId w15:val="{8E68A364-BAB5-B845-BA9E-3201EE6B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5D58"/>
  </w:style>
  <w:style w:type="paragraph" w:styleId="Heading1">
    <w:name w:val="heading 1"/>
    <w:basedOn w:val="Normal"/>
    <w:next w:val="Normal"/>
    <w:link w:val="Heading1Char"/>
    <w:uiPriority w:val="9"/>
    <w:qFormat/>
    <w:rsid w:val="006C5D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C5D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C5D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C5D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C5D5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C5D5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C5D5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C5D5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C5D5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C5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C5D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C5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5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C5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C5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58"/>
    <w:rPr>
      <w:b/>
      <w:bCs/>
      <w:smallCaps/>
      <w:color w:val="0F4761" w:themeColor="accent1" w:themeShade="BF"/>
      <w:spacing w:val="5"/>
    </w:rPr>
  </w:style>
  <w:style w:type="character" w:styleId="apple-converted-space" w:customStyle="1">
    <w:name w:val="apple-converted-space"/>
    <w:basedOn w:val="DefaultParagraphFont"/>
    <w:rsid w:val="006C5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customXml" Target="../customXml/item3.xml" Id="rId11" /><Relationship Type="http://schemas.openxmlformats.org/officeDocument/2006/relationships/image" Target="media/image2.png" Id="rId5" /><Relationship Type="http://schemas.openxmlformats.org/officeDocument/2006/relationships/customXml" Target="../customXml/item2.xml" Id="rId10" /><Relationship Type="http://schemas.openxmlformats.org/officeDocument/2006/relationships/image" Target="media/image1.png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E0FDA2182CAF4E81452A84AFC2A2D2" ma:contentTypeVersion="10" ma:contentTypeDescription="Create a new document." ma:contentTypeScope="" ma:versionID="a54a032497fc46ef487db0be50e045f4">
  <xsd:schema xmlns:xsd="http://www.w3.org/2001/XMLSchema" xmlns:xs="http://www.w3.org/2001/XMLSchema" xmlns:p="http://schemas.microsoft.com/office/2006/metadata/properties" xmlns:ns2="89daeb05-1d27-4845-a8ae-f6346242443b" xmlns:ns3="9dfb23f1-7680-4bc8-85ad-4ef6fe8809d5" targetNamespace="http://schemas.microsoft.com/office/2006/metadata/properties" ma:root="true" ma:fieldsID="853148687fb543bd0cbcba1829f7c175" ns2:_="" ns3:_="">
    <xsd:import namespace="89daeb05-1d27-4845-a8ae-f6346242443b"/>
    <xsd:import namespace="9dfb23f1-7680-4bc8-85ad-4ef6fe8809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aeb05-1d27-4845-a8ae-f63462424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b23f1-7680-4bc8-85ad-4ef6fe8809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d66ebb-19ae-4f64-98d7-c0001b526804}" ma:internalName="TaxCatchAll" ma:showField="CatchAllData" ma:web="9dfb23f1-7680-4bc8-85ad-4ef6fe8809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daeb05-1d27-4845-a8ae-f6346242443b">
      <Terms xmlns="http://schemas.microsoft.com/office/infopath/2007/PartnerControls"/>
    </lcf76f155ced4ddcb4097134ff3c332f>
    <TaxCatchAll xmlns="9dfb23f1-7680-4bc8-85ad-4ef6fe8809d5" xsi:nil="true"/>
  </documentManagement>
</p:properties>
</file>

<file path=customXml/itemProps1.xml><?xml version="1.0" encoding="utf-8"?>
<ds:datastoreItem xmlns:ds="http://schemas.openxmlformats.org/officeDocument/2006/customXml" ds:itemID="{C73807E4-361A-4002-8927-67172487E185}"/>
</file>

<file path=customXml/itemProps2.xml><?xml version="1.0" encoding="utf-8"?>
<ds:datastoreItem xmlns:ds="http://schemas.openxmlformats.org/officeDocument/2006/customXml" ds:itemID="{E0C761BA-F43A-4284-A74C-B8CF2DF90BA6}"/>
</file>

<file path=customXml/itemProps3.xml><?xml version="1.0" encoding="utf-8"?>
<ds:datastoreItem xmlns:ds="http://schemas.openxmlformats.org/officeDocument/2006/customXml" ds:itemID="{8AF50E10-020B-442F-A922-79F8387F6F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Lingfeng</dc:creator>
  <cp:keywords/>
  <dc:description/>
  <cp:lastModifiedBy>Chen Wudi</cp:lastModifiedBy>
  <cp:revision>2</cp:revision>
  <dcterms:created xsi:type="dcterms:W3CDTF">2026-02-11T13:01:00Z</dcterms:created>
  <dcterms:modified xsi:type="dcterms:W3CDTF">2026-02-13T12:09:48Z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0x010100F1E0FDA2182CAF4E81452A84AFC2A2D2</vt:lpwstr>
  </property>
  <property fmtid="{D5CDD505-2E9C-101B-9397-08002B2CF9AE}" pid="3" name="MediaServiceImageTags">
    <vt:lpwstr/>
  </property>
</Properties>
</file>