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152D0">
      <w:pPr>
        <w:tabs>
          <w:tab w:val="left" w:pos="142"/>
        </w:tabs>
        <w:spacing w:line="240" w:lineRule="auto"/>
        <w:rPr>
          <w:rFonts w:hint="eastAsia" w:ascii="Times New Roman" w:hAnsi="Times New Roman" w:cs="Times New Roman"/>
          <w:b/>
          <w:bCs/>
          <w:sz w:val="24"/>
        </w:rPr>
      </w:pPr>
      <w:r>
        <w:rPr>
          <w:rFonts w:ascii="Times New Roman" w:hAnsi="Times New Roman" w:cs="Times New Roman"/>
          <w:b/>
          <w:bCs/>
          <w:sz w:val="24"/>
        </w:rPr>
        <w:t xml:space="preserve">1 </w:t>
      </w:r>
      <w:r>
        <w:rPr>
          <w:rFonts w:hint="eastAsia" w:ascii="Times New Roman" w:hAnsi="Times New Roman" w:cs="Times New Roman"/>
          <w:b/>
          <w:bCs/>
          <w:sz w:val="24"/>
        </w:rPr>
        <w:t>Background</w:t>
      </w:r>
    </w:p>
    <w:p w14:paraId="0D4D3BFA">
      <w:pPr>
        <w:tabs>
          <w:tab w:val="left" w:pos="142"/>
        </w:tabs>
        <w:adjustRightInd w:val="0"/>
        <w:snapToGrid w:val="0"/>
        <w:spacing w:line="240" w:lineRule="auto"/>
        <w:ind w:firstLine="283" w:firstLineChars="118"/>
        <w:rPr>
          <w:rFonts w:hint="eastAsia" w:ascii="Times New Roman" w:hAnsi="Times New Roman" w:cs="Times New Roman"/>
          <w:b/>
          <w:bCs/>
          <w:sz w:val="24"/>
        </w:rPr>
      </w:pPr>
      <w:r>
        <w:rPr>
          <w:rFonts w:hint="eastAsia" w:ascii="Times New Roman" w:hAnsi="Times New Roman" w:cs="Times New Roman"/>
          <w:sz w:val="24"/>
        </w:rPr>
        <w:t>This study develops a weekly binary crime hotspot prediction system targeting Chicago's three most frequent crime types — THEFT, BATTERY, and CRIMINAL DAMAGE — using a 1 km × 1 km spatial grid as the unit of analysis. A Multi-Layer Perceptron (MLP) model is trained on 2015–2024 historical data, evaluated on a held-out 2025 test year, and transferred zero-shot to the Texas NIBRS dataset to assess cross-domain generalizability. A Logistic Regression (LR) model serves as the baseline.y</w:t>
      </w:r>
    </w:p>
    <w:p w14:paraId="485ADC33">
      <w:pPr>
        <w:tabs>
          <w:tab w:val="left" w:pos="142"/>
        </w:tabs>
        <w:spacing w:line="240" w:lineRule="auto"/>
        <w:outlineLvl w:val="2"/>
        <w:rPr>
          <w:rFonts w:hint="eastAsia" w:ascii="Times New Roman" w:hAnsi="Times New Roman" w:cs="Times New Roman"/>
          <w:b/>
          <w:bCs/>
          <w:color w:val="000000"/>
          <w:sz w:val="24"/>
        </w:rPr>
      </w:pPr>
      <w:r>
        <w:rPr>
          <w:rFonts w:ascii="Times New Roman" w:hAnsi="Times New Roman" w:cs="Times New Roman"/>
          <w:b/>
          <w:bCs/>
          <w:color w:val="000000"/>
          <w:sz w:val="24"/>
        </w:rPr>
        <w:t xml:space="preserve">2 </w:t>
      </w:r>
      <w:r>
        <w:rPr>
          <w:rFonts w:hint="eastAsia" w:ascii="Times New Roman" w:hAnsi="Times New Roman" w:cs="Times New Roman"/>
          <w:b/>
          <w:bCs/>
          <w:color w:val="000000"/>
          <w:sz w:val="24"/>
        </w:rPr>
        <w:t>Method</w:t>
      </w:r>
    </w:p>
    <w:p w14:paraId="60CFB518">
      <w:pPr>
        <w:tabs>
          <w:tab w:val="left" w:pos="142"/>
        </w:tabs>
        <w:adjustRightInd w:val="0"/>
        <w:snapToGrid w:val="0"/>
        <w:spacing w:line="240" w:lineRule="auto"/>
        <w:ind w:firstLine="283" w:firstLineChars="118"/>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Feature Engineering (38 dimensions): Temporal cyclic encoding of week-of-year and day-of-week via sin/cos transforms (7); total crime lag counts at 1, 2, 4, 8, 13, 26, and 52 weeks (7); rolling means over 4, 12, and 26-week windows (3); spatial neighbor context — sum of adjacent grids' lag-1 crime count (1); grid centroid coordinates (2); crime-type-specific lags at 1, 4, and 13 weeks for each of the three crime types (15).</w:t>
      </w:r>
    </w:p>
    <w:p w14:paraId="67B1AC6B">
      <w:pPr>
        <w:tabs>
          <w:tab w:val="left" w:pos="142"/>
        </w:tabs>
        <w:adjustRightInd w:val="0"/>
        <w:snapToGrid w:val="0"/>
        <w:spacing w:line="240" w:lineRule="auto"/>
        <w:ind w:firstLine="283" w:firstLineChars="118"/>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MLP Architecture: Input(38) → Dense(256, ReLU, BatchNorm, Dropout 0.3) → Dense(128, ReLU, BatchNorm, Dropout 0.3) → Dense(64, ReLU, Dropout 0.2) → Dense(1, Sigmoid). Optimizer: Adam (lr = 1e-3). Callbacks: EarlyStopping (patience = 10) and ReduceLROnPlateau (patience = 5). Max epochs: 50; batch size: 512. Training uses class weights to handle label imbalance.</w:t>
      </w:r>
    </w:p>
    <w:p w14:paraId="5AFC79AE">
      <w:pPr>
        <w:tabs>
          <w:tab w:val="left" w:pos="142"/>
        </w:tabs>
        <w:adjustRightInd w:val="0"/>
        <w:snapToGrid w:val="0"/>
        <w:spacing w:line="240" w:lineRule="auto"/>
        <w:ind w:firstLine="283" w:firstLineChars="118"/>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Validation: 5-fold TimeSeriesSplit cross-validation (no data shuffling) prevents temporal leakage. Final models are trained on the full 2015–2024 period and evaluated on 2025.</w:t>
      </w:r>
    </w:p>
    <w:p w14:paraId="3D85CB44">
      <w:pPr>
        <w:tabs>
          <w:tab w:val="left" w:pos="142"/>
        </w:tabs>
        <w:spacing w:line="240" w:lineRule="auto"/>
        <w:outlineLvl w:val="2"/>
        <w:rPr>
          <w:rFonts w:hint="eastAsia" w:ascii="Times New Roman" w:hAnsi="Times New Roman" w:cs="Times New Roman" w:eastAsiaTheme="minorEastAsia"/>
          <w:sz w:val="24"/>
          <w:lang w:val="en-US" w:eastAsia="zh-CN"/>
        </w:rPr>
      </w:pPr>
      <w:r>
        <w:rPr>
          <w:rFonts w:hint="eastAsia" w:ascii="Times New Roman" w:hAnsi="Times New Roman" w:cs="Times New Roman"/>
          <w:b/>
          <w:bCs/>
          <w:color w:val="000000"/>
          <w:sz w:val="24"/>
          <w:lang w:val="en-US" w:eastAsia="zh-CN"/>
        </w:rPr>
        <w:t>3</w:t>
      </w:r>
      <w:r>
        <w:rPr>
          <w:rFonts w:ascii="Times New Roman" w:hAnsi="Times New Roman" w:cs="Times New Roman"/>
          <w:b/>
          <w:bCs/>
          <w:color w:val="000000"/>
          <w:sz w:val="24"/>
        </w:rPr>
        <w:t xml:space="preserve"> </w:t>
      </w:r>
      <w:r>
        <w:rPr>
          <w:rFonts w:hint="eastAsia" w:ascii="Times New Roman" w:hAnsi="Times New Roman" w:cs="Times New Roman"/>
          <w:b/>
          <w:bCs/>
          <w:color w:val="000000"/>
          <w:sz w:val="24"/>
          <w:lang w:val="en-US" w:eastAsia="zh-CN"/>
        </w:rPr>
        <w:t>Result</w:t>
      </w:r>
    </w:p>
    <w:p w14:paraId="3010DB9C">
      <w:pPr>
        <w:tabs>
          <w:tab w:val="left" w:pos="142"/>
        </w:tabs>
        <w:adjustRightInd w:val="0"/>
        <w:snapToGrid w:val="0"/>
        <w:spacing w:line="240" w:lineRule="auto"/>
        <w:ind w:firstLine="240" w:firstLineChars="100"/>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The MLP improves AUC by 2.0–2.5 percentage points and Recall by 2–9 pp over LR across all crime types. 5-fold cross-validation AUC: THEFT 0.799 ± 0.022, BATTERY 0.805 ± 0.035, CRIMINAL DAMAGE 0.747 ± 0.029, confirming stable out-of-sample performance. Grid resolution sensitivity testing shows that 1 km grids (AUC: 0.809 / 0.808 / 0.749) substantially outperform 500 m grids (0.742 / 0.720 / 0.690); finer granularity increases grid count 3.6× but degrades AUC by 8–11% due to data sparsity per cell.</w:t>
      </w:r>
      <w:r>
        <w:rPr>
          <w:rFonts w:hint="eastAsia" w:ascii="Times New Roman" w:hAnsi="Times New Roman" w:cs="Times New Roman"/>
          <w:b/>
          <w:bCs/>
          <w:sz w:val="24"/>
          <w:lang w:val="en-US" w:eastAsia="zh-CN"/>
        </w:rPr>
        <w:t>(table 1)</w:t>
      </w:r>
    </w:p>
    <w:p w14:paraId="43EC5D82">
      <w:pPr>
        <w:tabs>
          <w:tab w:val="left" w:pos="142"/>
        </w:tabs>
        <w:adjustRightInd w:val="0"/>
        <w:snapToGrid w:val="0"/>
        <w:spacing w:line="240" w:lineRule="auto"/>
        <w:ind w:firstLine="240" w:firstLineChars="100"/>
        <w:rPr>
          <w:rFonts w:hint="eastAsia" w:ascii="Times New Roman" w:hAnsi="Times New Roman" w:cs="Times New Roman"/>
          <w:sz w:val="24"/>
          <w:lang w:val="en-US" w:eastAsia="zh-CN"/>
        </w:rPr>
      </w:pPr>
      <w:r>
        <w:rPr>
          <w:rFonts w:hint="default" w:ascii="Times New Roman" w:hAnsi="Times New Roman" w:cs="Times New Roman"/>
          <w:sz w:val="24"/>
          <w:lang w:val="en-US" w:eastAsia="zh-CN"/>
        </w:rPr>
        <w:t>THEFT and BATTERY fall within the strong generalization threshold (&lt;5% AUC drop), demonstrating that temporal lag features encode crime periodicity patterns that transfer across geographic boundaries. CRIMINAL DAMAGE improves by 9.0% on Texas data, likely because property damage crimes in Texas NIBRS exhibit more regular weekly temporal cycles — consistent with stricter statewide reporting requirements — which align closely with the model's 52-week lag window. BATTERY Recall drops to 0.44 despite high Precision (0.90), reflecting heterogeneous reporting thresholds across Texas agencies. All three crime types maintain AUC &gt; 0.77 on unseen out-of-state data.</w:t>
      </w:r>
      <w:r>
        <w:rPr>
          <w:rFonts w:hint="eastAsia" w:ascii="Times New Roman" w:hAnsi="Times New Roman" w:cs="Times New Roman"/>
          <w:b/>
          <w:bCs/>
          <w:sz w:val="24"/>
          <w:lang w:val="en-US" w:eastAsia="zh-CN"/>
        </w:rPr>
        <w:t>(table 2)</w:t>
      </w:r>
    </w:p>
    <w:p w14:paraId="591DED52">
      <w:pPr>
        <w:tabs>
          <w:tab w:val="left" w:pos="142"/>
        </w:tabs>
        <w:adjustRightInd w:val="0"/>
        <w:snapToGrid w:val="0"/>
        <w:spacing w:line="240" w:lineRule="auto"/>
        <w:ind w:firstLine="240" w:firstLineChars="1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Grid cells are assigned to tertile risk groups based on 2015–2024 historical mean crime rate (methodology aligned with XGBoost baseline). F1 rises sharply from Low to High risk (e.g., THEFT: 0.04 → 0.52 → 0.93), confirming that the model has effectively internalized persistent spatial baselines. Per-grid AUC averages ~0.59 across 596–631 valid grids (≥ 10 samples), substantially lower than the overall AUC of 0.81. This gap reflects the distinction between two discrimination tasks: cross-grid separation (which grid is dangerous) versus within-grid temporal discrimination (which week within a grid will be dangerous) — the latter being inherently harder due to sparse within-cell variation.</w:t>
      </w:r>
    </w:p>
    <w:p w14:paraId="2ED630C5">
      <w:pPr>
        <w:tabs>
          <w:tab w:val="left" w:pos="142"/>
        </w:tabs>
        <w:adjustRightInd w:val="0"/>
        <w:snapToGrid w:val="0"/>
        <w:spacing w:line="240" w:lineRule="auto"/>
        <w:ind w:firstLine="240" w:firstLineChars="100"/>
        <w:rPr>
          <w:rFonts w:hint="eastAsia" w:ascii="Times New Roman" w:hAnsi="Times New Roman" w:cs="Times New Roman"/>
          <w:b/>
          <w:bCs/>
          <w:sz w:val="24"/>
          <w:lang w:val="en-US" w:eastAsia="zh-CN"/>
        </w:rPr>
      </w:pPr>
      <w:r>
        <w:rPr>
          <w:rFonts w:hint="default" w:ascii="Times New Roman" w:hAnsi="Times New Roman" w:cs="Times New Roman"/>
          <w:sz w:val="24"/>
          <w:lang w:val="en-US" w:eastAsia="zh-CN"/>
        </w:rPr>
        <w:t>Hotspot hit rate at absolute k (aligned with XGBoost and Random Forest for comparability): at k = 20, the model correctly identifies 9/20 (45%), 12/20 (60%), and 11/20 (55%) of the true top-20 hotspot grids for THEFT, BATTERY, and CRIMINAL DAMAGE respectively. CRIMINAL DAMAGE achieves a perfect hit rate of 1.0 at k = 5</w:t>
      </w:r>
      <w:r>
        <w:rPr>
          <w:rFonts w:hint="default" w:ascii="Times New Roman" w:hAnsi="Times New Roman" w:cs="Times New Roman"/>
          <w:b/>
          <w:bCs/>
          <w:sz w:val="24"/>
          <w:lang w:val="en-US" w:eastAsia="zh-CN"/>
        </w:rPr>
        <w:t>.</w:t>
      </w:r>
      <w:r>
        <w:rPr>
          <w:rFonts w:hint="eastAsia" w:ascii="Times New Roman" w:hAnsi="Times New Roman" w:cs="Times New Roman"/>
          <w:b/>
          <w:bCs/>
          <w:sz w:val="24"/>
          <w:lang w:val="en-US" w:eastAsia="zh-CN"/>
        </w:rPr>
        <w:t>(table 3)</w:t>
      </w:r>
    </w:p>
    <w:p w14:paraId="50992104">
      <w:pPr>
        <w:tabs>
          <w:tab w:val="left" w:pos="142"/>
        </w:tabs>
        <w:adjustRightInd w:val="0"/>
        <w:snapToGrid w:val="0"/>
        <w:spacing w:line="240" w:lineRule="auto"/>
        <w:ind w:firstLine="240" w:firstLineChars="100"/>
        <w:rPr>
          <w:rFonts w:hint="eastAsia" w:ascii="Times New Roman" w:hAnsi="Times New Roman" w:cs="Times New Roman"/>
          <w:b/>
          <w:bCs/>
          <w:sz w:val="24"/>
          <w:lang w:val="en-US" w:eastAsia="zh-CN"/>
        </w:rPr>
      </w:pPr>
      <w:r>
        <w:rPr>
          <w:rFonts w:hint="default" w:ascii="Times New Roman" w:hAnsi="Times New Roman" w:cs="Times New Roman"/>
          <w:sz w:val="24"/>
          <w:lang w:val="en-US" w:eastAsia="zh-CN"/>
        </w:rPr>
        <w:t>Weekly AUC is highly stable across all 52 test weeks, with standard deviations of 0.016–0.023 and a coefficient of variation below 3% for all crime types. A mild summer peak (Q2/Q3) is observed across all types, consistent with Chicago's documented seasonal crime pattern, but the maximum quarterly AUC gap is only 0.026, confirming that the model generalizes robustly across seasons without meaningful degradation.</w:t>
      </w:r>
      <w:r>
        <w:rPr>
          <w:rFonts w:hint="eastAsia" w:ascii="Times New Roman" w:hAnsi="Times New Roman" w:cs="Times New Roman"/>
          <w:b/>
          <w:bCs/>
          <w:sz w:val="24"/>
          <w:lang w:val="en-US" w:eastAsia="zh-CN"/>
        </w:rPr>
        <w:t>(table 4)</w:t>
      </w:r>
    </w:p>
    <w:p w14:paraId="77A650BE">
      <w:pPr>
        <w:tabs>
          <w:tab w:val="left" w:pos="142"/>
        </w:tabs>
        <w:spacing w:line="240" w:lineRule="auto"/>
        <w:outlineLvl w:val="2"/>
        <w:rPr>
          <w:rFonts w:hint="eastAsia" w:ascii="Times New Roman" w:hAnsi="Times New Roman" w:cs="Times New Roman" w:eastAsiaTheme="minorEastAsia"/>
          <w:b/>
          <w:bCs/>
          <w:color w:val="000000"/>
          <w:sz w:val="24"/>
          <w:lang w:val="en-US" w:eastAsia="zh-CN"/>
        </w:rPr>
      </w:pPr>
      <w:r>
        <w:rPr>
          <w:rFonts w:hint="eastAsia" w:ascii="Times New Roman" w:hAnsi="Times New Roman" w:cs="Times New Roman"/>
          <w:b/>
          <w:bCs/>
          <w:color w:val="000000"/>
          <w:sz w:val="24"/>
          <w:lang w:val="en-US" w:eastAsia="zh-CN"/>
        </w:rPr>
        <w:t>4</w:t>
      </w:r>
      <w:r>
        <w:rPr>
          <w:rFonts w:ascii="Times New Roman" w:hAnsi="Times New Roman" w:cs="Times New Roman"/>
          <w:b/>
          <w:bCs/>
          <w:color w:val="000000"/>
          <w:sz w:val="24"/>
        </w:rPr>
        <w:t xml:space="preserve"> </w:t>
      </w:r>
      <w:r>
        <w:rPr>
          <w:rFonts w:hint="eastAsia" w:ascii="Times New Roman" w:hAnsi="Times New Roman" w:cs="Times New Roman"/>
          <w:b/>
          <w:bCs/>
          <w:color w:val="000000"/>
          <w:sz w:val="24"/>
          <w:lang w:val="en-US" w:eastAsia="zh-CN"/>
        </w:rPr>
        <w:t>Conclusion</w:t>
      </w:r>
    </w:p>
    <w:p w14:paraId="3CA48D21">
      <w:pPr>
        <w:tabs>
          <w:tab w:val="left" w:pos="142"/>
        </w:tabs>
        <w:adjustRightInd w:val="0"/>
        <w:snapToGrid w:val="0"/>
        <w:spacing w:line="240" w:lineRule="auto"/>
        <w:ind w:firstLine="240" w:firstLineChars="100"/>
        <w:rPr>
          <w:rFonts w:hint="default" w:ascii="Times New Roman" w:hAnsi="Times New Roman" w:cs="Times New Roman"/>
          <w:sz w:val="24"/>
          <w:lang w:val="en-US" w:eastAsia="zh-CN"/>
        </w:rPr>
      </w:pPr>
      <w:r>
        <w:rPr>
          <w:rFonts w:hint="default" w:ascii="Times New Roman" w:hAnsi="Times New Roman" w:cs="Times New Roman"/>
          <w:sz w:val="24"/>
          <w:lang w:val="en-US" w:eastAsia="zh-CN"/>
        </w:rPr>
        <w:t>The MLP v2 model consistently outperforms the LR baseline across all crime types and evaluation dimensions. Key findings: (1) temporal lag and rolling features capture crime periodicity effectively, yielding stable AUC &gt; 0.75 across 52 weekly test periods with no seasonal degradation; (2) the model transfers to Texas NIBRS with minimal AUC loss (&lt; 5% for two of three types), demonstrating cross-domain generalizability; (3) spatial evaluation confirms strong performance in persistently high-risk areas (F1 up to 0.93) with the expected difficulty in low-risk sparse cells; (4) the 1 km grid resolution is validated as optimal — finer granularity significantly degrades performance due to data sparsity.</w:t>
      </w:r>
    </w:p>
    <w:p w14:paraId="33720ADA">
      <w:pPr>
        <w:tabs>
          <w:tab w:val="left" w:pos="142"/>
        </w:tabs>
        <w:adjustRightInd w:val="0"/>
        <w:snapToGrid w:val="0"/>
        <w:spacing w:line="240" w:lineRule="auto"/>
        <w:ind w:firstLine="240" w:firstLineChars="100"/>
        <w:rPr>
          <w:rFonts w:hint="default" w:ascii="Times New Roman" w:hAnsi="Times New Roman" w:cs="Times New Roman"/>
          <w:sz w:val="24"/>
          <w:lang w:val="en-US" w:eastAsia="zh-CN"/>
        </w:rPr>
      </w:pPr>
    </w:p>
    <w:p w14:paraId="208D05C0">
      <w:pPr>
        <w:tabs>
          <w:tab w:val="left" w:pos="142"/>
        </w:tabs>
        <w:adjustRightInd w:val="0"/>
        <w:snapToGrid w:val="0"/>
        <w:spacing w:line="240" w:lineRule="auto"/>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Table 1: LR Baseline vs. MLP — Chicago 2025 Held-Out Test Set</w:t>
      </w:r>
    </w:p>
    <w:tbl>
      <w:tblPr>
        <w:tblW w:w="4998"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2220"/>
        <w:gridCol w:w="1539"/>
        <w:gridCol w:w="1204"/>
        <w:gridCol w:w="944"/>
        <w:gridCol w:w="1190"/>
        <w:gridCol w:w="1286"/>
      </w:tblGrid>
      <w:tr w14:paraId="77E206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PrEx>
        <w:trPr>
          <w:tblHeade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BB02ED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Crime Type</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D51C4B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Model</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6BD3FD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Precision</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1C95D1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Recall</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15C7B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F1-Score</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2E6787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AUC-ROC</w:t>
            </w:r>
          </w:p>
        </w:tc>
      </w:tr>
      <w:tr w14:paraId="2F942CD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A3DF3C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THEFT</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228415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LR Baseline</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708140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0.8575</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707510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0.6306</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6BD536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0.7268</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5D2FD21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0.7902</w:t>
            </w:r>
          </w:p>
        </w:tc>
      </w:tr>
      <w:tr w14:paraId="74BB59C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48F963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THEFT</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6CDEA9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MLP</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E67F7E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0.8439</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E6DA4B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0.7038</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707A20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0.7675</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E64D3F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0.8102</w:t>
            </w:r>
          </w:p>
        </w:tc>
      </w:tr>
      <w:tr w14:paraId="6ADF8D0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46ABD0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BATTERY</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666051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LR Baseline</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33D9FA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0.8469</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E413F5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0.6108</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0DBEAC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0.7098</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48EE8A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0.7927</w:t>
            </w:r>
          </w:p>
        </w:tc>
      </w:tr>
      <w:tr w14:paraId="34F77C68">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5A9326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BATTERY</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C5C47C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MLP</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D4FA5A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0.8453</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55BBAB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0.6320</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90AA76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0.7232</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DDC4E3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0.8079</w:t>
            </w:r>
          </w:p>
        </w:tc>
      </w:tr>
      <w:tr w14:paraId="40C6EA0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7C5856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 DAMAGE</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53CC19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LR Baseline</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EB699D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0.6990</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5F802A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0.5608</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39E6F4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0.6223</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9F1E51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0.7332</w:t>
            </w:r>
          </w:p>
        </w:tc>
      </w:tr>
      <w:tr w14:paraId="123EFED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129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71ECB8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 DAMAGE</w:t>
            </w:r>
          </w:p>
        </w:tc>
        <w:tc>
          <w:tcPr>
            <w:tcW w:w="9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C85C0C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MLP</w:t>
            </w:r>
          </w:p>
        </w:tc>
        <w:tc>
          <w:tcPr>
            <w:tcW w:w="700"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E44D15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0.6794</w:t>
            </w:r>
          </w:p>
        </w:tc>
        <w:tc>
          <w:tcPr>
            <w:tcW w:w="5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A307F9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0.6543</w:t>
            </w:r>
          </w:p>
        </w:tc>
        <w:tc>
          <w:tcPr>
            <w:tcW w:w="692"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9A8B1E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0.6666</w:t>
            </w:r>
          </w:p>
        </w:tc>
        <w:tc>
          <w:tcPr>
            <w:tcW w:w="740"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7DBDBF2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0.7515</w:t>
            </w:r>
          </w:p>
        </w:tc>
      </w:tr>
    </w:tbl>
    <w:p w14:paraId="3FB7E74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p>
    <w:p w14:paraId="02BA13DB">
      <w:pPr>
        <w:tabs>
          <w:tab w:val="left" w:pos="142"/>
        </w:tabs>
        <w:adjustRightInd w:val="0"/>
        <w:snapToGrid w:val="0"/>
        <w:spacing w:line="240" w:lineRule="auto"/>
        <w:jc w:val="center"/>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sz w:val="22"/>
          <w:szCs w:val="22"/>
          <w:lang w:val="en-US" w:eastAsia="zh-CN"/>
        </w:rPr>
        <w:t xml:space="preserve">Table 2: Cross-Domain Generalization — Chicago MLP </w:t>
      </w:r>
      <w:r>
        <w:rPr>
          <w:rFonts w:hint="eastAsia" w:ascii="Times New Roman" w:hAnsi="Times New Roman" w:cs="Times New Roman"/>
          <w:sz w:val="22"/>
          <w:szCs w:val="22"/>
          <w:lang w:val="en-US" w:eastAsia="zh-CN"/>
        </w:rPr>
        <w:t>to</w:t>
      </w:r>
      <w:r>
        <w:rPr>
          <w:rFonts w:hint="default" w:ascii="Times New Roman" w:hAnsi="Times New Roman" w:cs="Times New Roman"/>
          <w:sz w:val="22"/>
          <w:szCs w:val="22"/>
          <w:lang w:val="en-US" w:eastAsia="zh-CN"/>
        </w:rPr>
        <w:t xml:space="preserve"> Texas NIBRS (Zero-Shot, n = 66,727)</w:t>
      </w:r>
    </w:p>
    <w:tbl>
      <w:tblPr>
        <w:tblW w:w="4998"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875"/>
        <w:gridCol w:w="1018"/>
        <w:gridCol w:w="796"/>
        <w:gridCol w:w="1004"/>
        <w:gridCol w:w="1615"/>
        <w:gridCol w:w="1384"/>
        <w:gridCol w:w="691"/>
      </w:tblGrid>
      <w:tr w14:paraId="7B2BACC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109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9F124A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Crime Type</w:t>
            </w:r>
          </w:p>
        </w:tc>
        <w:tc>
          <w:tcPr>
            <w:tcW w:w="5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250217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Precision</w:t>
            </w:r>
          </w:p>
        </w:tc>
        <w:tc>
          <w:tcPr>
            <w:tcW w:w="45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9B3B2F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Recall</w:t>
            </w:r>
          </w:p>
        </w:tc>
        <w:tc>
          <w:tcPr>
            <w:tcW w:w="58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04D5B9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F1-Score</w:t>
            </w:r>
          </w:p>
        </w:tc>
        <w:tc>
          <w:tcPr>
            <w:tcW w:w="9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37E5F5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AUC (Chicago)</w:t>
            </w:r>
          </w:p>
        </w:tc>
        <w:tc>
          <w:tcPr>
            <w:tcW w:w="80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45B3D3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AUC (Texas)</w:t>
            </w:r>
          </w:p>
        </w:tc>
        <w:tc>
          <w:tcPr>
            <w:tcW w:w="385"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24D3EB9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ΔAUC</w:t>
            </w:r>
          </w:p>
        </w:tc>
      </w:tr>
      <w:tr w14:paraId="1ADD2AE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9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D67EB5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THEFT</w:t>
            </w:r>
          </w:p>
        </w:tc>
        <w:tc>
          <w:tcPr>
            <w:tcW w:w="5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C0BC7C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0.8167</w:t>
            </w:r>
          </w:p>
        </w:tc>
        <w:tc>
          <w:tcPr>
            <w:tcW w:w="45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EB3EA2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0.6236</w:t>
            </w:r>
          </w:p>
        </w:tc>
        <w:tc>
          <w:tcPr>
            <w:tcW w:w="58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2B0D7C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0.7072</w:t>
            </w:r>
          </w:p>
        </w:tc>
        <w:tc>
          <w:tcPr>
            <w:tcW w:w="9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AF69F7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0.8102</w:t>
            </w:r>
          </w:p>
        </w:tc>
        <w:tc>
          <w:tcPr>
            <w:tcW w:w="80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C8DE72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0.7719</w:t>
            </w:r>
          </w:p>
        </w:tc>
        <w:tc>
          <w:tcPr>
            <w:tcW w:w="385"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FE7E33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−4.7%</w:t>
            </w:r>
          </w:p>
        </w:tc>
      </w:tr>
      <w:tr w14:paraId="4A30B46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9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60663D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BATTERY</w:t>
            </w:r>
          </w:p>
        </w:tc>
        <w:tc>
          <w:tcPr>
            <w:tcW w:w="5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D759E8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0.9011</w:t>
            </w:r>
          </w:p>
        </w:tc>
        <w:tc>
          <w:tcPr>
            <w:tcW w:w="45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C23659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0.4402</w:t>
            </w:r>
          </w:p>
        </w:tc>
        <w:tc>
          <w:tcPr>
            <w:tcW w:w="58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242375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0.5915</w:t>
            </w:r>
          </w:p>
        </w:tc>
        <w:tc>
          <w:tcPr>
            <w:tcW w:w="9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3D9265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0.8079</w:t>
            </w:r>
          </w:p>
        </w:tc>
        <w:tc>
          <w:tcPr>
            <w:tcW w:w="80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94E3BA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0.7830</w:t>
            </w:r>
          </w:p>
        </w:tc>
        <w:tc>
          <w:tcPr>
            <w:tcW w:w="385"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0C66A01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−3.1%</w:t>
            </w:r>
          </w:p>
        </w:tc>
      </w:tr>
      <w:tr w14:paraId="5E5F1ED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109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5D1C76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 DAMAGE</w:t>
            </w:r>
          </w:p>
        </w:tc>
        <w:tc>
          <w:tcPr>
            <w:tcW w:w="5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B0BE16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0.7549</w:t>
            </w:r>
          </w:p>
        </w:tc>
        <w:tc>
          <w:tcPr>
            <w:tcW w:w="45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962A55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0.5409</w:t>
            </w:r>
          </w:p>
        </w:tc>
        <w:tc>
          <w:tcPr>
            <w:tcW w:w="581"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52DF2F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0.6302</w:t>
            </w:r>
          </w:p>
        </w:tc>
        <w:tc>
          <w:tcPr>
            <w:tcW w:w="945"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6A4815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0.7515</w:t>
            </w:r>
          </w:p>
        </w:tc>
        <w:tc>
          <w:tcPr>
            <w:tcW w:w="807"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37FB15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0.8190</w:t>
            </w:r>
          </w:p>
        </w:tc>
        <w:tc>
          <w:tcPr>
            <w:tcW w:w="385"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53E01B2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+9.0%</w:t>
            </w:r>
          </w:p>
        </w:tc>
      </w:tr>
    </w:tbl>
    <w:p w14:paraId="3BA4701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p>
    <w:p w14:paraId="5755E111">
      <w:pPr>
        <w:tabs>
          <w:tab w:val="left" w:pos="142"/>
        </w:tabs>
        <w:adjustRightInd w:val="0"/>
        <w:snapToGrid w:val="0"/>
        <w:spacing w:line="240" w:lineRule="auto"/>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Table 3: Spatial Accuracy — F1 by Historical Risk Group (Chicago 2025)</w:t>
      </w:r>
    </w:p>
    <w:tbl>
      <w:tblPr>
        <w:tblW w:w="4998" w:type="pct"/>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12"/>
        <w:gridCol w:w="2359"/>
        <w:gridCol w:w="2409"/>
        <w:gridCol w:w="2303"/>
      </w:tblGrid>
      <w:tr w14:paraId="55146CB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756"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933E5F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Risk Group</w:t>
            </w:r>
          </w:p>
        </w:tc>
        <w:tc>
          <w:tcPr>
            <w:tcW w:w="13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878F99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THEFT</w:t>
            </w:r>
          </w:p>
        </w:tc>
        <w:tc>
          <w:tcPr>
            <w:tcW w:w="141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4D8933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BATTERY</w:t>
            </w:r>
          </w:p>
        </w:tc>
        <w:tc>
          <w:tcPr>
            <w:tcW w:w="1347"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39415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 DAMAGE</w:t>
            </w:r>
          </w:p>
        </w:tc>
      </w:tr>
      <w:tr w14:paraId="688E2BA2">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756"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4C9DCB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p>
        </w:tc>
        <w:tc>
          <w:tcPr>
            <w:tcW w:w="13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003125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c>
          <w:tcPr>
            <w:tcW w:w="141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FB0983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c>
          <w:tcPr>
            <w:tcW w:w="1347"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BCFB58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r>
      <w:tr w14:paraId="51801E86">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756"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224C56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High Risk</w:t>
            </w:r>
          </w:p>
        </w:tc>
        <w:tc>
          <w:tcPr>
            <w:tcW w:w="13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DCA94C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0.895 / 0.975 / 0.931 / 0.580</w:t>
            </w:r>
          </w:p>
        </w:tc>
        <w:tc>
          <w:tcPr>
            <w:tcW w:w="141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64AA735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0.885 / 0.945 / 0.911 / 0.565</w:t>
            </w:r>
          </w:p>
        </w:tc>
        <w:tc>
          <w:tcPr>
            <w:tcW w:w="1347"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3E2C239A">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0.716 / 0.936 / 0.805 / 0.565</w:t>
            </w:r>
          </w:p>
        </w:tc>
      </w:tr>
      <w:tr w14:paraId="09796014">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756"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29D94F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Medium Risk</w:t>
            </w:r>
          </w:p>
        </w:tc>
        <w:tc>
          <w:tcPr>
            <w:tcW w:w="13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7915C77">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0.638 / 0.498 / 0.518 / 0.595</w:t>
            </w:r>
          </w:p>
        </w:tc>
        <w:tc>
          <w:tcPr>
            <w:tcW w:w="141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EC1E01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0.505 / 0.310 / 0.345 / 0.588</w:t>
            </w:r>
          </w:p>
        </w:tc>
        <w:tc>
          <w:tcPr>
            <w:tcW w:w="1347"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70CFB9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0.453 / 0.359 / 0.360 / 0.591</w:t>
            </w:r>
          </w:p>
        </w:tc>
      </w:tr>
      <w:tr w14:paraId="1EAD55C1">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756"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2F932F2">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Low Risk</w:t>
            </w:r>
          </w:p>
        </w:tc>
        <w:tc>
          <w:tcPr>
            <w:tcW w:w="138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A5EF0C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0.122 / 0.026 / 0.038 / 0.610</w:t>
            </w:r>
          </w:p>
        </w:tc>
        <w:tc>
          <w:tcPr>
            <w:tcW w:w="1419" w:type="pct"/>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B663DE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0.017 / 0.005 / 0.006 / 0.603</w:t>
            </w:r>
          </w:p>
        </w:tc>
        <w:tc>
          <w:tcPr>
            <w:tcW w:w="1347" w:type="pct"/>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7F4BE54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0.032 / 0.006 / 0.010 / 0.621</w:t>
            </w:r>
          </w:p>
        </w:tc>
      </w:tr>
    </w:tbl>
    <w:p w14:paraId="5B69195D">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p>
    <w:p w14:paraId="67F37161">
      <w:pPr>
        <w:tabs>
          <w:tab w:val="left" w:pos="142"/>
        </w:tabs>
        <w:adjustRightInd w:val="0"/>
        <w:snapToGrid w:val="0"/>
        <w:spacing w:line="240" w:lineRule="auto"/>
        <w:jc w:val="center"/>
        <w:rPr>
          <w:rFonts w:hint="default" w:ascii="Times New Roman" w:hAnsi="Times New Roman" w:cs="Times New Roman"/>
          <w:sz w:val="22"/>
          <w:szCs w:val="22"/>
          <w:lang w:val="en-US" w:eastAsia="zh-CN"/>
        </w:rPr>
      </w:pPr>
      <w:bookmarkStart w:id="0" w:name="_GoBack"/>
      <w:r>
        <w:rPr>
          <w:rFonts w:hint="default" w:ascii="Times New Roman" w:hAnsi="Times New Roman" w:cs="Times New Roman"/>
          <w:sz w:val="22"/>
          <w:szCs w:val="22"/>
          <w:lang w:val="en-US" w:eastAsia="zh-CN"/>
        </w:rPr>
        <w:t>Table 4: Temporal Accuracy — Quarterly AUC-ROC and F1 (Chicago 2025)</w:t>
      </w:r>
    </w:p>
    <w:bookmarkEnd w:id="0"/>
    <w:tbl>
      <w:tblPr>
        <w:tblW w:w="0" w:type="auto"/>
        <w:tblCellSpacing w:w="15" w:type="dxa"/>
        <w:tblInd w:w="1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1311"/>
        <w:gridCol w:w="2357"/>
        <w:gridCol w:w="2407"/>
        <w:gridCol w:w="2301"/>
      </w:tblGrid>
      <w:tr w14:paraId="49F4905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5AB9822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Risk Group</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536385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THEFT</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7CF73A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BATTERY</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694456E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CRIM. DAMAGE</w:t>
            </w:r>
          </w:p>
        </w:tc>
      </w:tr>
      <w:tr w14:paraId="156DE597">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C983E7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0F44976">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E436475">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191A92BC">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P / R / F1 / AUC</w:t>
            </w:r>
          </w:p>
        </w:tc>
      </w:tr>
      <w:tr w14:paraId="639BC0F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0EA2E65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High Risk</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8C717D9">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0.895 / 0.975 / 0.931 / 0.580</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25AC17F0">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0.885 / 0.945 / 0.911 / 0.565</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F48989B">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0.716 / 0.936 / 0.805 / 0.565</w:t>
            </w:r>
          </w:p>
        </w:tc>
      </w:tr>
      <w:tr w14:paraId="57D0D6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337B112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Medium Risk</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70FAC233">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0.638 / 0.498 / 0.518 / 0.595</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1A2B5EBF">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0.505 / 0.310 / 0.345 / 0.588</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478E5C11">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0.453 / 0.359 / 0.360 / 0.591</w:t>
            </w:r>
          </w:p>
        </w:tc>
      </w:tr>
      <w:tr w14:paraId="757CF0F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5AAEB08">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Low Risk</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955763E">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0.122 / 0.026 / 0.038 / 0.610</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right w:w="120" w:type="dxa"/>
            </w:tcMar>
            <w:vAlign w:val="center"/>
          </w:tcPr>
          <w:p w14:paraId="4536D2E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0.017 / 0.005 / 0.006 / 0.603</w:t>
            </w:r>
          </w:p>
        </w:tc>
        <w:tc>
          <w:tcPr>
            <w:tcW w:w="0" w:type="auto"/>
            <w:tcBorders>
              <w:top w:val="single" w:color="auto" w:sz="4" w:space="0"/>
              <w:left w:val="single" w:color="auto" w:sz="4" w:space="0"/>
              <w:bottom w:val="single" w:color="auto" w:sz="4" w:space="0"/>
              <w:right w:val="single" w:color="auto" w:sz="4" w:space="0"/>
            </w:tcBorders>
            <w:shd w:val="clear"/>
            <w:tcMar>
              <w:top w:w="160" w:type="dxa"/>
              <w:bottom w:w="160" w:type="dxa"/>
            </w:tcMar>
            <w:vAlign w:val="center"/>
          </w:tcPr>
          <w:p w14:paraId="7BE97584">
            <w:pPr>
              <w:widowControl w:val="0"/>
              <w:tabs>
                <w:tab w:val="left" w:pos="142"/>
              </w:tabs>
              <w:kinsoku/>
              <w:autoSpaceDE/>
              <w:autoSpaceDN/>
              <w:adjustRightInd/>
              <w:snapToGrid/>
              <w:spacing w:after="0"/>
              <w:jc w:val="center"/>
              <w:textAlignment w:val="auto"/>
              <w:rPr>
                <w:rFonts w:hint="default" w:ascii="Times New Roman" w:hAnsi="Times New Roman" w:cs="Times New Roman" w:eastAsiaTheme="minorEastAsia"/>
                <w:snapToGrid/>
                <w:color w:val="000000"/>
                <w:kern w:val="2"/>
                <w:sz w:val="22"/>
                <w:szCs w:val="22"/>
                <w:lang w:val="en-US" w:eastAsia="zh-CN"/>
                <w14:ligatures w14:val="none"/>
              </w:rPr>
            </w:pPr>
            <w:r>
              <w:rPr>
                <w:rFonts w:hint="default" w:ascii="Times New Roman" w:hAnsi="Times New Roman" w:cs="Times New Roman" w:eastAsiaTheme="minorEastAsia"/>
                <w:snapToGrid/>
                <w:color w:val="000000"/>
                <w:kern w:val="2"/>
                <w:sz w:val="22"/>
                <w:szCs w:val="22"/>
                <w:lang w:val="en-US" w:eastAsia="zh-CN"/>
                <w14:ligatures w14:val="none"/>
              </w:rPr>
              <w:t>0.032 / 0.006 / 0.010 / 0.621</w:t>
            </w:r>
          </w:p>
        </w:tc>
      </w:tr>
    </w:tbl>
    <w:p w14:paraId="585CA325">
      <w:pPr>
        <w:tabs>
          <w:tab w:val="left" w:pos="142"/>
        </w:tabs>
        <w:adjustRightInd w:val="0"/>
        <w:snapToGrid w:val="0"/>
        <w:spacing w:line="240" w:lineRule="auto"/>
        <w:jc w:val="center"/>
        <w:rPr>
          <w:rFonts w:hint="default" w:ascii="Times New Roman" w:hAnsi="Times New Roman" w:cs="Times New Roman"/>
          <w:sz w:val="24"/>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B84"/>
    <w:rsid w:val="000B2C95"/>
    <w:rsid w:val="000F445E"/>
    <w:rsid w:val="00373C34"/>
    <w:rsid w:val="003B3CBE"/>
    <w:rsid w:val="005C130C"/>
    <w:rsid w:val="005F654A"/>
    <w:rsid w:val="00614247"/>
    <w:rsid w:val="006E4FDF"/>
    <w:rsid w:val="00791904"/>
    <w:rsid w:val="00866A1F"/>
    <w:rsid w:val="00AC4677"/>
    <w:rsid w:val="00BB285D"/>
    <w:rsid w:val="00C20521"/>
    <w:rsid w:val="00CC4EA7"/>
    <w:rsid w:val="00CF290D"/>
    <w:rsid w:val="00E06CD5"/>
    <w:rsid w:val="00EB1B84"/>
    <w:rsid w:val="00F84B1B"/>
    <w:rsid w:val="03E95932"/>
    <w:rsid w:val="0EBB79EC"/>
    <w:rsid w:val="1C1C0D86"/>
    <w:rsid w:val="26CC10B7"/>
    <w:rsid w:val="2A7C5B35"/>
    <w:rsid w:val="3C7E0373"/>
    <w:rsid w:val="726A2AAA"/>
    <w:rsid w:val="742B0327"/>
    <w:rsid w:val="763B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heme="minorHAnsi" w:hAnsiTheme="minorHAnsi" w:eastAsiaTheme="minorEastAsia" w:cstheme="minorBidi"/>
      <w:kern w:val="2"/>
      <w:sz w:val="21"/>
      <w:szCs w:val="24"/>
      <w:lang w:val="en-US" w:eastAsia="zh-CN" w:bidi="ar-SA"/>
      <w14:ligatures w14:val="none"/>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6">
    <w:name w:val="Strong"/>
    <w:basedOn w:val="15"/>
    <w:qFormat/>
    <w:uiPriority w:val="22"/>
    <w:rPr>
      <w:b/>
    </w:rPr>
  </w:style>
  <w:style w:type="character" w:styleId="17">
    <w:name w:val="Emphasis"/>
    <w:basedOn w:val="15"/>
    <w:qFormat/>
    <w:uiPriority w:val="0"/>
    <w:rPr>
      <w:i/>
    </w:rPr>
  </w:style>
  <w:style w:type="character" w:styleId="18">
    <w:name w:val="HTML Code"/>
    <w:basedOn w:val="15"/>
    <w:semiHidden/>
    <w:unhideWhenUsed/>
    <w:qFormat/>
    <w:uiPriority w:val="99"/>
    <w:rPr>
      <w:rFonts w:ascii="Courier New" w:hAnsi="Courier New"/>
      <w:sz w:val="20"/>
    </w:rPr>
  </w:style>
  <w:style w:type="character" w:customStyle="1" w:styleId="19">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5"/>
    <w:link w:val="5"/>
    <w:semiHidden/>
    <w:qFormat/>
    <w:uiPriority w:val="9"/>
    <w:rPr>
      <w:rFonts w:cstheme="majorBidi"/>
      <w:color w:val="104862" w:themeColor="accent1" w:themeShade="BF"/>
      <w:sz w:val="28"/>
      <w:szCs w:val="28"/>
    </w:rPr>
  </w:style>
  <w:style w:type="character" w:customStyle="1" w:styleId="23">
    <w:name w:val="标题 5 字符"/>
    <w:basedOn w:val="15"/>
    <w:link w:val="6"/>
    <w:semiHidden/>
    <w:qFormat/>
    <w:uiPriority w:val="9"/>
    <w:rPr>
      <w:rFonts w:cstheme="majorBidi"/>
      <w:color w:val="104862" w:themeColor="accent1" w:themeShade="BF"/>
      <w:sz w:val="24"/>
    </w:rPr>
  </w:style>
  <w:style w:type="character" w:customStyle="1" w:styleId="24">
    <w:name w:val="标题 6 字符"/>
    <w:basedOn w:val="15"/>
    <w:link w:val="7"/>
    <w:semiHidden/>
    <w:qFormat/>
    <w:uiPriority w:val="9"/>
    <w:rPr>
      <w:rFonts w:cstheme="majorBidi"/>
      <w:b/>
      <w:bCs/>
      <w:color w:val="104862" w:themeColor="accent1" w:themeShade="BF"/>
    </w:rPr>
  </w:style>
  <w:style w:type="character" w:customStyle="1" w:styleId="25">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5"/>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5"/>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5"/>
    <w:link w:val="34"/>
    <w:qFormat/>
    <w:uiPriority w:val="30"/>
    <w:rPr>
      <w:i/>
      <w:iCs/>
      <w:color w:val="104862" w:themeColor="accent1" w:themeShade="BF"/>
    </w:rPr>
  </w:style>
  <w:style w:type="character" w:customStyle="1" w:styleId="36">
    <w:name w:val="Intense Reference"/>
    <w:basedOn w:val="15"/>
    <w:qFormat/>
    <w:uiPriority w:val="32"/>
    <w:rPr>
      <w:b/>
      <w:bCs/>
      <w:smallCaps/>
      <w:color w:val="104862" w:themeColor="accent1" w:themeShade="BF"/>
      <w:spacing w:val="5"/>
    </w:rPr>
  </w:style>
  <w:style w:type="character" w:customStyle="1" w:styleId="37">
    <w:name w:val="apple-converted-space"/>
    <w:basedOn w:val="1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650</Words>
  <Characters>3913</Characters>
  <Lines>291</Lines>
  <Paragraphs>78</Paragraphs>
  <TotalTime>2</TotalTime>
  <ScaleCrop>false</ScaleCrop>
  <LinksUpToDate>false</LinksUpToDate>
  <CharactersWithSpaces>4498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2026-02-15T14:20:00Z</dcterms:created>
  <dc:creator>Chen Wudi</dc:creator>
  <cp:lastModifiedBy>小叶</cp:lastModifiedBy>
  <cp:lastPrinted>2026-02-15T14:20:00Z</cp:lastPrinted>
  <dcterms:modified xsi:type="dcterms:W3CDTF">2026-03-15T12:39:28Z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eyJoZGlkIjoiNjUwODkxMGNmODQ2YTNkM2M3NzhkOTI3ODAwYWM0MjUiLCJ1c2VySWQiOiI2MjM1NTI1ODQifQ==</vt:lpwstr>
  </property>
  <property fmtid="{D5CDD505-2E9C-101B-9397-08002B2CF9AE}" pid="3" name="KSOProductBuildVer">
    <vt:lpwstr>2052-12.1.0.25225</vt:lpwstr>
  </property>
  <property fmtid="{D5CDD505-2E9C-101B-9397-08002B2CF9AE}" pid="4" name="ICV">
    <vt:lpwstr>A020E7D6600F49C2AC1A150CF364DB9B_13</vt:lpwstr>
  </property>
</Properties>
</file>