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sz w:val="24"/>
        </w:rPr>
        <w:t>Dr. Viviana Maggioni</w:t>
      </w:r>
    </w:p>
    <w:p>
      <w:pPr>
        <w:spacing w:after="120"/>
      </w:pPr>
      <w:r>
        <w:rPr>
          <w:rFonts w:ascii="Times New Roman" w:hAnsi="Times New Roman"/>
          <w:sz w:val="24"/>
        </w:rPr>
        <w:t>Chief Editor, Journal of Hydrometeorology</w:t>
      </w:r>
    </w:p>
    <w:p>
      <w:pPr>
        <w:spacing w:after="120"/>
      </w:pPr>
      <w:r>
        <w:rPr>
          <w:rFonts w:ascii="Times New Roman" w:hAnsi="Times New Roman"/>
          <w:sz w:val="24"/>
        </w:rPr>
        <w:t>American Meteorological Society</w:t>
      </w:r>
    </w:p>
    <w:p>
      <w:r>
        <w:rPr>
          <w:rFonts w:ascii="Times New Roman" w:hAnsi="Times New Roman"/>
          <w:sz w:val="24"/>
        </w:rPr>
      </w:r>
    </w:p>
    <w:p>
      <w:r>
        <w:rPr>
          <w:rFonts w:ascii="Times New Roman" w:hAnsi="Times New Roman"/>
          <w:sz w:val="24"/>
        </w:rPr>
        <w:t>Dear Dr. Maggioni and members of the Editorial Board,</w:t>
      </w:r>
    </w:p>
    <w:p>
      <w:r>
        <w:rPr>
          <w:rFonts w:ascii="Times New Roman" w:hAnsi="Times New Roman"/>
          <w:sz w:val="24"/>
        </w:rPr>
      </w:r>
    </w:p>
    <w:p>
      <w:r>
        <w:rPr>
          <w:rFonts w:ascii="Times New Roman" w:hAnsi="Times New Roman"/>
          <w:sz w:val="24"/>
        </w:rPr>
        <w:t>We are pleased to submit our manuscript, "Loss design, not the reanalysis target, sets the 3-h skill ceiling of deep-learning precipitation post-processing: scale-dependent evidence across ERA5, CHM, and GPM verification over Northeast China," for consideration as an Article in the Journal of Hydrometeorology.</w:t>
      </w:r>
    </w:p>
    <w:p>
      <w:r>
        <w:rPr>
          <w:rFonts w:ascii="Times New Roman" w:hAnsi="Times New Roman"/>
          <w:sz w:val="24"/>
        </w:rPr>
      </w:r>
    </w:p>
    <w:p>
      <w:r>
        <w:rPr>
          <w:rFonts w:ascii="Times New Roman" w:hAnsi="Times New Roman"/>
          <w:sz w:val="24"/>
        </w:rPr>
        <w:t>Deep-learning (DL) post-processing of NWP precipitation increasingly trains on reanalysis products such as ERA5, on the implicit assumption that the reanalysis is an unbiased surrogate for observations. Our study tests that assumption over the Liaohe basin in Northeast China, using 11 years (2015–2025) of operational GFS f003 forecasts, a gate-verified 3-h ERA5 target, and two independent observation products (CHM gauge-merged daily rates and GPM IMERG Final half-hourly precipitation aggregated to 3 h). Three findings are, we believe, directly relevant to the JHM readership.</w:t>
      </w:r>
    </w:p>
    <w:p>
      <w:r>
        <w:rPr>
          <w:rFonts w:ascii="Times New Roman" w:hAnsi="Times New Roman"/>
          <w:sz w:val="24"/>
        </w:rPr>
      </w:r>
    </w:p>
    <w:p>
      <w:r>
        <w:rPr>
          <w:rFonts w:ascii="Times New Roman" w:hAnsi="Times New Roman"/>
          <w:sz w:val="24"/>
        </w:rPr>
        <w:t>1) Data integrity. Monthly ERA5 tp fields carry 1-h accumulations stored at 3-hourly steps; paired against true 3-h GFS accumulations they introduce a spurious 3× offset and an apparent wet-bias artefact. We construct a window-consistent 3-h ERA5 target from hourly fields, verify it with a six-item acceptance gate (domain-mean GFS/ERA5 ratio 0.961, annual precipitation about 727 mm, ≥20 mm/3h grid-point parity 1.27, time-series correlation 0.940), and demonstrate that accumulation-window semantics must be checked before any reanalysis product is used as a learning reference.</w:t>
      </w:r>
    </w:p>
    <w:p>
      <w:r>
        <w:rPr>
          <w:rFonts w:ascii="Times New Roman" w:hAnsi="Times New Roman"/>
          <w:sz w:val="24"/>
        </w:rPr>
      </w:r>
    </w:p>
    <w:p>
      <w:r>
        <w:rPr>
          <w:rFonts w:ascii="Times New Roman" w:hAnsi="Times New Roman"/>
          <w:sz w:val="24"/>
        </w:rPr>
        <w:t>2) Causal attribution. A controlled experiment shows the network learns a noise-free identity almost perfectly (correlation 0.998) but degrades with target noise. On the real task, a three-seed rerun with plain mean-squared-error loss removes about 95% of the degradation (−48.0% to −2.5%; seed 42 +8.1%), showing that the intensity-weighted composite loss—not the reanalysis target per se—sets the 3-h skill ceiling. Under that loss, simple grid-point baselines (quantile mapping, linear regression, and a bin-conditional benchmark) outperform both DL networks on every verification reference at the 3-h scale.</w:t>
      </w:r>
    </w:p>
    <w:p>
      <w:r>
        <w:rPr>
          <w:rFonts w:ascii="Times New Roman" w:hAnsi="Times New Roman"/>
          <w:sz w:val="24"/>
        </w:rPr>
      </w:r>
    </w:p>
    <w:p>
      <w:pPr>
        <w:spacing w:after="120"/>
      </w:pPr>
      <w:r>
        <w:rPr>
          <w:rFonts w:ascii="Times New Roman" w:hAnsi="Times New Roman"/>
          <w:sz w:val="24"/>
        </w:rPr>
        <w:t>3) Scale dependence. At accumulated leads of 24–120 h the same networks gain observationally confirmed skill (ERA5 MSE +12.2% to +20.4%; CHM RMSE +4.7% to +7.6%; GPM +13.2% to +18.4%), while quantile mapping collapses to near-zero gain. The value of reanalysis-trained DL correction is therefore scale-dependent, with direct implications for sub-daily precipitation post-processing in hydrological applications.</w:t>
      </w:r>
    </w:p>
    <w:p>
      <w:pPr>
        <w:spacing w:after="120"/>
      </w:pPr>
      <w:r>
        <w:rPr>
          <w:rFonts w:ascii="Times New Roman" w:hAnsi="Times New Roman"/>
          <w:sz w:val="24"/>
        </w:rPr>
      </w:r>
    </w:p>
    <w:p>
      <w:r>
        <w:rPr>
          <w:rFonts w:ascii="Times New Roman" w:hAnsi="Times New Roman"/>
          <w:sz w:val="24"/>
        </w:rPr>
        <w:t>We believe the combination of (i) an independent, coverage-assumption-free verification design (ERA5 training reference with CHM and GPM IMERG observations), (ii) a quantitative loss-design attribution that practitioners can act on, and (iii) a scale-dependent ranking inversion between simple baselines and DL correction falls within the scope of JHM—precipitation estimation, statistical post-processing, and hydrometeorological data quality.</w:t>
      </w:r>
    </w:p>
    <w:p>
      <w:r>
        <w:rPr>
          <w:rFonts w:ascii="Times New Roman" w:hAnsi="Times New Roman"/>
          <w:sz w:val="24"/>
        </w:rPr>
      </w:r>
    </w:p>
    <w:p>
      <w:r>
        <w:rPr>
          <w:rFonts w:ascii="Times New Roman" w:hAnsi="Times New Roman"/>
          <w:sz w:val="24"/>
        </w:rPr>
        <w:t>All code, acceptance gates, evaluation scripts, and processed result artifacts are publicly available (GitHub: https://github.com/yg181112-a11y/APCNet-PrecipCorrection; Zenodo archive, https://doi.org/10.5281/zenodo.20271614). The manuscript has not been published and is not under consideration elsewhere. All authors have approved the submission and declare no conflicts of interest.</w:t>
      </w:r>
    </w:p>
    <w:p>
      <w:r>
        <w:rPr>
          <w:rFonts w:ascii="Times New Roman" w:hAnsi="Times New Roman"/>
          <w:sz w:val="24"/>
        </w:rPr>
      </w:r>
    </w:p>
    <w:p>
      <w:r>
        <w:rPr>
          <w:rFonts w:ascii="Times New Roman" w:hAnsi="Times New Roman"/>
          <w:sz w:val="24"/>
        </w:rPr>
        <w:t>We hope the manuscript is of interest to the Journal of Hydrometeorology and thank the editors for their consideration.</w:t>
      </w:r>
    </w:p>
    <w:p>
      <w:r>
        <w:rPr>
          <w:rFonts w:ascii="Times New Roman" w:hAnsi="Times New Roman"/>
          <w:sz w:val="24"/>
        </w:rPr>
      </w:r>
    </w:p>
    <w:p>
      <w:r>
        <w:rPr>
          <w:rFonts w:ascii="Times New Roman" w:hAnsi="Times New Roman"/>
          <w:sz w:val="24"/>
        </w:rPr>
        <w:t>Sincerely,</w:t>
      </w:r>
    </w:p>
    <w:p>
      <w:r>
        <w:rPr>
          <w:rFonts w:ascii="Times New Roman" w:hAnsi="Times New Roman"/>
          <w:sz w:val="24"/>
        </w:rPr>
        <w:t>Lin Tian (corresponding author), on behalf of all co-authors</w:t>
      </w:r>
    </w:p>
    <w:p>
      <w:r>
        <w:rPr>
          <w:rFonts w:ascii="Times New Roman" w:hAnsi="Times New Roman"/>
          <w:sz w:val="24"/>
        </w:rPr>
        <w:t>Changchun Institute of Technology, Changchun 130012, China</w:t>
      </w:r>
    </w:p>
    <w:p>
      <w:r>
        <w:rPr>
          <w:rFonts w:ascii="Times New Roman" w:hAnsi="Times New Roman"/>
          <w:sz w:val="24"/>
        </w:rPr>
        <w:t>tianlin@ccit.edu.cn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