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20" w:line="360" w:lineRule="auto"/>
      </w:pPr>
      <w:r>
        <w:rPr>
          <w:b/>
          <w:sz w:val="28"/>
          <w:szCs w:val="28"/>
        </w:rPr>
        <w:t xml:space="preserve">Response to Reviewers — R3</w:t>
      </w:r>
    </w:p>
    <w:p>
      <w:pPr>
        <w:spacing w:after="120" w:line="360" w:lineRule="auto"/>
      </w:pPr>
      <w:r>
        <w:rPr>
          <w:sz w:val="22"/>
          <w:szCs w:val="22"/>
        </w:rPr>
        <w:t>Manuscript: "Skill limits and transferability of deep-learning precipitation post-processing trained on reanalysis targets: scale-dependent skill across ERA5, CHM, and GPM verification over Northeast China"</w:t>
      </w:r>
    </w:p>
    <w:p>
      <w:pPr>
        <w:spacing w:after="120" w:line="360" w:lineRule="auto"/>
      </w:pPr>
      <w:r>
        <w:rPr>
          <w:sz w:val="22"/>
          <w:szCs w:val="22"/>
        </w:rPr>
        <w:t>Manuscript ID: WAF-S-26-00148 (resubmission)</w:t>
      </w:r>
    </w:p>
    <w:p>
      <w:pPr>
        <w:spacing w:after="120" w:line="360" w:lineRule="auto"/>
      </w:pPr>
      <w:r>
        <w:rPr>
          <w:sz w:val="22"/>
          <w:szCs w:val="22"/>
        </w:rPr>
        <w:t xml:space="preserve">Corresponding author: Lin Tian</w:t>
      </w:r>
    </w:p>
    <w:p>
      <w:pPr>
        <w:spacing w:after="120" w:line="360" w:lineRule="auto"/>
      </w:pPr>
      <w:r>
        <w:rPr>
          <w:b/>
          <w:sz w:val="24"/>
          <w:szCs w:val="24"/>
        </w:rPr>
        <w:t xml:space="preserve">Overview</w:t>
      </w:r>
    </w:p>
    <w:p>
      <w:pPr>
        <w:spacing w:after="120" w:line="360" w:lineRule="auto"/>
      </w:pPr>
      <w:r>
        <w:rPr>
          <w:sz w:val="22"/>
          <w:szCs w:val="22"/>
        </w:rPr>
        <w:t xml:space="preserve">We thank the reviewer for the detailed and constructive critique. Since the first submission we have (i) discovered and corrected a cumulation-window mismatch in the ERA5 target (a spurious ~3× scale offset), re-downloaded ERA5 hourly precipitation, reconstructed true 3-h accumulations, and recomputed </w:t>
      </w:r>
      <w:r>
        <w:rPr>
          <w:b/>
          <w:sz w:val="22"/>
          <w:szCs w:val="22"/>
        </w:rPr>
        <w:t xml:space="preserve">every</w:t>
      </w:r>
      <w:r>
        <w:rPr>
          <w:sz w:val="22"/>
          <w:szCs w:val="22"/>
        </w:rPr>
        <w:t xml:space="preserve"> result of the paper from the corrected, gate-verified target (six-item acceptance gate, Table S1); (ii) restructured the paper around the corrected evidence; (iii) added object-based verification following Davis et al. (2006) as suggested; (iv) added month-block bootstrap confidence intervals for all observation-scale results (CHM and GPM at 24/72/120 h); (v) added the reviewer-suggested references (Davis et al. 2006; Dong et al. 2018; Haynes et al. 2023) and removed every overclaiming statement flagged in Comment 2.4. Point-by-point responses follow, keyed to the reviewer's numbered comments.</w:t>
      </w:r>
    </w:p>
    <w:p>
      <w:pPr>
        <w:spacing w:after="120" w:line="360" w:lineRule="auto"/>
      </w:pPr>
      <w:r>
        <w:rPr>
          <w:b/>
          <w:sz w:val="24"/>
          <w:szCs w:val="24"/>
        </w:rPr>
        <w:t xml:space="preserve">Comment 1 — ERA5 as the training target is problematic given the focus on extremes (2.1)</w:t>
      </w:r>
    </w:p>
    <w:p>
      <w:pPr>
        <w:spacing w:after="120" w:line="360" w:lineRule="auto"/>
      </w:pPr>
      <w:r>
        <w:rPr>
          <w:sz w:val="22"/>
          <w:szCs w:val="22"/>
        </w:rPr>
        <w:t xml:space="preserve"/>
      </w:r>
      <w:r>
        <w:rPr>
          <w:b/>
          <w:sz w:val="22"/>
          <w:szCs w:val="22"/>
        </w:rPr>
        <w:t xml:space="preserve">Reviewer's concern.</w:t>
      </w:r>
      <w:r>
        <w:rPr>
          <w:sz w:val="22"/>
          <w:szCs w:val="22"/>
        </w:rPr>
        <w:t xml:space="preserve"> Treating ERA5 precipitation as "true observation" is problematic for extreme precipitation; lead time of the GFS forecasts was not clarified; the best practice of [1] (object-based verification, Davis et al. 2006) was not followed; most global-metric improvements may come from simple magnitude correction rather than improved spatial structure.</w:t>
      </w:r>
    </w:p>
    <w:p>
      <w:pPr>
        <w:spacing w:after="120" w:line="360" w:lineRule="auto"/>
      </w:pPr>
      <w:r>
        <w:rPr>
          <w:sz w:val="22"/>
          <w:szCs w:val="22"/>
        </w:rPr>
        <w:t xml:space="preserve"/>
      </w:r>
      <w:r>
        <w:rPr>
          <w:b/>
          <w:sz w:val="22"/>
          <w:szCs w:val="22"/>
        </w:rPr>
        <w:t xml:space="preserve">Our response.</w:t>
      </w:r>
      <w:r>
        <w:rPr>
          <w:sz w:val="22"/>
          <w:szCs w:val="22"/>
        </w:rPr>
        <w:t xml:space="preserve"> Three parts.</w:t>
      </w:r>
    </w:p>
    <w:p>
      <w:pPr>
        <w:spacing w:after="120" w:line="360" w:lineRule="auto"/>
      </w:pPr>
      <w:r>
        <w:rPr>
          <w:sz w:val="22"/>
          <w:szCs w:val="22"/>
        </w:rPr>
        <w:t xml:space="preserve"/>
      </w:r>
      <w:r>
        <w:rPr>
          <w:b/>
          <w:sz w:val="22"/>
          <w:szCs w:val="22"/>
        </w:rPr>
        <w:t xml:space="preserve">(a) The target itself was wrong, and we corrected it at the root.</w:t>
      </w:r>
      <w:r>
        <w:rPr>
          <w:sz w:val="22"/>
          <w:szCs w:val="22"/>
        </w:rPr>
        <w:t xml:space="preserve"> The reviewer's suspicion was stronger than we knew: the ERA5 monthly archive used in the first submission stores 1-h accumulations sampled every 3 h (`tp`, GRIB_stepUnits=1), while the GFS f003 precipitation is a true 3-h accumulation (`A_PCP_L1_Accum_1`, time_bnds=[0,3]). Pairing them produced a spurious ~3× scale offset (Section 2a, Table S1). We re-downloaded ERA5 hourly `tp` (2015–2025, 11 full years), reconstructed true 3-h accumulations as tp(t−2h)+tp(t−1h)+tp(t), and verified the rebuilt target with a six-item acceptance gate (M1 target construction; M2 grid 25×37; V1 domain-mean GFS/ERA5 ratio within 0.9–1.1; V2 annual precipitation 600–900 mm; V3 ≥20 mm/3h grid-point counts in the same order of magnitude; V4 domain-mean time-series correlation r &gt; 0.8; Table S1). </w:t>
      </w:r>
      <w:r>
        <w:rPr>
          <w:b/>
          <w:sz w:val="22"/>
          <w:szCs w:val="22"/>
        </w:rPr>
        <w:t xml:space="preserve">Every number in this revision is recomputed from the corrected target.</w:t>
      </w:r>
      <w:r>
        <w:rPr>
          <w:sz w:val="22"/>
          <w:szCs w:val="22"/>
        </w:rPr>
        <w:t xml:space="preserve"/>
      </w:r>
    </w:p>
    <w:p>
      <w:pPr>
        <w:spacing w:after="120" w:line="360" w:lineRule="auto"/>
      </w:pPr>
      <w:r>
        <w:rPr>
          <w:sz w:val="22"/>
          <w:szCs w:val="22"/>
        </w:rPr>
        <w:t xml:space="preserve"/>
      </w:r>
      <w:r>
        <w:rPr>
          <w:b/>
          <w:sz w:val="22"/>
          <w:szCs w:val="22"/>
        </w:rPr>
        <w:t xml:space="preserve">(b) Lead time is now explicit.</w:t>
      </w:r>
      <w:r>
        <w:rPr>
          <w:sz w:val="22"/>
          <w:szCs w:val="22"/>
        </w:rPr>
        <w:t xml:space="preserve"> We use the operational GFS 0.25° archive (2015–2025, 4 cycles/day); the precipitation variable is the 3-h accumulation valid at 03/09/15/21Z, i.e., init + 3 h (f003). The 24/72/120-h experiments aggregate GFS accumulations over matching windows initiated at 00Z (Section 2a, 3f).</w:t>
      </w:r>
    </w:p>
    <w:p>
      <w:pPr>
        <w:spacing w:after="120" w:line="360" w:lineRule="auto"/>
      </w:pPr>
      <w:r>
        <w:rPr>
          <w:sz w:val="22"/>
          <w:szCs w:val="22"/>
        </w:rPr>
        <w:t xml:space="preserve"/>
      </w:r>
      <w:r>
        <w:rPr>
          <w:b/>
          <w:sz w:val="22"/>
          <w:szCs w:val="22"/>
        </w:rPr>
        <w:t xml:space="preserve">(c) Object-based verification is now included (Davis et al. 2006).</w:t>
      </w:r>
      <w:r>
        <w:rPr>
          <w:sz w:val="22"/>
          <w:szCs w:val="22"/>
        </w:rPr>
        <w:t xml:space="preserve"> In Section 4a we apply the connected-component object-matching framework of Davis et al. (2006) to the 3-h test period, comparing GFS and APCNet against the (corrected) ERA5 reference at ≥10 and ≥20 mm/3h. The result supports the reviewer's suspicion and is now stated honestly: the network improves object intensity error (0.138→0.107 at ≥10 mm; 0.091→0.049 at ≥20 mm) but </w:t>
      </w:r>
      <w:r>
        <w:rPr>
          <w:b/>
          <w:sz w:val="22"/>
          <w:szCs w:val="22"/>
        </w:rPr>
        <w:t xml:space="preserve">degrades area error (0.462→0.965 at ≥10 mm)</w:t>
      </w:r>
      <w:r>
        <w:rPr>
          <w:sz w:val="22"/>
          <w:szCs w:val="22"/>
        </w:rPr>
        <w:t xml:space="preserve">, i.e., the global-metric improvement is indeed a magnitude correction, not a spatial-structure improvement — and this is precisely the mechanism argued in Sections 3b/4a (the network inherits the spatial structure of its smooth training reference).</w:t>
      </w:r>
    </w:p>
    <w:p>
      <w:pPr>
        <w:spacing w:after="120" w:line="360" w:lineRule="auto"/>
      </w:pPr>
      <w:r>
        <w:rPr>
          <w:b/>
          <w:sz w:val="24"/>
          <w:szCs w:val="24"/>
        </w:rPr>
        <w:t xml:space="preserve">Comment 2 — Hierarchy of baselines missing; DL novelty not assessable (2.2)</w:t>
      </w:r>
    </w:p>
    <w:p>
      <w:pPr>
        <w:spacing w:after="120" w:line="360" w:lineRule="auto"/>
      </w:pPr>
      <w:r>
        <w:rPr>
          <w:sz w:val="22"/>
          <w:szCs w:val="22"/>
        </w:rPr>
        <w:t xml:space="preserve"/>
      </w:r>
      <w:r>
        <w:rPr>
          <w:b/>
          <w:sz w:val="22"/>
          <w:szCs w:val="22"/>
        </w:rPr>
        <w:t xml:space="preserve">Reviewer's concern.</w:t>
      </w:r>
      <w:r>
        <w:rPr>
          <w:sz w:val="22"/>
          <w:szCs w:val="22"/>
        </w:rPr>
        <w:t xml:space="preserve"> Compare against a hierarchy from simple quantile mapping to copula-based multivariate solutions; compare probabilistic models; add object-based metrics.</w:t>
      </w:r>
    </w:p>
    <w:p>
      <w:pPr>
        <w:spacing w:after="120" w:line="360" w:lineRule="auto"/>
      </w:pPr>
      <w:r>
        <w:rPr>
          <w:sz w:val="22"/>
          <w:szCs w:val="22"/>
        </w:rPr>
        <w:t xml:space="preserve">Our response. The corrected experiments now include a six-member baseline hierarchy (Section 2c, Tables 3/8/15): quantile mapping (QM), per-grid-point linear regression (OLS), bin-conditional climatology (BinCM), Gaussian/zero-inflated-Gaussian dressing (probabilistic), plus the two DL networks. At 3 h the simple baselines beat both DL networks at every verification reference (ERA5, CHM, GPM); at 24–120 h the DL networks gain positive skill while the monotone baselines (QM) collapse. Probabilistic evaluation (CRPS, Brier, BSS, reliability, sharpness) is in Section 3d. Object-based metrics are in Section 4a (Comment 1c). This hierarchy is the evidence for the paper's central claim that the value of DL post-processing is scale-dependent, not the CNN-versus-one-baseline comparison of the first version. We did not implement a copula-based multivariate baseline: the six-member hierarchy answers the DL-necessity question at the univariate level, and a copula extension is beyond the scope of this comparison; we note this as a limitation of the baseline set.</w:t>
      </w:r>
    </w:p>
    <w:p>
      <w:pPr>
        <w:spacing w:after="120" w:line="360" w:lineRule="auto"/>
      </w:pPr>
      <w:r>
        <w:rPr>
          <w:b/>
          <w:sz w:val="24"/>
          <w:szCs w:val="24"/>
        </w:rPr>
        <w:t xml:space="preserve">Comment 3 — Probabilistic framework needed; follow the evaluation approaches of [3] (2.3)</w:t>
      </w:r>
    </w:p>
    <w:p>
      <w:pPr>
        <w:spacing w:after="120" w:line="360" w:lineRule="auto"/>
      </w:pPr>
      <w:r>
        <w:rPr>
          <w:sz w:val="22"/>
          <w:szCs w:val="22"/>
        </w:rPr>
        <w:t xml:space="preserve"/>
      </w:r>
      <w:r>
        <w:rPr>
          <w:b/>
          <w:sz w:val="22"/>
          <w:szCs w:val="22"/>
        </w:rPr>
        <w:t xml:space="preserve">Reviewer's concern.</w:t>
      </w:r>
      <w:r>
        <w:rPr>
          <w:sz w:val="22"/>
          <w:szCs w:val="22"/>
        </w:rPr>
        <w:t xml:space="preserve"> Provide mean+std (or full distributional) estimates and evaluate them following Haynes et al. (2023).</w:t>
      </w:r>
    </w:p>
    <w:p>
      <w:pPr>
        <w:spacing w:after="120" w:line="360" w:lineRule="auto"/>
      </w:pPr>
      <w:r>
        <w:rPr>
          <w:sz w:val="22"/>
          <w:szCs w:val="22"/>
        </w:rPr>
        <w:t xml:space="preserve"/>
      </w:r>
      <w:r>
        <w:rPr>
          <w:b/>
          <w:sz w:val="22"/>
          <w:szCs w:val="22"/>
        </w:rPr>
        <w:t xml:space="preserve">Our response.</w:t>
      </w:r>
      <w:r>
        <w:rPr>
          <w:sz w:val="22"/>
          <w:szCs w:val="22"/>
        </w:rPr>
        <w:t xml:space="preserve"> Section 3d adds a probabilistic post-processing layer: Gaussian dressing of the deterministic networks and zero-inflated-Gaussian (ZIG) dressing with the climatological wet frequency and with an adaptive occurrence probability, evaluated with CRPS, Brier score/BSS, reliability diagrams, and sharpness following the evaluation practice of Haynes et al. (2023). The result is scale-consistent with the deterministic finding: at the native 3-h scale, dressed APCNet underperforms QM+dressing on GPM (Table 12), while the ZIG dressing restores much of the network's CRPS on the reference (0.308 vs 0.338 for QM-dressed). We note that the occurrence model is a zero-inflated </w:t>
      </w:r>
      <w:r>
        <w:rPr>
          <w:b/>
          <w:sz w:val="22"/>
          <w:szCs w:val="22"/>
        </w:rPr>
        <w:t xml:space="preserve">Gaussian</w:t>
      </w:r>
      <w:r>
        <w:rPr>
          <w:sz w:val="22"/>
          <w:szCs w:val="22"/>
        </w:rPr>
        <w:t xml:space="preserve">, not a gamma, in both the manuscript and this letter.</w:t>
      </w:r>
    </w:p>
    <w:p>
      <w:pPr>
        <w:spacing w:after="120" w:line="360" w:lineRule="auto"/>
      </w:pPr>
      <w:r>
        <w:rPr>
          <w:b/>
          <w:sz w:val="24"/>
          <w:szCs w:val="24"/>
        </w:rPr>
        <w:t xml:space="preserve">Comment 4 — Overclaiming and unclear statements (2.4)</w:t>
      </w:r>
    </w:p>
    <w:p>
      <w:pPr>
        <w:spacing w:after="120" w:line="360" w:lineRule="auto"/>
      </w:pPr>
      <w:r>
        <w:rPr>
          <w:sz w:val="22"/>
          <w:szCs w:val="22"/>
        </w:rPr>
        <w:t xml:space="preserve"/>
      </w:r>
      <w:r>
        <w:rPr>
          <w:b/>
          <w:sz w:val="22"/>
          <w:szCs w:val="22"/>
        </w:rPr>
        <w:t xml:space="preserve">Reviewer's concern.</w:t>
      </w:r>
      <w:r>
        <w:rPr>
          <w:sz w:val="22"/>
          <w:szCs w:val="22"/>
        </w:rPr>
        <w:t xml:space="preserve"> "Paradigm transition", "automatic suppression of CAPE aligns with established meteorological understanding", "CAPE … full of parametric errors and invalid features", Pareto optimality; citations to Mukhopadhyay/Nageswararao/Pathak/Sun did not support the claims.</w:t>
      </w:r>
    </w:p>
    <w:p>
      <w:pPr>
        <w:spacing w:after="120" w:line="360" w:lineRule="auto"/>
      </w:pPr>
      <w:r>
        <w:rPr>
          <w:sz w:val="22"/>
          <w:szCs w:val="22"/>
        </w:rPr>
        <w:t xml:space="preserve"/>
      </w:r>
      <w:r>
        <w:rPr>
          <w:b/>
          <w:sz w:val="22"/>
          <w:szCs w:val="22"/>
        </w:rPr>
        <w:t xml:space="preserve">Our response.</w:t>
      </w:r>
      <w:r>
        <w:rPr>
          <w:sz w:val="22"/>
          <w:szCs w:val="22"/>
        </w:rPr>
        <w:t xml:space="preserve"> All flagged statements are removed or rewritten:</w:t>
      </w:r>
    </w:p>
    <w:p>
      <w:pPr>
        <w:spacing w:after="120" w:line="360" w:lineRule="auto"/>
        <w:ind w:left="360"/>
      </w:pPr>
      <w:r>
        <w:rPr>
          <w:sz w:val="22"/>
          <w:szCs w:val="22"/>
        </w:rPr>
        <w:t xml:space="preserve">"Paradigm transition" → removed; the Discussion now frames the contribution as a scale-dependent boundary (Section 4c).</w:t>
      </w:r>
    </w:p>
    <w:p>
      <w:pPr>
        <w:spacing w:after="120" w:line="360" w:lineRule="auto"/>
        <w:ind w:left="360"/>
      </w:pPr>
      <w:r>
        <w:rPr>
          <w:sz w:val="22"/>
          <w:szCs w:val="22"/>
        </w:rPr>
        <w:t xml:space="preserve">CAPE: the claim that CAPE is "invalid" or "full of parametric errors" is deleted. CAPE remains an input channel only (Section 2a). The reviewer's suggested framing is incorporated in Section 3c/4a: over this region the systematic wet bias of GFS dominates the precipitation error, and warm-season rainfall is strongly region-dependent (Dong et al. 2018; Yang et al. 2024), so CAPE's information content for bias correction is limited by the error structure, not by any claim about the variable itself.</w:t>
      </w:r>
    </w:p>
    <w:p>
      <w:pPr>
        <w:spacing w:after="120" w:line="360" w:lineRule="auto"/>
        <w:ind w:left="360"/>
      </w:pPr>
      <w:r>
        <w:rPr>
          <w:sz w:val="22"/>
          <w:szCs w:val="22"/>
        </w:rPr>
        <w:t xml:space="preserve">Pareto optimality → removed.</w:t>
      </w:r>
    </w:p>
    <w:p>
      <w:pPr>
        <w:spacing w:after="120" w:line="360" w:lineRule="auto"/>
        <w:ind w:left="360"/>
      </w:pPr>
      <w:r>
        <w:rPr>
          <w:sz w:val="22"/>
          <w:szCs w:val="22"/>
        </w:rPr>
        <w:t xml:space="preserve">The four unsupported citations were re-checked; the text now cites only sources that support the specific statements, and all references were verified (Zhao et al. 2023 added, five uncited entries removed; Section 5/references).</w:t>
      </w:r>
    </w:p>
    <w:p>
      <w:r>
        <w:t>Controlled-experiment attribution (this round). The reviewer questioned the causal attribution of the negative skill to the target signal-to-noise ratio. We agree and now report the decisive control: rerunning the worst-case arm with a pure MSE loss (all other training components unchanged) reduces the degradation at sigma = 1.16 mm/3h from -28.5% to about -0.9% (three-seed mean of -0.5%, -0.9%, and -1.2%; seed 42 -1.2% in Table 4). Across sigma the pure-MSE improvement stays near the mathematical floor of zero (-2.4%, -1.2%, and -0.8% at sigma = 0.5, 1.16, and 2.0 mm/3h, seed 42), whereas the full multi-term loss amplifies it to -3.2%, -28.5%, and -9.5%. Because the injected noise is independent of GFS (r ~ 0), the improvement is approximately -var(pred)/sigma^2, so the magnitude of the negative skill is set by the output variance induced by the training loss, not by the target signal-to-noise ratio per se. The main-text causal statement has been revised accordingly (Sections 1 and 3b), and per-epoch convergence curves for both loss variants are shown in the attached figure (Fig. M1) and in the code repository.</w:t>
      </w:r>
      <w:r>
        <w:drawing>
          <wp:inline xmlns:wp="http://schemas.openxmlformats.org/drawingml/2006/wordprocessingDrawing" xmlns:a="http://schemas.openxmlformats.org/drawingml/2006/main" xmlns:pic="http://schemas.openxmlformats.org/drawingml/2006/picture">
            <wp:extent cx="4680000" cy="172609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680000" cy="1726092"/>
                    </a:xfrm>
                    <a:prstGeom prst="rect"/>
                  </pic:spPr>
                </pic:pic>
              </a:graphicData>
            </a:graphic>
          </wp:inline>
        </w:drawing>
      </w:r>
    </w:p>
    <w:p>
      <w:r>
        <w:t>Responses to the third-round review.</w:t>
      </w:r>
    </w:p>
    <w:p>
      <w:pPr/>
      <w:r>
        <w:t>Fifth, at the accumulated scales the analogous question arises: do the 24–120 h gains also depend on the composite loss? A single-seed 24-h plain-MSE rerun (identical protocol, seed 42) retains and strengthens the gain (+26.9% versus +20.4% for the composite-loss network on the ERA5 reference; QM +2.3%, OLS +6.4%, BinCM +5.6%), so the accumulated-scale skill does not depend on the intensity-weighted loss: the loss amplifies the fine-scale failure but does not manufacture the long-lead gain.</w:t>
      </w:r>
    </w:p>
    <w:p>
      <w:r>
        <w:t>Real-data attribution and the selection confound (M1). We acknowledge that the real-data 3-h negative skill is produced jointly by the multi-term loss and the threshold-skill checkpoint-selection criterion, and that the synthetic experiment separates the loss effect only. Three pieces of evidence are now provided. First, Table S2 lists the three checkpoints actually selected by the composite criterion (S 1.06-1.29; ETS20 0.1712-0.1983; POD20 0.3734-0.3971), together with their validation loss: the selected checkpoints lie within 0.2-2.4% of the global validation-loss minimum, so selection did not sacrifice the loss substantially. Second, Figure S1 shows the per-epoch S and L_val curves for all three seeds. Third, we performed the decisive control requested by the reviewer: an MSE-selected real-data rerun (checkpoints chosen on the validation residual MSE, all other training components identical to the main experiment, three seeds; the original runs archived only composite-score-optimal weights, so a full retrain per seed was required). The test-period 3-h skill on the ERA5 reference remains strongly negative (−15.8%, −43.9%, −74.7%; three-seed mean −44.8%, 95% block-bootstrap CIs excluding zero), differing from the composite-score selection by only +1.3/+2.8/+8.1 pct-pts (−48.0%; Table S3). The selection criterion thus explains at most about 3 pct-pts (worst case about 8 pct-pts) of the −48% effect and is excluded as the dominant source. Fourth, following the reviewer's path A, the real-data protocol of Table S3 has been rerun with the multi-term loss replaced by plain MSE (full retrain, three seeds; Table S4): the test-period 3-h skill changes from −48.0% to +8.1/−11.0/−4.6 (three-seed mean −2.5%; 95% block-bootstrap CIs [+1.8, +12.3], [−18.5, −5.6], [−8.6, −1.8]), removing about 95% of the degradation. The composite loss is therefore the dominant amplifier of the real-task negative skill, in quantitative agreement with the synthetic experiment (Section 3b), while the residual weak-negative mean and the significantly positive seed 42 show that target noise retains a secondary contribution. The manuscript now reports both controls (Section 4d; Tables S3–S4).</w:t>
      </w:r>
    </w:p>
    <w:p>
      <w:r>
        <w:t>Scale-consistency of the SNR statement (M2). Section 3f now uses the variance decomposition of Section 4a (about 36% of the reference variance predictable from GFS; residual standard deviation about 0.8 times the field standard deviation) instead of the previous standard-deviation-versus-mean comparison.</w:t>
      </w:r>
    </w:p>
    <w:p>
      <w:r>
        <w:t>Attribution wording (M3). The synthetic and real-data settings are kept distinct in their evidence but agree in their conclusion: the loss-design magnitude statement now covers both settings (the real-task loss-versus-selection decomposition is quantified in Section 4d: selection accounts for at most about 8 pct-pts, and plain MSE removes about 95% of the real-task degradation; Tables S3–S4), and the introduction's priority claim is replaced by a description of the work actually performed.</w:t>
      </w:r>
    </w:p>
    <w:p>
      <w:r>
        <w:t>Gate window (M4). The V3 gate (1.27) is a July-2024-only statistic (124 paired times; 907 ERA5 versus 712 GFS grid-point-times); the August and July-August combined ratios are 2.26 and 1.59. Section 2d, Section 3a and Table S1 now all use the July-2024 window (see also M7 below).</w:t>
      </w:r>
    </w:p>
    <w:p>
      <w:r>
        <w:t>Minor points of this round (m1-m7). m1: the pure-MSE degradation is now written as about -0.9% (three-seed mean; seed 42 -1.2%) in the contributions and Section 4a. m2: the early-stopping text now matches the code (the composite score S for eight epochs or POD20 for sixteen; Section 2a) and is cross-referenced from Section 2b. m3: the neighbourhood mean-square-error ratios are renamed D10/D20 (complements of the conventional fractions skill score FSS) in Eq. (6) and Section 2b, removing the 1-FSS notation conflict. m4: the validation window is stated to be used for learning-rate scheduling, early stopping, and gating calibration (Section 2a). m5: the abstract now reads 'the point estimates are negative on all three references'. m6: the Taylor diagram (Fig. 14) is explicitly cited in Section 4b and its caption explains why the figure appears in the Discussion. m7: the manuscript-ID placeholder is filled (WAF-S-26-00148); the minor-point numbering is sequential; the grid-notation typo is fixed.</w:t>
      </w:r>
    </w:p>
    <w:p>
      <w:r>
        <w:t>Additional responses to the first two rounds (major points M2-M8).</w:t>
      </w:r>
    </w:p>
    <w:p>
      <w:r>
        <w:t>Selection criterion and the over-wetting signature (M2). We thank the reviewer for identifying the checkpoint-selection criterion as a candidate driver. Two facts are now explicit in the manuscript. First, the controlled experiment (Section 3b), including the pure-MSE rerun, selects checkpoints by validation residual MSE (as stated in Section 2d), so the loss-design conclusion (M1) already holds under MSE selection: at sigma = 1.16 mm/3h the degradation drops from -28.5% (full loss) to about -0.9% (pure MSE, three-seed mean). Second, the real-data selection criterion is disclosed verbatim in Section 2a: it is a composite of ETS20 ×3.0 + POD20 ×1.8 + ETS15 ×1.4 + POD15 ×0.9 − FAR20 ×0.45 − FAR15 ×0.20 − 0.003 × val-loss − 2.0 × max(0, 0.20 − POD20), stated verbatim in Section 2a; i.e. it deliberately rewards storm-hit rates and penalizes a POD20 below 0.20 (a hinge term that never activates under these seeds, since POD20 ≈ 0.37–0.40), and is only weakly tied to validation loss. The seed analysis (Section 4b) is the observable signature of this instability: seeds that over-wet more degrade more (-82.8% for seed 41 vs -14.5% for seed 42). A dedicated real-data rerun with MSE-only selection has now been completed (full retrain per seed on the GPU; Table S3): the test-period 3-h skill on the ERA5 reference remains strongly negative (−15.8%, −43.9%, −74.7%; three-seed mean −44.8%, with 95% block-bootstrap CIs excluding zero), differing from the composite-score selection by only +1.3/+2.8/+8.1 pct-pts (−48.0%). The selection criterion thus explains at most about 3 pct-pts (worst case about 8 pct-pts) of the −48% effect and is excluded as the dominant source. What the controlled experiment isolates is the loss effect: under identical data and identical MSE-based selection, replacing the multi-term loss with pure MSE collapses the degradation at sigma = 1.16 mm/3h from -28.5% to about -0.9% (Section 3b), and the same replacement on the real task removes about 95% of the degradation (−48.0% to −2.5%; Table S4). The manuscript now reports the MSE-selected rerun (Table S3) alongside the composite-selected checkpoints and their distance to the global validation-loss minimum (Table S2) and the per-epoch selection curves (Figure S1; Section 4d).</w:t>
      </w:r>
    </w:p>
    <w:p>
      <w:r>
        <w:t>Architecture generality (M3). The controlled diagnosis was run with APCNet only; the manuscript now states this plainly in the limitations (Section 4d) and does not claim architecture-independence by construction. Both architectures exhibit the same negative 3-h signature under the same loss and selection criterion (Sections 3c-3e), and at 24–120 h the simpler U-Net consistently outperforms APCNet on all three references (Tables 15-17; e.g. +18.4% vs +14.0% against GPM at 24 h). The discussion now draws the intended conclusion: the 3-h failure is a property of the training configuration (noisy target x multi-term loss x selection), not of one architecture.</w:t>
      </w:r>
    </w:p>
    <w:p>
      <w:r>
        <w:t>Extreme intensity weighting of Eq. (9) (M4). The multiplicative intensity weight of Eq. (9) is now disclosed and discussed in Section 2c: factors 1.5/2/10/30/80 at 0.1/3/10/20/50 mm/3h imply a product of 72,000 for a single &gt;=50 mm/3h pixel, and lambda2 = 3.0m scales the FSS20/ETS20 terms by at most 9. The sensitivity to this weighting is provided by the pure-MSE rerun of the controlled experiment (M1), which removes all intensity weighting and reduces the sigma = 1.16 degradation from -28.5% to about -0.9% (three-seed mean). The neighbourhood FSS terms are defined as MSE ratios (0-1, lower is better), removing the sign inconsistency noted by the reviewer.</w:t>
      </w:r>
    </w:p>
    <w:p>
      <w:r>
        <w:t>CHM coverage, GPM significance, and 24–120 h intervals (M5-M6). Table 14 is retitled 'Validation-period (in-selection)' and the 12-h vs 24-h coverage mismatch is stated in the caption; the main GPM 3-h verification (n = 2,475) is coverage-assumption-free. The abstract now reports that the 3-h GPM estimates are negative point estimates that do not reach conventional significance (APCNet [-50.5, +13.2]%). For the accumulated scales, block-bootstrap 95% CIs are reported throughout Tables 15-17 (e.g. GPM 24 h APCNet +14.0%, CI [+9.1, +18.7]%; U-Net +18.4%, CI [+15.0, +23.0]%); none of the DL intervals at 24–120 h crosses zero, whereas the grid-point baselines at 72–120 h retain intervals spanning zero (Table 17). The controlled experiment's i.i.d.-Gaussian noise is stated in Section 2d as a lower bound on learnability; spatially correlated real residuals are harder, not easier, which only strengthens the conclusion.</w:t>
      </w:r>
    </w:p>
    <w:p>
      <w:r>
        <w:t>Acceptance-gate timing and units (M7; re-checked in this round). Table S1 states explicitly that V1 and V4 are computed on the warm-season months July-August 2024 (124 paired times per month), that V3 is computed on July 2024 alone (124 paired times), and that V2 is an annual-basin estimate obtained by extrapolating the warm-season daily-mean rate (as implemented in verify_era5_target.py). Recomputing the V3 counts from the archived monthly files gives 907 ERA5 versus 712 GFS grid-point-times at &gt;=20 mm/3h in July 2024 (ratio 1.27); the corresponding August ratio is 2.26 and the July-August combined ratio 1.59, so the gate value 1.27 is a July-only statistic. Section 2d, Section 3a and Table S1 now all use the July-2024 window. The GPM reference citation is updated to the V07B product (Huffman et al. 2023).</w:t>
      </w:r>
    </w:p>
    <w:p>
      <w:r>
        <w:t>Validation-vs-test sign flip of the CHM bias (M8). We verified both periods against their authoritative evaluation outputs (validation period: chm_val_eval.json, n_grid = 884, 712 days, APCNet bias -0.0207 mm/h, RMSE 0.2188; test period: the same checkpoints on 2024-2025, APCNet bias +0.0691 mm/h, RMSE 0.3286; Table 6). The data are correct; the sign flip is real and is now explained in Section 4b: the validation window participated in early stopping and hyperparameter selection, so the checkpoint compresses variance in-sample (dry) and amplifies it out-of-sample (wet). Table 14 and Table 6 use the identical rate-based evaluation and the identical checkpoints.</w:t>
      </w:r>
    </w:p>
    <w:p>
      <w:r>
        <w:t>Minor points (m1-m14). (m1) The 884 CHM-valid grid points (Table 14/16) and the 764 land points (Table 13) are different masks: 764 is the SRTM elevation-valid land subset used for terrain stratification; 884 is the CHM regridded-validity mask (both are now stated in Section 3e). (m2) Table 14 retitled 'Validation-period (in-selection)'. (m3) Table 5 column header corrected to 'Daily-mean rate (mm/12h)'. (m4) Probabilistic scores in Section 4b are labelled as ERA5-reference (Table 11, with occurrence Brier 0.0815/BSS +0.297 and extreme-threshold BSS added to the caption), and the GPM-reference values are in Table 12. (m5) Object-based POD ordering is uniform (network vs GFS) and the loss of the &gt;=20 mm detection gain is stated. (m6) Gate timing as in M7. (m7) Huffman reference updated to V07B (2023). (m8) Table 17 sample counts are 638/636/633 for the 24/72/120-h GPM verification, all starting from 2024-01-01 as stated in Section 2a (00Z-initialized GPM windows with complete IMERG coverage). (m9) The &gt;=20 mm ETS advantage on the ERA5 reference is now stated as statistically significant (Table 10), the &gt;=10 mm one as not. (m10) Equation numbering is sequential (Eq. 1-11) and the forward reference to Eq. (11) is explicit. (m11) Reference list re-sorted (Haynes before Hersbach before Hess; Stovern moved to S-block; Zhang J. 2024 before Zhang X. 2021; Zhao B. 2023 before Zhao T. 2017). (m12) The -46.9% correction narrative is confined to Section 2d; the conclusions now lead with the corrected gate-verified result. (m13) The grid notation '25 x 37' now uses a true multiplication sign, and kg m-2 a superscript two, throughout. (m14) The suggestion to merge Tables 15-17 is appreciated; we keep the three tables separate so that each observation reference (ERA5/CHM/GPM) can be audited independently, and the surrounding text has been condensed: the counted body text is 7,067 words by the journal convention (excluding table rows and captions), within the 7,500-word limit.</w:t>
      </w:r>
    </w:p>
    <w:p>
      <w:pPr>
        <w:spacing w:after="120" w:line="360" w:lineRule="auto"/>
      </w:pPr>
      <w:r>
        <w:rPr>
          <w:b/>
          <w:sz w:val="24"/>
          <w:szCs w:val="24"/>
        </w:rPr>
        <w:t xml:space="preserve">Comment 5 — Input features: missing 850-hPa winds, terrain not included (3.1)</w:t>
      </w:r>
    </w:p>
    <w:p>
      <w:pPr>
        <w:spacing w:after="120" w:line="360" w:lineRule="auto"/>
      </w:pPr>
      <w:r>
        <w:rPr>
          <w:sz w:val="22"/>
          <w:szCs w:val="22"/>
        </w:rPr>
        <w:t xml:space="preserve"/>
      </w:r>
      <w:r>
        <w:rPr>
          <w:b/>
          <w:sz w:val="22"/>
          <w:szCs w:val="22"/>
        </w:rPr>
        <w:t xml:space="preserve">Reviewer's concern.</w:t>
      </w:r>
      <w:r>
        <w:rPr>
          <w:sz w:val="22"/>
          <w:szCs w:val="22"/>
        </w:rPr>
        <w:t xml:space="preserve"> The 850-hPa wind should be an input; topography should be included.</w:t>
      </w:r>
    </w:p>
    <w:p>
      <w:pPr>
        <w:spacing w:after="120" w:line="360" w:lineRule="auto"/>
      </w:pPr>
      <w:r>
        <w:rPr>
          <w:sz w:val="22"/>
          <w:szCs w:val="22"/>
        </w:rPr>
        <w:t xml:space="preserve"/>
      </w:r>
      <w:r>
        <w:rPr>
          <w:b/>
          <w:sz w:val="22"/>
          <w:szCs w:val="22"/>
        </w:rPr>
        <w:t xml:space="preserve">Our response.</w:t>
      </w:r>
      <w:r>
        <w:rPr>
          <w:sz w:val="22"/>
          <w:szCs w:val="22"/>
        </w:rPr>
        <w:t xml:space="preserve"> Both are addressed in the corrected version:</w:t>
      </w:r>
    </w:p>
    <w:p>
      <w:pPr>
        <w:spacing w:after="120" w:line="360" w:lineRule="auto"/>
        <w:ind w:left="360"/>
      </w:pPr>
      <w:r>
        <w:rPr>
          <w:sz w:val="22"/>
          <w:szCs w:val="22"/>
        </w:rPr>
        <w:t xml:space="preserve">U850/V850 are explicit input channels (8 channels total, Section 2a): CAPE, PWAT, U850, V850, U500, V500, VVEL, and precipitation.</w:t>
      </w:r>
    </w:p>
    <w:p>
      <w:pPr>
        <w:spacing w:after="120" w:line="360" w:lineRule="auto"/>
        <w:ind w:left="360"/>
      </w:pPr>
      <w:r>
        <w:rPr>
          <w:sz w:val="22"/>
          <w:szCs w:val="22"/>
        </w:rPr>
        <w:t>Terrain: the study region is the Liaohe basin with a strong terrain gradient (Fig. 1); Section 3e stratifies all 3-h skill metrics by terrain elevation (three equal one-third quantile tiers: low ≤252 m, mid 257–835 m, high 840–1608 m; Section 3e) and shows the DL failure persists in all three tiers, while OLS/QM remain positive.</w:t>
      </w:r>
    </w:p>
    <w:p>
      <w:pPr>
        <w:spacing w:after="120" w:line="360" w:lineRule="auto"/>
        <w:ind w:left="360"/>
      </w:pPr>
      <w:r>
        <w:t xml:space="preserve">Regarding the inline comments on the methods (reproducibility). Two points from the inline comments are now explicit in the revised text. First, the early version’s perturbation-based feature-attribution analysis—and any claim about variable importance or gating suppression—has been removed entirely; this paper makes no variable-importance statement. Second, the atrous spatial pyramid pooling (ASPP) and the squeeze-excitation weighting used in the gating are now defined at first use in Section 2b (Eqs. 1–4) with their original references (Chen et al. 2018; Hu et al. 2018; Perez et al. 2018); the earlier informal module name “SE-Hardsigmoid” is replaced by the explicit layer descriptions, while the Hardsigmoid gating nonlinearity itself (Eq. 1) is retained. The normalization statistics are estimated on the training period only (Section 2a).</w:t>
      </w:r>
    </w:p>
    <w:p>
      <w:pPr>
        <w:spacing w:after="120" w:line="360" w:lineRule="auto"/>
      </w:pPr>
      <w:r>
        <w:rPr>
          <w:b/>
          <w:sz w:val="24"/>
          <w:szCs w:val="24"/>
        </w:rPr>
        <w:t xml:space="preserve">Minor comments</w:t>
      </w:r>
    </w:p>
    <w:p>
      <w:pPr>
        <w:spacing w:after="120" w:line="360" w:lineRule="auto"/>
        <w:ind w:left="360"/>
      </w:pPr>
      <w:r>
        <w:rPr>
          <w:sz w:val="22"/>
          <w:szCs w:val="22"/>
        </w:rPr>
        <w:t xml:space="preserve">(i) The ERA5 1-h vs 3-h mismatch and the acceptance gate: now Section 2a + Table S1 + Reproducibility statement.</w:t>
      </w:r>
    </w:p>
    <w:p>
      <w:pPr>
        <w:spacing w:after="120" w:line="360" w:lineRule="auto"/>
        <w:ind w:left="360"/>
      </w:pPr>
      <w:r>
        <w:rPr>
          <w:sz w:val="22"/>
          <w:szCs w:val="22"/>
        </w:rPr>
        <w:t>(ii) All tables now report month-block bootstrap 95% CIs where the claim is quantitative: ERA5-reference CIs (Table 15), CHM CIs (Table 16, new), GPM CIs (Table 17, new). Observation-scale values: CHM APCNet +5.5% [+3.9,+6.8] (24 h), +5.4% [+3.1,+7.0] (72 h), +4.7% [+2.1,+8.7] (120 h); CHM U-Net +6.9% [+6.2,+8.0], +6.6% [+3.5,+9.4], +7.6% [+4.0,+10.3]; GPM APCNet +14.0% [+9.1,+18.7], +15.5% [+12.1,+17.6], +13.2% [+9.6,+20.2]; GPM U-Net +18.4% [+15.0,+23.0], +16.7% [+14.0,+20.1], +18.0% [+16.4,+20.3]. Every DL improvement at 24–120 h is significant (bootstrap P(improvement&gt;0) = 1.00; 730/728/725 CHM days and 638/636/633 GPM samples).</w:t>
      </w:r>
    </w:p>
    <w:p>
      <w:pPr>
        <w:spacing w:after="120" w:line="360" w:lineRule="auto"/>
        <w:ind w:left="360"/>
      </w:pPr>
      <w:r>
        <w:rPr>
          <w:sz w:val="22"/>
          <w:szCs w:val="22"/>
        </w:rPr>
        <w:t xml:space="preserve">(iii) The title no longer mentions "complex terrain"; the leftover sentence in the Results referring to the old title is removed.</w:t>
      </w:r>
    </w:p>
    <w:p>
      <w:pPr>
        <w:spacing w:after="120" w:line="360" w:lineRule="auto"/>
        <w:ind w:left="360"/>
      </w:pPr>
      <w:r>
        <w:rPr>
          <w:sz w:val="22"/>
          <w:szCs w:val="22"/>
        </w:rPr>
        <w:t xml:space="preserve">(iv) Over-wetting is stated consistently as ~2× (not 2.0×/2.5×/+75% interchangeably); the +75% over-wetting at 3 h remains only where it is the quantitative result (Table 10 caption/3a).</w:t>
      </w:r>
    </w:p>
    <w:p>
      <w:pPr>
        <w:spacing w:after="120" w:line="360" w:lineRule="auto"/>
        <w:ind w:left="360"/>
      </w:pPr>
      <w:r>
        <w:rPr>
          <w:sz w:val="22"/>
          <w:szCs w:val="22"/>
        </w:rPr>
        <w:t xml:space="preserve">(v) Seed sensitivity: the three-seed spread is reported explicitly (−14.5%, −46.7%, −82.8%) and described as seed-dependent rather than "robustly negative"; the negative sign is consistent across seeds but its magnitude is not stable.</w:t>
      </w:r>
    </w:p>
    <w:p>
      <w:pPr>
        <w:spacing w:after="120" w:line="360" w:lineRule="auto"/>
        <w:ind w:left="360"/>
      </w:pPr>
      <w:r>
        <w:rPr>
          <w:sz w:val="22"/>
          <w:szCs w:val="22"/>
        </w:rPr>
        <w:t xml:space="preserve">(vi) Table 1 vertical velocity unit corrected to Pa s⁻¹.</w:t>
      </w:r>
    </w:p>
    <w:p>
      <w:pPr>
        <w:spacing w:after="120" w:line="360" w:lineRule="auto"/>
        <w:ind w:left="360"/>
      </w:pPr>
      <w:r>
        <w:rPr>
          <w:sz w:val="22"/>
          <w:szCs w:val="22"/>
        </w:rPr>
        <w:t xml:space="preserve">(vii) Abstract: "monotonically" removed; the controlled-experiment wording now matches the non-monotonic σ-dependence in the text.</w:t>
      </w:r>
    </w:p>
    <w:p>
      <w:pPr>
        <w:spacing w:after="120" w:line="360" w:lineRule="auto"/>
      </w:pPr>
      <w:r>
        <w:rPr>
          <w:sz w:val="22"/>
          <w:szCs w:val="22"/>
        </w:rPr>
        <w:t xml:space="preserve"/>
      </w:r>
      <w:r>
        <w:rPr>
          <w:i/>
          <w:sz w:val="22"/>
          <w:szCs w:val="22"/>
        </w:rPr>
        <w:t xml:space="preserve">(Final version — CI numbers, object-based metrics, and all section/table/figure cross-references verified against the revised manuscript.)</w:t>
      </w:r>
      <w:r>
        <w:rPr>
          <w:sz w:val="22"/>
          <w:szCs w:val="22"/>
        </w:rPr>
        <w:t xml:space="preserve"/>
      </w:r>
    </w:p>
    <w:sectPr>
      <w:pgSz w:w="11906" w:h="16838"/>
      <w:pgMar w:top="1440" w:right="1440" w:bottom="1440" w:left="144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styles" Target="styles.xml"/></Relationships>
</file>