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59669" w:val="clear"/>
            <w:tcMar>
              <w:top w:type="dxa" w:w="720"/>
              <w:left w:type="dxa" w:w="720"/>
              <w:bottom w:type="dxa" w:w="720"/>
              <w:right w:type="dxa" w:w="720"/>
            </w:tcMar>
            <w:vAlign w:val="center"/>
          </w:tcPr>
          <w:p>
            <w:pPr>
              <w:spacing w:before="0" w:after="120"/>
              <w:jc w:val="left"/>
            </w:pPr>
            <w:r>
              <w:rPr>
                <w:b/>
                <w:bCs/>
                <w:color w:val="FFFFFF"/>
                <w:sz w:val="52"/>
                <w:szCs w:val="52"/>
              </w:rPr>
              <w:t xml:space="preserve">Gilba Agronomic Intelligence Hub</w:t>
            </w:r>
          </w:p>
          <w:p>
            <w:pPr>
              <w:spacing w:before="0" w:after="0"/>
              <w:jc w:val="left"/>
            </w:pPr>
            <w:r>
              <w:rPr>
                <w:color w:val="D1FAE5"/>
                <w:sz w:val="52"/>
                <w:szCs w:val="52"/>
              </w:rPr>
              <w:t xml:space="preserve">Combined Analysis Report</w:t>
            </w:r>
          </w:p>
        </w:tc>
      </w:tr>
    </w:tbl>
    <w:p>
      <w:pPr>
        <w:spacing w:before="900" w:after="0"/>
      </w:pPr>
      <w:r/>
    </w:p>
    <w:p>
      <w:pPr>
        <w:spacing w:before="0" w:after="0"/>
        <w:jc w:val="center"/>
      </w:pPr>
      <w:r>
        <w:rPr>
          <w:b/>
          <w:bCs/>
          <w:color w:val="111827"/>
          <w:sz w:val="56"/>
          <w:szCs w:val="56"/>
        </w:rPr>
        <w:t xml:space="preserve">Russley Golf Club</w:t>
      </w:r>
    </w:p>
    <w:p>
      <w:pPr>
        <w:spacing w:before="700" w:after="0"/>
      </w:pPr>
      <w:r/>
    </w:p>
    <w:p>
      <w:pPr>
        <w:spacing w:before="0" w:after="80"/>
        <w:jc w:val="center"/>
      </w:pPr>
      <w:r>
        <w:rPr>
          <w:color w:val="6B7280"/>
          <w:sz w:val="22"/>
          <w:szCs w:val="22"/>
        </w:rPr>
        <w:t xml:space="preserve">3 samples</w:t>
      </w:r>
    </w:p>
    <w:p>
      <w:pPr>
        <w:spacing w:before="0" w:after="60"/>
        <w:jc w:val="center"/>
      </w:pPr>
      <w:r>
        <w:rPr>
          <w:color w:val="374151"/>
          <w:sz w:val="30"/>
          <w:szCs w:val="30"/>
        </w:rPr>
        <w:t xml:space="preserve">Green 1  ·  Green 18  ·  Green 13</w:t>
      </w:r>
    </w:p>
    <w:p>
      <w:pPr>
        <w:spacing w:before="100" w:after="0"/>
        <w:jc w:val="center"/>
      </w:pPr>
      <w:r>
        <w:rPr>
          <w:i/>
          <w:iCs/>
          <w:color w:val="A0AEC0"/>
          <w:sz w:val="20"/>
          <w:szCs w:val="20"/>
        </w:rPr>
        <w:t xml:space="preserve">28 July 2026</w:t>
      </w:r>
    </w:p>
    <w:p>
      <w:r>
        <w:br w:type="page"/>
      </w:r>
    </w:p>
    <w:p>
      <w:pPr>
        <w:pStyle w:val="Heading1"/>
        <w:spacing w:before="0" w:after="200"/>
      </w:pPr>
      <w:r>
        <w:rPr>
          <w:b/>
          <w:bCs/>
          <w:color w:val="1F2937"/>
          <w:sz w:val="36"/>
          <w:szCs w:val="36"/>
        </w:rPr>
        <w:t xml:space="preserve">Zone Comparison</w:t>
      </w:r>
    </w:p>
    <w:p>
      <w:pPr>
        <w:spacing w:after="240"/>
      </w:pPr>
      <w:r>
        <w:rPr>
          <w:color w:val="6B7280"/>
          <w:sz w:val="22"/>
          <w:szCs w:val="22"/>
        </w:rPr>
        <w:t xml:space="preserve">Soil nutrient status and growth potential across all analysed zones. Green = adequate (above MLSN minimum). Red = deficit (below MLSN minimum). Amber = low growth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23"/>
        <w:gridCol w:w="723"/>
        <w:gridCol w:w="723"/>
        <w:gridCol w:w="723"/>
        <w:gridCol w:w="723"/>
        <w:gridCol w:w="723"/>
        <w:gridCol w:w="723"/>
        <w:gridCol w:w="723"/>
        <w:gridCol w:w="723"/>
        <w:gridCol w:w="723"/>
        <w:gridCol w:w="723"/>
      </w:tblGrid>
      <w:tr>
        <w:trPr>
          <w:tblHeader/>
        </w:trPr>
        <w:tc>
          <w:tcPr>
            <w:tcW w:type="dxa" w:w="1400"/>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Zone</w:t>
            </w:r>
          </w:p>
        </w:tc>
        <w:tc>
          <w:tcPr>
            <w:tcW w:type="dxa" w:w="723"/>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Area (ha)</w:t>
            </w:r>
          </w:p>
        </w:tc>
        <w:tc>
          <w:tcPr>
            <w:tcW w:type="dxa" w:w="723"/>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pH</w:t>
            </w:r>
          </w:p>
        </w:tc>
        <w:tc>
          <w:tcPr>
            <w:tcW w:type="dxa" w:w="723"/>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EC (dS/m)</w:t>
            </w:r>
          </w:p>
        </w:tc>
        <w:tc>
          <w:tcPr>
            <w:tcW w:type="dxa" w:w="723"/>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OM (%)</w:t>
            </w:r>
          </w:p>
        </w:tc>
        <w:tc>
          <w:tcPr>
            <w:tcW w:type="dxa" w:w="723"/>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P (ppm)</w:t>
            </w:r>
          </w:p>
        </w:tc>
        <w:tc>
          <w:tcPr>
            <w:tcW w:type="dxa" w:w="723"/>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K (ppm)</w:t>
            </w:r>
          </w:p>
        </w:tc>
        <w:tc>
          <w:tcPr>
            <w:tcW w:type="dxa" w:w="723"/>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Ca (ppm)</w:t>
            </w:r>
          </w:p>
        </w:tc>
        <w:tc>
          <w:tcPr>
            <w:tcW w:type="dxa" w:w="723"/>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Mg (ppm)</w:t>
            </w:r>
          </w:p>
        </w:tc>
        <w:tc>
          <w:tcPr>
            <w:tcW w:type="dxa" w:w="723"/>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S (ppm)</w:t>
            </w:r>
          </w:p>
        </w:tc>
        <w:tc>
          <w:tcPr>
            <w:tcW w:type="dxa" w:w="723"/>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Na (ppm)</w:t>
            </w:r>
          </w:p>
        </w:tc>
        <w:tc>
          <w:tcPr>
            <w:tcW w:type="dxa" w:w="723"/>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CEC</w:t>
            </w:r>
          </w:p>
        </w:tc>
      </w:tr>
      <w:tr>
        <w:tc>
          <w:tcPr>
            <w:tcW w:type="dxa" w:w="1400"/>
            <w:tcBorders>
              <w:top w:val="single" w:color="DDDDDD" w:sz="1"/>
              <w:left w:val="single" w:color="DDDDDD" w:sz="1"/>
              <w:bottom w:val="single" w:color="DDDDDD" w:sz="1"/>
              <w:right w:val="single" w:color="DDDDDD" w:sz="1"/>
            </w:tcBorders>
            <w:shd w:fill="F3F4F6" w:val="clear"/>
            <w:tcMar>
              <w:top w:type="dxa" w:w="60"/>
              <w:left w:type="dxa" w:w="100"/>
              <w:bottom w:type="dxa" w:w="60"/>
              <w:right w:type="dxa" w:w="100"/>
            </w:tcMar>
            <w:vAlign w:val="center"/>
          </w:tcPr>
          <w:p>
            <w:r>
              <w:rPr>
                <w:b/>
                <w:bCs/>
                <w:color w:val="374151"/>
                <w:sz w:val="20"/>
                <w:szCs w:val="20"/>
              </w:rPr>
              <w:t xml:space="preserve">Green 1</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4.7</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4.6</w:t>
            </w:r>
          </w:p>
        </w:tc>
        <w:tc>
          <w:tcPr>
            <w:tcW w:type="dxa" w:w="723"/>
            <w:tcBorders>
              <w:top w:val="single" w:color="DDDDDD" w:sz="1"/>
              <w:left w:val="single" w:color="DDDDDD" w:sz="1"/>
              <w:bottom w:val="single" w:color="DDDDDD" w:sz="1"/>
              <w:right w:val="single" w:color="DDDDDD" w:sz="1"/>
            </w:tcBorders>
            <w:shd w:fill="FEE2E2" w:val="clear"/>
            <w:tcMar>
              <w:top w:type="dxa" w:w="60"/>
              <w:left w:type="dxa" w:w="100"/>
              <w:bottom w:type="dxa" w:w="60"/>
              <w:right w:type="dxa" w:w="100"/>
            </w:tcMar>
            <w:vAlign w:val="center"/>
          </w:tcPr>
          <w:p>
            <w:pPr>
              <w:jc w:val="center"/>
            </w:pPr>
            <w:r>
              <w:rPr>
                <w:color w:val="1F2937"/>
                <w:sz w:val="20"/>
                <w:szCs w:val="20"/>
              </w:rPr>
              <w:t xml:space="preserve">18</w:t>
            </w:r>
          </w:p>
        </w:tc>
        <w:tc>
          <w:tcPr>
            <w:tcW w:type="dxa" w:w="723"/>
            <w:tcBorders>
              <w:top w:val="single" w:color="DDDDDD" w:sz="1"/>
              <w:left w:val="single" w:color="DDDDDD" w:sz="1"/>
              <w:bottom w:val="single" w:color="DDDDDD" w:sz="1"/>
              <w:right w:val="single" w:color="DDDDDD" w:sz="1"/>
            </w:tcBorders>
            <w:shd w:fill="D1FAE5" w:val="clear"/>
            <w:tcMar>
              <w:top w:type="dxa" w:w="60"/>
              <w:left w:type="dxa" w:w="100"/>
              <w:bottom w:type="dxa" w:w="60"/>
              <w:right w:type="dxa" w:w="100"/>
            </w:tcMar>
            <w:vAlign w:val="center"/>
          </w:tcPr>
          <w:p>
            <w:pPr>
              <w:jc w:val="center"/>
            </w:pPr>
            <w:r>
              <w:rPr>
                <w:color w:val="1F2937"/>
                <w:sz w:val="20"/>
                <w:szCs w:val="20"/>
              </w:rPr>
              <w:t xml:space="preserve">117</w:t>
            </w:r>
          </w:p>
        </w:tc>
        <w:tc>
          <w:tcPr>
            <w:tcW w:type="dxa" w:w="723"/>
            <w:tcBorders>
              <w:top w:val="single" w:color="DDDDDD" w:sz="1"/>
              <w:left w:val="single" w:color="DDDDDD" w:sz="1"/>
              <w:bottom w:val="single" w:color="DDDDDD" w:sz="1"/>
              <w:right w:val="single" w:color="DDDDDD" w:sz="1"/>
            </w:tcBorders>
            <w:shd w:fill="FEE2E2" w:val="clear"/>
            <w:tcMar>
              <w:top w:type="dxa" w:w="60"/>
              <w:left w:type="dxa" w:w="100"/>
              <w:bottom w:type="dxa" w:w="60"/>
              <w:right w:type="dxa" w:w="100"/>
            </w:tcMar>
            <w:vAlign w:val="center"/>
          </w:tcPr>
          <w:p>
            <w:pPr>
              <w:jc w:val="center"/>
            </w:pPr>
            <w:r>
              <w:rPr>
                <w:color w:val="1F2937"/>
                <w:sz w:val="20"/>
                <w:szCs w:val="20"/>
              </w:rPr>
              <w:t xml:space="preserve">100</w:t>
            </w:r>
          </w:p>
        </w:tc>
        <w:tc>
          <w:tcPr>
            <w:tcW w:type="dxa" w:w="723"/>
            <w:tcBorders>
              <w:top w:val="single" w:color="DDDDDD" w:sz="1"/>
              <w:left w:val="single" w:color="DDDDDD" w:sz="1"/>
              <w:bottom w:val="single" w:color="DDDDDD" w:sz="1"/>
              <w:right w:val="single" w:color="DDDDDD" w:sz="1"/>
            </w:tcBorders>
            <w:shd w:fill="FEE2E2" w:val="clear"/>
            <w:tcMar>
              <w:top w:type="dxa" w:w="60"/>
              <w:left w:type="dxa" w:w="100"/>
              <w:bottom w:type="dxa" w:w="60"/>
              <w:right w:type="dxa" w:w="100"/>
            </w:tcMar>
            <w:vAlign w:val="center"/>
          </w:tcPr>
          <w:p>
            <w:pPr>
              <w:jc w:val="center"/>
            </w:pPr>
            <w:r>
              <w:rPr>
                <w:color w:val="1F2937"/>
                <w:sz w:val="20"/>
                <w:szCs w:val="20"/>
              </w:rPr>
              <w:t xml:space="preserve">22</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12</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4.0</w:t>
            </w:r>
          </w:p>
        </w:tc>
      </w:tr>
      <w:tr>
        <w:tc>
          <w:tcPr>
            <w:tcW w:type="dxa" w:w="1400"/>
            <w:tcBorders>
              <w:top w:val="single" w:color="DDDDDD" w:sz="1"/>
              <w:left w:val="single" w:color="DDDDDD" w:sz="1"/>
              <w:bottom w:val="single" w:color="DDDDDD" w:sz="1"/>
              <w:right w:val="single" w:color="DDDDDD" w:sz="1"/>
            </w:tcBorders>
            <w:shd w:fill="F3F4F6" w:val="clear"/>
            <w:tcMar>
              <w:top w:type="dxa" w:w="60"/>
              <w:left w:type="dxa" w:w="100"/>
              <w:bottom w:type="dxa" w:w="60"/>
              <w:right w:type="dxa" w:w="100"/>
            </w:tcMar>
            <w:vAlign w:val="center"/>
          </w:tcPr>
          <w:p>
            <w:r>
              <w:rPr>
                <w:b/>
                <w:bCs/>
                <w:color w:val="374151"/>
                <w:sz w:val="20"/>
                <w:szCs w:val="20"/>
              </w:rPr>
              <w:t xml:space="preserve">Green 18</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4.9</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4.6</w:t>
            </w:r>
          </w:p>
        </w:tc>
        <w:tc>
          <w:tcPr>
            <w:tcW w:type="dxa" w:w="723"/>
            <w:tcBorders>
              <w:top w:val="single" w:color="DDDDDD" w:sz="1"/>
              <w:left w:val="single" w:color="DDDDDD" w:sz="1"/>
              <w:bottom w:val="single" w:color="DDDDDD" w:sz="1"/>
              <w:right w:val="single" w:color="DDDDDD" w:sz="1"/>
            </w:tcBorders>
            <w:shd w:fill="D1FAE5" w:val="clear"/>
            <w:tcMar>
              <w:top w:type="dxa" w:w="60"/>
              <w:left w:type="dxa" w:w="100"/>
              <w:bottom w:type="dxa" w:w="60"/>
              <w:right w:type="dxa" w:w="100"/>
            </w:tcMar>
            <w:vAlign w:val="center"/>
          </w:tcPr>
          <w:p>
            <w:pPr>
              <w:jc w:val="center"/>
            </w:pPr>
            <w:r>
              <w:rPr>
                <w:color w:val="1F2937"/>
                <w:sz w:val="20"/>
                <w:szCs w:val="20"/>
              </w:rPr>
              <w:t xml:space="preserve">20</w:t>
            </w:r>
          </w:p>
        </w:tc>
        <w:tc>
          <w:tcPr>
            <w:tcW w:type="dxa" w:w="723"/>
            <w:tcBorders>
              <w:top w:val="single" w:color="DDDDDD" w:sz="1"/>
              <w:left w:val="single" w:color="DDDDDD" w:sz="1"/>
              <w:bottom w:val="single" w:color="DDDDDD" w:sz="1"/>
              <w:right w:val="single" w:color="DDDDDD" w:sz="1"/>
            </w:tcBorders>
            <w:shd w:fill="D1FAE5" w:val="clear"/>
            <w:tcMar>
              <w:top w:type="dxa" w:w="60"/>
              <w:left w:type="dxa" w:w="100"/>
              <w:bottom w:type="dxa" w:w="60"/>
              <w:right w:type="dxa" w:w="100"/>
            </w:tcMar>
            <w:vAlign w:val="center"/>
          </w:tcPr>
          <w:p>
            <w:pPr>
              <w:jc w:val="center"/>
            </w:pPr>
            <w:r>
              <w:rPr>
                <w:color w:val="1F2937"/>
                <w:sz w:val="20"/>
                <w:szCs w:val="20"/>
              </w:rPr>
              <w:t xml:space="preserve">156</w:t>
            </w:r>
          </w:p>
        </w:tc>
        <w:tc>
          <w:tcPr>
            <w:tcW w:type="dxa" w:w="723"/>
            <w:tcBorders>
              <w:top w:val="single" w:color="DDDDDD" w:sz="1"/>
              <w:left w:val="single" w:color="DDDDDD" w:sz="1"/>
              <w:bottom w:val="single" w:color="DDDDDD" w:sz="1"/>
              <w:right w:val="single" w:color="DDDDDD" w:sz="1"/>
            </w:tcBorders>
            <w:shd w:fill="FEE2E2" w:val="clear"/>
            <w:tcMar>
              <w:top w:type="dxa" w:w="60"/>
              <w:left w:type="dxa" w:w="100"/>
              <w:bottom w:type="dxa" w:w="60"/>
              <w:right w:type="dxa" w:w="100"/>
            </w:tcMar>
            <w:vAlign w:val="center"/>
          </w:tcPr>
          <w:p>
            <w:pPr>
              <w:jc w:val="center"/>
            </w:pPr>
            <w:r>
              <w:rPr>
                <w:color w:val="1F2937"/>
                <w:sz w:val="20"/>
                <w:szCs w:val="20"/>
              </w:rPr>
              <w:t xml:space="preserve">220</w:t>
            </w:r>
          </w:p>
        </w:tc>
        <w:tc>
          <w:tcPr>
            <w:tcW w:type="dxa" w:w="723"/>
            <w:tcBorders>
              <w:top w:val="single" w:color="DDDDDD" w:sz="1"/>
              <w:left w:val="single" w:color="DDDDDD" w:sz="1"/>
              <w:bottom w:val="single" w:color="DDDDDD" w:sz="1"/>
              <w:right w:val="single" w:color="DDDDDD" w:sz="1"/>
            </w:tcBorders>
            <w:shd w:fill="D1FAE5" w:val="clear"/>
            <w:tcMar>
              <w:top w:type="dxa" w:w="60"/>
              <w:left w:type="dxa" w:w="100"/>
              <w:bottom w:type="dxa" w:w="60"/>
              <w:right w:type="dxa" w:w="100"/>
            </w:tcMar>
            <w:vAlign w:val="center"/>
          </w:tcPr>
          <w:p>
            <w:pPr>
              <w:jc w:val="center"/>
            </w:pPr>
            <w:r>
              <w:rPr>
                <w:color w:val="1F2937"/>
                <w:sz w:val="20"/>
                <w:szCs w:val="20"/>
              </w:rPr>
              <w:t xml:space="preserve">40</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12</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5.0</w:t>
            </w:r>
          </w:p>
        </w:tc>
      </w:tr>
      <w:tr>
        <w:tc>
          <w:tcPr>
            <w:tcW w:type="dxa" w:w="1400"/>
            <w:tcBorders>
              <w:top w:val="single" w:color="DDDDDD" w:sz="1"/>
              <w:left w:val="single" w:color="DDDDDD" w:sz="1"/>
              <w:bottom w:val="single" w:color="DDDDDD" w:sz="1"/>
              <w:right w:val="single" w:color="DDDDDD" w:sz="1"/>
            </w:tcBorders>
            <w:shd w:fill="F3F4F6" w:val="clear"/>
            <w:tcMar>
              <w:top w:type="dxa" w:w="60"/>
              <w:left w:type="dxa" w:w="100"/>
              <w:bottom w:type="dxa" w:w="60"/>
              <w:right w:type="dxa" w:w="100"/>
            </w:tcMar>
            <w:vAlign w:val="center"/>
          </w:tcPr>
          <w:p>
            <w:r>
              <w:rPr>
                <w:b/>
                <w:bCs/>
                <w:color w:val="374151"/>
                <w:sz w:val="20"/>
                <w:szCs w:val="20"/>
              </w:rPr>
              <w:t xml:space="preserve">Green 13</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4.7</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4.6</w:t>
            </w:r>
          </w:p>
        </w:tc>
        <w:tc>
          <w:tcPr>
            <w:tcW w:type="dxa" w:w="723"/>
            <w:tcBorders>
              <w:top w:val="single" w:color="DDDDDD" w:sz="1"/>
              <w:left w:val="single" w:color="DDDDDD" w:sz="1"/>
              <w:bottom w:val="single" w:color="DDDDDD" w:sz="1"/>
              <w:right w:val="single" w:color="DDDDDD" w:sz="1"/>
            </w:tcBorders>
            <w:shd w:fill="D1FAE5" w:val="clear"/>
            <w:tcMar>
              <w:top w:type="dxa" w:w="60"/>
              <w:left w:type="dxa" w:w="100"/>
              <w:bottom w:type="dxa" w:w="60"/>
              <w:right w:type="dxa" w:w="100"/>
            </w:tcMar>
            <w:vAlign w:val="center"/>
          </w:tcPr>
          <w:p>
            <w:pPr>
              <w:jc w:val="center"/>
            </w:pPr>
            <w:r>
              <w:rPr>
                <w:color w:val="1F2937"/>
                <w:sz w:val="20"/>
                <w:szCs w:val="20"/>
              </w:rPr>
              <w:t xml:space="preserve">20</w:t>
            </w:r>
          </w:p>
        </w:tc>
        <w:tc>
          <w:tcPr>
            <w:tcW w:type="dxa" w:w="723"/>
            <w:tcBorders>
              <w:top w:val="single" w:color="DDDDDD" w:sz="1"/>
              <w:left w:val="single" w:color="DDDDDD" w:sz="1"/>
              <w:bottom w:val="single" w:color="DDDDDD" w:sz="1"/>
              <w:right w:val="single" w:color="DDDDDD" w:sz="1"/>
            </w:tcBorders>
            <w:shd w:fill="D1FAE5" w:val="clear"/>
            <w:tcMar>
              <w:top w:type="dxa" w:w="60"/>
              <w:left w:type="dxa" w:w="100"/>
              <w:bottom w:type="dxa" w:w="60"/>
              <w:right w:type="dxa" w:w="100"/>
            </w:tcMar>
            <w:vAlign w:val="center"/>
          </w:tcPr>
          <w:p>
            <w:pPr>
              <w:jc w:val="center"/>
            </w:pPr>
            <w:r>
              <w:rPr>
                <w:color w:val="1F2937"/>
                <w:sz w:val="20"/>
                <w:szCs w:val="20"/>
              </w:rPr>
              <w:t xml:space="preserve">117</w:t>
            </w:r>
          </w:p>
        </w:tc>
        <w:tc>
          <w:tcPr>
            <w:tcW w:type="dxa" w:w="723"/>
            <w:tcBorders>
              <w:top w:val="single" w:color="DDDDDD" w:sz="1"/>
              <w:left w:val="single" w:color="DDDDDD" w:sz="1"/>
              <w:bottom w:val="single" w:color="DDDDDD" w:sz="1"/>
              <w:right w:val="single" w:color="DDDDDD" w:sz="1"/>
            </w:tcBorders>
            <w:shd w:fill="FEE2E2" w:val="clear"/>
            <w:tcMar>
              <w:top w:type="dxa" w:w="60"/>
              <w:left w:type="dxa" w:w="100"/>
              <w:bottom w:type="dxa" w:w="60"/>
              <w:right w:type="dxa" w:w="100"/>
            </w:tcMar>
            <w:vAlign w:val="center"/>
          </w:tcPr>
          <w:p>
            <w:pPr>
              <w:jc w:val="center"/>
            </w:pPr>
            <w:r>
              <w:rPr>
                <w:color w:val="1F2937"/>
                <w:sz w:val="20"/>
                <w:szCs w:val="20"/>
              </w:rPr>
              <w:t xml:space="preserve">160</w:t>
            </w:r>
          </w:p>
        </w:tc>
        <w:tc>
          <w:tcPr>
            <w:tcW w:type="dxa" w:w="723"/>
            <w:tcBorders>
              <w:top w:val="single" w:color="DDDDDD" w:sz="1"/>
              <w:left w:val="single" w:color="DDDDDD" w:sz="1"/>
              <w:bottom w:val="single" w:color="DDDDDD" w:sz="1"/>
              <w:right w:val="single" w:color="DDDDDD" w:sz="1"/>
            </w:tcBorders>
            <w:shd w:fill="FEE2E2" w:val="clear"/>
            <w:tcMar>
              <w:top w:type="dxa" w:w="60"/>
              <w:left w:type="dxa" w:w="100"/>
              <w:bottom w:type="dxa" w:w="60"/>
              <w:right w:type="dxa" w:w="100"/>
            </w:tcMar>
            <w:vAlign w:val="center"/>
          </w:tcPr>
          <w:p>
            <w:pPr>
              <w:jc w:val="center"/>
            </w:pPr>
            <w:r>
              <w:rPr>
                <w:color w:val="1F2937"/>
                <w:sz w:val="20"/>
                <w:szCs w:val="20"/>
              </w:rPr>
              <w:t xml:space="preserve">36</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12</w:t>
            </w:r>
          </w:p>
        </w:tc>
        <w:tc>
          <w:tcPr>
            <w:tcW w:type="dxa" w:w="723"/>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vAlign w:val="center"/>
          </w:tcPr>
          <w:p>
            <w:pPr>
              <w:jc w:val="center"/>
            </w:pPr>
            <w:r>
              <w:rPr>
                <w:color w:val="1F2937"/>
                <w:sz w:val="20"/>
                <w:szCs w:val="20"/>
              </w:rPr>
              <w:t xml:space="preserve">4.0</w:t>
            </w:r>
          </w:p>
        </w:tc>
      </w:tr>
    </w:tbl>
    <w:p>
      <w:pPr>
        <w:spacing w:before="360" w:after="120"/>
      </w:pPr>
      <w:r>
        <w:rPr>
          <w:b/>
          <w:bCs/>
          <w:color w:val="1F2937"/>
          <w:sz w:val="28"/>
          <w:szCs w:val="28"/>
        </w:rPr>
        <w:t xml:space="preserve">Zone Issues Summary</w:t>
      </w:r>
    </w:p>
    <w:p>
      <w:pPr>
        <w:spacing w:after="200"/>
      </w:pPr>
      <w:r>
        <w:rPr>
          <w:color w:val="6B7280"/>
          <w:sz w:val="22"/>
          <w:szCs w:val="22"/>
        </w:rPr>
        <w:t xml:space="preserve">Aggregated diagnostic flags per zone. Deficiency thresholds, nutrient antagonisms, pH, EC, and CEC assessed against current soil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80"/>
        <w:gridCol w:w="3680"/>
      </w:tblGrid>
      <w:tr>
        <w:trPr>
          <w:tblHeader/>
        </w:trPr>
        <w:tc>
          <w:tcPr>
            <w:tcW w:type="dxa" w:w="1400"/>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Zone</w:t>
            </w:r>
          </w:p>
        </w:tc>
        <w:tc>
          <w:tcPr>
            <w:tcW w:type="dxa" w:w="4280"/>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Key Issues</w:t>
            </w:r>
          </w:p>
        </w:tc>
        <w:tc>
          <w:tcPr>
            <w:tcW w:type="dxa" w:w="3680"/>
            <w:tcBorders>
              <w:top w:val="single" w:color="DDDDDD" w:sz="1"/>
              <w:left w:val="single" w:color="DDDDDD" w:sz="1"/>
              <w:bottom w:val="single" w:color="DDDDDD" w:sz="1"/>
              <w:right w:val="single" w:color="DDDDDD" w:sz="1"/>
            </w:tcBorders>
            <w:shd w:fill="059669" w:val="clear"/>
            <w:tcMar>
              <w:top w:type="dxa" w:w="60"/>
              <w:left w:type="dxa" w:w="100"/>
              <w:bottom w:type="dxa" w:w="60"/>
              <w:right w:type="dxa" w:w="100"/>
            </w:tcMar>
            <w:vAlign w:val="center"/>
          </w:tcPr>
          <w:p>
            <w:pPr>
              <w:jc w:val="center"/>
            </w:pPr>
            <w:r>
              <w:rPr>
                <w:b/>
                <w:bCs/>
                <w:color w:val="FFFFFF"/>
                <w:sz w:val="20"/>
                <w:szCs w:val="20"/>
              </w:rPr>
              <w:t xml:space="preserve">Priority Action</w:t>
            </w:r>
          </w:p>
        </w:tc>
      </w:tr>
      <w:tr>
        <w:tc>
          <w:tcPr>
            <w:tcW w:type="dxa" w:w="1400"/>
            <w:tcBorders>
              <w:top w:val="single" w:color="DDDDDD" w:sz="1"/>
              <w:left w:val="single" w:color="DDDDDD" w:sz="1"/>
              <w:bottom w:val="single" w:color="DDDDDD" w:sz="1"/>
              <w:right w:val="single" w:color="DDDDDD" w:sz="1"/>
            </w:tcBorders>
            <w:shd w:fill="F3F4F6" w:val="clear"/>
            <w:tcMar>
              <w:top w:type="dxa" w:w="60"/>
              <w:left w:type="dxa" w:w="100"/>
              <w:bottom w:type="dxa" w:w="60"/>
              <w:right w:type="dxa" w:w="100"/>
            </w:tcMar>
            <w:vAlign w:val="top"/>
          </w:tcPr>
          <w:p>
            <w:r>
              <w:rPr>
                <w:b/>
                <w:bCs/>
                <w:color w:val="374151"/>
                <w:sz w:val="16"/>
                <w:szCs w:val="16"/>
              </w:rPr>
              <w:t xml:space="preserve">Green 1</w:t>
            </w:r>
          </w:p>
        </w:tc>
        <w:tc>
          <w:tcPr>
            <w:tcW w:type="dxa" w:w="4280"/>
            <w:tcBorders>
              <w:top w:val="single" w:color="DDDDDD" w:sz="1"/>
              <w:left w:val="single" w:color="DDDDDD" w:sz="1"/>
              <w:bottom w:val="single" w:color="DDDDDD" w:sz="1"/>
              <w:right w:val="single" w:color="DDDDDD" w:sz="1"/>
            </w:tcBorders>
            <w:shd w:fill="FEF3C7" w:val="clear"/>
            <w:tcMar>
              <w:top w:type="dxa" w:w="60"/>
              <w:left w:type="dxa" w:w="100"/>
              <w:bottom w:type="dxa" w:w="60"/>
              <w:right w:type="dxa" w:w="100"/>
            </w:tcMar>
            <w:vAlign w:val="top"/>
          </w:tcPr>
          <w:p>
            <w:r>
              <w:rPr>
                <w:b w:val="false"/>
                <w:bCs w:val="false"/>
                <w:color w:val="1F2937"/>
                <w:sz w:val="16"/>
                <w:szCs w:val="16"/>
              </w:rPr>
              <w:t xml:space="preserve">P, Ca, Mg below MLSN minimum. Nutrient antagonism: K:Mg, K:Ca. pH 4.7, strongly acidic. CEC 4.0, low holding capacity (spoon-feeding required).</w:t>
            </w:r>
          </w:p>
        </w:tc>
        <w:tc>
          <w:tcPr>
            <w:tcW w:type="dxa" w:w="3680"/>
            <w:tcBorders>
              <w:top w:val="single" w:color="DDDDDD" w:sz="1"/>
              <w:left w:val="single" w:color="DDDDDD" w:sz="1"/>
              <w:bottom w:val="single" w:color="DDDDDD" w:sz="1"/>
              <w:right w:val="single" w:color="DDDDDD" w:sz="1"/>
            </w:tcBorders>
            <w:shd w:fill="FEF3C7" w:val="clear"/>
            <w:tcMar>
              <w:top w:type="dxa" w:w="60"/>
              <w:left w:type="dxa" w:w="100"/>
              <w:bottom w:type="dxa" w:w="60"/>
              <w:right w:type="dxa" w:w="100"/>
            </w:tcMar>
            <w:vAlign w:val="top"/>
          </w:tcPr>
          <w:p>
            <w:r>
              <w:rPr>
                <w:b w:val="false"/>
                <w:bCs w:val="false"/>
                <w:color w:val="1F2937"/>
                <w:sz w:val="16"/>
                <w:szCs w:val="16"/>
              </w:rPr>
              <w:t xml:space="preserve">Correct P, Ca, Mg deficits, see per-zone recommendations</w:t>
            </w:r>
          </w:p>
        </w:tc>
      </w:tr>
      <w:tr>
        <w:tc>
          <w:tcPr>
            <w:tcW w:type="dxa" w:w="1400"/>
            <w:tcBorders>
              <w:top w:val="single" w:color="DDDDDD" w:sz="1"/>
              <w:left w:val="single" w:color="DDDDDD" w:sz="1"/>
              <w:bottom w:val="single" w:color="DDDDDD" w:sz="1"/>
              <w:right w:val="single" w:color="DDDDDD" w:sz="1"/>
            </w:tcBorders>
            <w:shd w:fill="F3F4F6" w:val="clear"/>
            <w:tcMar>
              <w:top w:type="dxa" w:w="60"/>
              <w:left w:type="dxa" w:w="100"/>
              <w:bottom w:type="dxa" w:w="60"/>
              <w:right w:type="dxa" w:w="100"/>
            </w:tcMar>
            <w:vAlign w:val="top"/>
          </w:tcPr>
          <w:p>
            <w:r>
              <w:rPr>
                <w:b/>
                <w:bCs/>
                <w:color w:val="374151"/>
                <w:sz w:val="16"/>
                <w:szCs w:val="16"/>
              </w:rPr>
              <w:t xml:space="preserve">Green 18</w:t>
            </w:r>
          </w:p>
        </w:tc>
        <w:tc>
          <w:tcPr>
            <w:tcW w:type="dxa" w:w="4280"/>
            <w:tcBorders>
              <w:top w:val="single" w:color="DDDDDD" w:sz="1"/>
              <w:left w:val="single" w:color="DDDDDD" w:sz="1"/>
              <w:bottom w:val="single" w:color="DDDDDD" w:sz="1"/>
              <w:right w:val="single" w:color="DDDDDD" w:sz="1"/>
            </w:tcBorders>
            <w:shd w:fill="FEF3C7" w:val="clear"/>
            <w:tcMar>
              <w:top w:type="dxa" w:w="60"/>
              <w:left w:type="dxa" w:w="100"/>
              <w:bottom w:type="dxa" w:w="60"/>
              <w:right w:type="dxa" w:w="100"/>
            </w:tcMar>
            <w:vAlign w:val="top"/>
          </w:tcPr>
          <w:p>
            <w:r>
              <w:rPr>
                <w:b w:val="false"/>
                <w:bCs w:val="false"/>
                <w:color w:val="1F2937"/>
                <w:sz w:val="16"/>
                <w:szCs w:val="16"/>
              </w:rPr>
              <w:t xml:space="preserve">Ca below MLSN minimum. Nutrient antagonism: K:Mg, K:Ca. pH 4.9, strongly acidic.</w:t>
            </w:r>
          </w:p>
        </w:tc>
        <w:tc>
          <w:tcPr>
            <w:tcW w:type="dxa" w:w="3680"/>
            <w:tcBorders>
              <w:top w:val="single" w:color="DDDDDD" w:sz="1"/>
              <w:left w:val="single" w:color="DDDDDD" w:sz="1"/>
              <w:bottom w:val="single" w:color="DDDDDD" w:sz="1"/>
              <w:right w:val="single" w:color="DDDDDD" w:sz="1"/>
            </w:tcBorders>
            <w:shd w:fill="FEF3C7" w:val="clear"/>
            <w:tcMar>
              <w:top w:type="dxa" w:w="60"/>
              <w:left w:type="dxa" w:w="100"/>
              <w:bottom w:type="dxa" w:w="60"/>
              <w:right w:type="dxa" w:w="100"/>
            </w:tcMar>
            <w:vAlign w:val="top"/>
          </w:tcPr>
          <w:p>
            <w:r>
              <w:rPr>
                <w:b w:val="false"/>
                <w:bCs w:val="false"/>
                <w:color w:val="1F2937"/>
                <w:sz w:val="16"/>
                <w:szCs w:val="16"/>
              </w:rPr>
              <w:t xml:space="preserve">Correct Ca deficits, see per-zone recommendations</w:t>
            </w:r>
          </w:p>
        </w:tc>
      </w:tr>
      <w:tr>
        <w:tc>
          <w:tcPr>
            <w:tcW w:type="dxa" w:w="1400"/>
            <w:tcBorders>
              <w:top w:val="single" w:color="DDDDDD" w:sz="1"/>
              <w:left w:val="single" w:color="DDDDDD" w:sz="1"/>
              <w:bottom w:val="single" w:color="DDDDDD" w:sz="1"/>
              <w:right w:val="single" w:color="DDDDDD" w:sz="1"/>
            </w:tcBorders>
            <w:shd w:fill="F3F4F6" w:val="clear"/>
            <w:tcMar>
              <w:top w:type="dxa" w:w="60"/>
              <w:left w:type="dxa" w:w="100"/>
              <w:bottom w:type="dxa" w:w="60"/>
              <w:right w:type="dxa" w:w="100"/>
            </w:tcMar>
            <w:vAlign w:val="top"/>
          </w:tcPr>
          <w:p>
            <w:r>
              <w:rPr>
                <w:b/>
                <w:bCs/>
                <w:color w:val="374151"/>
                <w:sz w:val="16"/>
                <w:szCs w:val="16"/>
              </w:rPr>
              <w:t xml:space="preserve">Green 13</w:t>
            </w:r>
          </w:p>
        </w:tc>
        <w:tc>
          <w:tcPr>
            <w:tcW w:type="dxa" w:w="4280"/>
            <w:tcBorders>
              <w:top w:val="single" w:color="DDDDDD" w:sz="1"/>
              <w:left w:val="single" w:color="DDDDDD" w:sz="1"/>
              <w:bottom w:val="single" w:color="DDDDDD" w:sz="1"/>
              <w:right w:val="single" w:color="DDDDDD" w:sz="1"/>
            </w:tcBorders>
            <w:shd w:fill="FEF3C7" w:val="clear"/>
            <w:tcMar>
              <w:top w:type="dxa" w:w="60"/>
              <w:left w:type="dxa" w:w="100"/>
              <w:bottom w:type="dxa" w:w="60"/>
              <w:right w:type="dxa" w:w="100"/>
            </w:tcMar>
            <w:vAlign w:val="top"/>
          </w:tcPr>
          <w:p>
            <w:r>
              <w:rPr>
                <w:b w:val="false"/>
                <w:bCs w:val="false"/>
                <w:color w:val="1F2937"/>
                <w:sz w:val="16"/>
                <w:szCs w:val="16"/>
              </w:rPr>
              <w:t xml:space="preserve">Ca, Mg below MLSN minimum. Nutrient antagonism: K:Mg, K:Ca. pH 4.7, strongly acidic. CEC 4.0, low holding capacity (spoon-feeding required).</w:t>
            </w:r>
          </w:p>
        </w:tc>
        <w:tc>
          <w:tcPr>
            <w:tcW w:type="dxa" w:w="3680"/>
            <w:tcBorders>
              <w:top w:val="single" w:color="DDDDDD" w:sz="1"/>
              <w:left w:val="single" w:color="DDDDDD" w:sz="1"/>
              <w:bottom w:val="single" w:color="DDDDDD" w:sz="1"/>
              <w:right w:val="single" w:color="DDDDDD" w:sz="1"/>
            </w:tcBorders>
            <w:shd w:fill="FEF3C7" w:val="clear"/>
            <w:tcMar>
              <w:top w:type="dxa" w:w="60"/>
              <w:left w:type="dxa" w:w="100"/>
              <w:bottom w:type="dxa" w:w="60"/>
              <w:right w:type="dxa" w:w="100"/>
            </w:tcMar>
            <w:vAlign w:val="top"/>
          </w:tcPr>
          <w:p>
            <w:r>
              <w:rPr>
                <w:b w:val="false"/>
                <w:bCs w:val="false"/>
                <w:color w:val="1F2937"/>
                <w:sz w:val="16"/>
                <w:szCs w:val="16"/>
              </w:rPr>
              <w:t xml:space="preserve">Correct Ca, Mg deficits, see per-zone recommendations</w:t>
            </w:r>
          </w:p>
        </w:tc>
      </w:tr>
    </w:tbl>
    <w:p>
      <w:pPr>
        <w:spacing w:before="360" w:after="120"/>
      </w:pPr>
      <w:r>
        <w:rPr>
          <w:b/>
          <w:bCs/>
          <w:color w:val="374151"/>
          <w:sz w:val="22"/>
          <w:szCs w:val="22"/>
        </w:rPr>
        <w:t xml:space="preserve">Zone Soil Nutrient Charts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60"/>
            </w:pPr>
            <w:r>
              <w:rPr>
                <w:b/>
                <w:bCs/>
                <w:color w:val="374151"/>
                <w:sz w:val="22"/>
                <w:szCs w:val="22"/>
              </w:rPr>
              <w:t xml:space="preserve">Green 1</w:t>
            </w:r>
          </w:p>
          <w:p>
            <w:pPr>
              <w:jc w:val="center"/>
            </w:pPr>
            <w:r>
              <w:drawing>
                <wp:inline distT="0" distB="0" distL="0" distR="0">
                  <wp:extent cx="2590800" cy="1038225"/>
                  <wp:effectExtent t="0" r="0" b="0" l="0"/>
                  <wp:docPr id="1" name="soilchart_zone_1000" descr="sample_244 soil nutrients" title="Soi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2590800" cy="1038225"/>
                          </a:xfrm>
                          <a:prstGeom prst="rect">
                            <a:avLst/>
                          </a:prstGeom>
                        </pic:spPr>
                      </pic:pic>
                    </a:graphicData>
                  </a:graphic>
                </wp:inline>
              </w:drawing>
            </w:r>
          </w:p>
        </w:tc>
        <w:tc>
          <w:tcPr>
            <w:tcW w:type="dxa" w:w="43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60"/>
            </w:pPr>
            <w:r>
              <w:rPr>
                <w:b/>
                <w:bCs/>
                <w:color w:val="374151"/>
                <w:sz w:val="22"/>
                <w:szCs w:val="22"/>
              </w:rPr>
              <w:t xml:space="preserve">Green 18</w:t>
            </w:r>
          </w:p>
          <w:p>
            <w:pPr>
              <w:jc w:val="center"/>
            </w:pPr>
            <w:r>
              <w:drawing>
                <wp:inline distT="0" distB="0" distL="0" distR="0">
                  <wp:extent cx="2590800" cy="1038225"/>
                  <wp:effectExtent t="0" r="0" b="0" l="0"/>
                  <wp:docPr id="2" name="soilchart_zone_1001" descr="sample_242 soil nutrients" title="Soi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9" cstate="none"/>
                          <a:srcRect/>
                          <a:stretch>
                            <a:fillRect/>
                          </a:stretch>
                        </pic:blipFill>
                        <pic:spPr bwMode="auto">
                          <a:xfrm>
                            <a:off x="0" y="0"/>
                            <a:ext cx="2590800" cy="1038225"/>
                          </a:xfrm>
                          <a:prstGeom prst="rect">
                            <a:avLst/>
                          </a:prstGeom>
                        </pic:spPr>
                      </pic:pic>
                    </a:graphicData>
                  </a:graphic>
                </wp:inline>
              </w:drawing>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60"/>
            </w:pPr>
            <w:r>
              <w:rPr>
                <w:b/>
                <w:bCs/>
                <w:color w:val="374151"/>
                <w:sz w:val="22"/>
                <w:szCs w:val="22"/>
              </w:rPr>
              <w:t xml:space="preserve">Green 13</w:t>
            </w:r>
          </w:p>
          <w:p>
            <w:pPr>
              <w:jc w:val="center"/>
            </w:pPr>
            <w:r>
              <w:drawing>
                <wp:inline distT="0" distB="0" distL="0" distR="0">
                  <wp:extent cx="2590800" cy="1038225"/>
                  <wp:effectExtent t="0" r="0" b="0" l="0"/>
                  <wp:docPr id="3" name="soilchart_zone_1002" descr="sample_239 soil nutrients" title="Soi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0" cstate="none"/>
                          <a:srcRect/>
                          <a:stretch>
                            <a:fillRect/>
                          </a:stretch>
                        </pic:blipFill>
                        <pic:spPr bwMode="auto">
                          <a:xfrm>
                            <a:off x="0" y="0"/>
                            <a:ext cx="2590800" cy="1038225"/>
                          </a:xfrm>
                          <a:prstGeom prst="rect">
                            <a:avLst/>
                          </a:prstGeom>
                        </pic:spPr>
                      </pic:pic>
                    </a:graphicData>
                  </a:graphic>
                </wp:inline>
              </w:drawing>
            </w:r>
          </w:p>
        </w:tc>
        <w:tc>
          <w:tcPr>
            <w:tcW w:type="dxa" w:w="4320"/>
            <w:tcBorders>
              <w:top w:val="none" w:color="FFFFFF" w:sz="0"/>
              <w:left w:val="none" w:color="FFFFFF" w:sz="0"/>
              <w:bottom w:val="none" w:color="FFFFFF" w:sz="0"/>
              <w:right w:val="none" w:color="FFFFFF" w:sz="0"/>
            </w:tcBorders>
          </w:tcPr>
          <w:p/>
        </w:tc>
      </w:tr>
    </w:tbl>
    <w:p>
      <w:r>
        <w:br w:type="page"/>
      </w:r>
    </w:p>
    <w:p>
      <w:pPr>
        <w:spacing w:after="100"/>
      </w:pPr>
      <w:r>
        <w:rPr>
          <w:b/>
          <w:bCs/>
          <w:color w:val="1F2937"/>
          <w:sz w:val="28"/>
          <w:szCs w:val="28"/>
        </w:rPr>
        <w:t xml:space="preserve">Russley Golf Club</w:t>
      </w:r>
      <w:r>
        <w:rPr>
          <w:color w:val="9CA3AF"/>
          <w:sz w:val="28"/>
          <w:szCs w:val="28"/>
        </w:rPr>
        <w:t xml:space="preserve"> ,  </w:t>
      </w:r>
      <w:r>
        <w:rPr>
          <w:b/>
          <w:bCs/>
          <w:color w:val="374151"/>
          <w:sz w:val="28"/>
          <w:szCs w:val="28"/>
        </w:rPr>
        <w:t xml:space="preserve">Green 1</w:t>
      </w:r>
    </w:p>
    <w:p>
      <w:pPr>
        <w:spacing w:after="200"/>
      </w:pPr>
      <w:r>
        <w:rPr>
          <w:color w:val="9CA3AF"/>
          <w:sz w:val="22"/>
          <w:szCs w:val="22"/>
        </w:rPr>
        <w:t xml:space="preserve">Report 1 of 3</w:t>
      </w:r>
    </w:p>
    <w:p>
      <w:pPr>
        <w:spacing w:after="200"/>
      </w:pPr>
      <w:r>
        <w:rPr>
          <w:i/>
          <w:iCs/>
          <w:color w:val="6B7280"/>
          <w:sz w:val="22"/>
          <w:szCs w:val="22"/>
        </w:rPr>
        <w:t xml:space="preserve">Recommendations based on sample: Green 1 (2026-07-06) (single sample for this zone, no trend history available).</w:t>
      </w:r>
    </w:p>
    <w:p>
      <w:pPr>
        <w:pStyle w:val="Heading1"/>
        <w:keepNext/>
      </w:pPr>
      <w:r>
        <w:t xml:space="preserve">Priority Actions</w:t>
      </w:r>
    </w:p>
    <w:p>
      <w:pPr>
        <w:pBdr>
          <w:left w:val="single" w:color="F59E0B" w:sz="24"/>
        </w:pBdr>
        <w:shd w:fill="FFFBEB" w:val="clear"/>
        <w:spacing w:before="100" w:after="50"/>
      </w:pPr>
      <w:r>
        <w:rPr>
          <w:b/>
          <w:bCs/>
          <w:color w:val="F59E0B"/>
          <w:sz w:val="22"/>
          <w:szCs w:val="22"/>
        </w:rPr>
        <w:t xml:space="preserve">SHORT-TERM (7-30 days)</w:t>
      </w:r>
    </w:p>
    <w:p>
      <w:pPr>
        <w:spacing w:before="50" w:after="50"/>
        <w:ind w:left="400"/>
      </w:pPr>
      <w:r>
        <w:rPr>
          <w:sz w:val="22"/>
          <w:szCs w:val="22"/>
        </w:rPr>
        <w:t xml:space="preserve">• Tissue N below Browntop Bent (Greens) sufficiency (3%) - increase N program or apply foliar N.</w:t>
      </w:r>
    </w:p>
    <w:p/>
    <w:p>
      <w:pPr>
        <w:spacing w:before="200" w:after="200"/>
      </w:pPr>
      <w:r>
        <w:rPr>
          <w:i/>
          <w:iCs/>
          <w:color w:val="4B5563"/>
          <w:sz w:val="22"/>
          <w:szCs w:val="22"/>
        </w:rPr>
        <w:t xml:space="preserve">Live disease pressure, irrigation status, and pre-emergent timing update against current weather in the GAIP Hub dashboard. This export captures soil chemistry and recommendations only.</w:t>
      </w:r>
    </w:p>
    <w:p>
      <w:pPr>
        <w:pStyle w:val="Heading1"/>
        <w:keepNext/>
        <w:spacing w:before="200" w:after="100"/>
      </w:pPr>
      <w:r>
        <w:t xml:space="preserve">Site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Site</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Russley Golf Club</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Location</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428 Memorial Avenue, Burnside, Christchurch 8053, New Zealand</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Analysis Date</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28/7/2026</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Turf Type</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Golf - Greens</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Species</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Browntop Bent (Greens)</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Variety</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Arrowtown</w:t>
            </w:r>
          </w:p>
        </w:tc>
      </w:tr>
    </w:tbl>
    <w:p/>
    <w:p>
      <w:pPr>
        <w:pStyle w:val="Heading1"/>
        <w:keepNext/>
      </w:pPr>
      <w:r>
        <w:t xml:space="preserve">Soil Nutrition (AMMONIUM_ACETATE), Green 1</w:t>
      </w:r>
    </w:p>
    <w:p>
      <w:pPr>
        <w:spacing w:after="60"/>
      </w:pPr>
      <w:r>
        <w:rPr>
          <w:i/>
          <w:iCs/>
          <w:color w:val="6B7280"/>
          <w:sz w:val="22"/>
          <w:szCs w:val="22"/>
        </w:rPr>
        <w:t xml:space="preserve">Sampled: 6 Jul 2026  •  Browntop Bent (Greens)</w:t>
      </w:r>
    </w:p>
    <w:p>
      <w:pPr>
        <w:spacing w:after="60"/>
      </w:pPr>
      <w:r>
        <w:rPr>
          <w:b/>
          <w:bCs/>
          <w:color w:val="6B7280"/>
          <w:sz w:val="22"/>
          <w:szCs w:val="22"/>
        </w:rPr>
        <w:t xml:space="preserve">Extraction Method: </w:t>
      </w:r>
      <w:r>
        <w:rPr>
          <w:color w:val="374151"/>
          <w:sz w:val="22"/>
          <w:szCs w:val="22"/>
        </w:rPr>
        <w:t xml:space="preserve">Hill Labs NZ Method – TURF Ryegrass, Sand (S277)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pH</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4.7</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Phosphorus (P)</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18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Potassium (K)</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117.3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Calcium (Ca)</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100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Magnesium (Mg)</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21.87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Organic Matter</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4.6%</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CEC</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4 meq/100g</w:t>
            </w:r>
          </w:p>
        </w:tc>
      </w:tr>
    </w:tbl>
    <w:p>
      <w:pPr>
        <w:spacing w:before="300" w:after="100"/>
      </w:pPr>
      <w:r>
        <w:rPr>
          <w:b/>
          <w:bCs/>
          <w:sz w:val="22"/>
          <w:szCs w:val="22"/>
        </w:rPr>
        <w:t xml:space="preserve">Interpretation Framework Comparison</w:t>
      </w:r>
    </w:p>
    <w:p>
      <w:pPr>
        <w:spacing w:after="150"/>
      </w:pPr>
      <w:r>
        <w:rPr>
          <w:i/>
          <w:iCs/>
          <w:color w:val="4B5563"/>
          <w:sz w:val="22"/>
          <w:szCs w:val="22"/>
        </w:rPr>
        <w:t xml:space="preserve">This sample was extracted using the Ammonium Acetate (NH₄OAc pH 8.1) + Olsen P method (Hill Laboratories NZ). MLSN and SLAN guidelines are calibrated for Mehlich-3 extraction and cannot be directly applied to Ammonium Acetate results. The table below shows the three frameworks side by side so you can see how they differ in philosophy and threshold basis.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1400"/>
        <w:gridCol w:w="1600"/>
      </w:tblGrid>
      <w:tr>
        <w:trPr>
          <w:tblHeader/>
        </w:trPr>
        <w:tc>
          <w:tcPr>
            <w:tcW w:type="dxa" w:w="1800"/>
            <w:tcBorders>
              <w:top w:val="single" w:color="E5E7EB" w:sz="1"/>
              <w:left w:val="single" w:color="E5E7EB" w:sz="1"/>
              <w:bottom w:val="single" w:color="E5E7EB" w:sz="1"/>
              <w:right w:val="single" w:color="E5E7EB" w:sz="1"/>
            </w:tcBorders>
            <w:shd w:fill="F3F4F6" w:val="clear"/>
          </w:tcPr>
          <w:p>
            <w:r>
              <w:rPr>
                <w:b/>
                <w:bCs/>
                <w:sz w:val="22"/>
                <w:szCs w:val="22"/>
              </w:rPr>
              <w:t xml:space="preserve">Framework</w:t>
            </w:r>
          </w:p>
        </w:tc>
        <w:tc>
          <w:tcPr>
            <w:tcW w:type="dxa" w:w="2200"/>
            <w:tcBorders>
              <w:top w:val="single" w:color="E5E7EB" w:sz="1"/>
              <w:left w:val="single" w:color="E5E7EB" w:sz="1"/>
              <w:bottom w:val="single" w:color="E5E7EB" w:sz="1"/>
              <w:right w:val="single" w:color="E5E7EB" w:sz="1"/>
            </w:tcBorders>
            <w:shd w:fill="F3F4F6" w:val="clear"/>
          </w:tcPr>
          <w:p>
            <w:r>
              <w:rPr>
                <w:b/>
                <w:bCs/>
                <w:sz w:val="22"/>
                <w:szCs w:val="22"/>
              </w:rPr>
              <w:t xml:space="preserve">Extractant</w:t>
            </w:r>
          </w:p>
        </w:tc>
        <w:tc>
          <w:tcPr>
            <w:tcW w:type="dxa" w:w="2400"/>
            <w:tcBorders>
              <w:top w:val="single" w:color="E5E7EB" w:sz="1"/>
              <w:left w:val="single" w:color="E5E7EB" w:sz="1"/>
              <w:bottom w:val="single" w:color="E5E7EB" w:sz="1"/>
              <w:right w:val="single" w:color="E5E7EB" w:sz="1"/>
            </w:tcBorders>
            <w:shd w:fill="F3F4F6" w:val="clear"/>
          </w:tcPr>
          <w:p>
            <w:r>
              <w:rPr>
                <w:b/>
                <w:bCs/>
                <w:sz w:val="22"/>
                <w:szCs w:val="22"/>
              </w:rPr>
              <w:t xml:space="preserve">Philosophy</w:t>
            </w:r>
          </w:p>
        </w:tc>
        <w:tc>
          <w:tcPr>
            <w:tcW w:type="dxa" w:w="1400"/>
            <w:tcBorders>
              <w:top w:val="single" w:color="E5E7EB" w:sz="1"/>
              <w:left w:val="single" w:color="E5E7EB" w:sz="1"/>
              <w:bottom w:val="single" w:color="E5E7EB" w:sz="1"/>
              <w:right w:val="single" w:color="E5E7EB" w:sz="1"/>
            </w:tcBorders>
            <w:shd w:fill="F3F4F6" w:val="clear"/>
          </w:tcPr>
          <w:p>
            <w:r>
              <w:rPr>
                <w:b/>
                <w:bCs/>
                <w:sz w:val="22"/>
                <w:szCs w:val="22"/>
              </w:rPr>
              <w:t xml:space="preserve">AU/NZ/UK use</w:t>
            </w:r>
          </w:p>
        </w:tc>
        <w:tc>
          <w:tcPr>
            <w:tcW w:type="dxa" w:w="1600"/>
            <w:tcBorders>
              <w:top w:val="single" w:color="E5E7EB" w:sz="1"/>
              <w:left w:val="single" w:color="E5E7EB" w:sz="1"/>
              <w:bottom w:val="single" w:color="E5E7EB" w:sz="1"/>
              <w:right w:val="single" w:color="E5E7EB" w:sz="1"/>
            </w:tcBorders>
            <w:shd w:fill="F3F4F6" w:val="clear"/>
          </w:tcPr>
          <w:p>
            <w:r>
              <w:rPr>
                <w:b/>
                <w:bCs/>
                <w:sz w:val="22"/>
                <w:szCs w:val="22"/>
              </w:rPr>
              <w:t xml:space="preserve">Compatible with this sample?</w:t>
            </w:r>
          </w:p>
        </w:tc>
      </w:tr>
      <w:tr>
        <w:tc>
          <w:tcPr>
            <w:tcW w:type="dxa" w:w="1800"/>
            <w:tcBorders>
              <w:top w:val="single" w:color="E5E7EB" w:sz="1"/>
              <w:left w:val="single" w:color="E5E7EB" w:sz="1"/>
              <w:bottom w:val="single" w:color="E5E7EB" w:sz="1"/>
              <w:right w:val="single" w:color="E5E7EB" w:sz="1"/>
            </w:tcBorders>
            <w:shd w:fill="F0FDF4" w:val="clear"/>
          </w:tcPr>
          <w:p>
            <w:r>
              <w:rPr>
                <w:b/>
                <w:bCs/>
                <w:color w:val="166534"/>
                <w:sz w:val="22"/>
                <w:szCs w:val="22"/>
              </w:rPr>
              <w:t xml:space="preserve">Ammonium Acetate (Hill Labs NZ)</w:t>
            </w:r>
          </w:p>
        </w:tc>
        <w:tc>
          <w:tcPr>
            <w:tcW w:type="dxa" w:w="2200"/>
            <w:tcBorders>
              <w:top w:val="single" w:color="E5E7EB" w:sz="1"/>
              <w:left w:val="single" w:color="E5E7EB" w:sz="1"/>
              <w:bottom w:val="single" w:color="E5E7EB" w:sz="1"/>
              <w:right w:val="single" w:color="E5E7EB" w:sz="1"/>
            </w:tcBorders>
            <w:shd w:fill="F0FDF4" w:val="clear"/>
          </w:tcPr>
          <w:p>
            <w:r>
              <w:rPr>
                <w:sz w:val="22"/>
                <w:szCs w:val="22"/>
              </w:rPr>
              <w:t xml:space="preserve">NH₄OAc pH 8.1 (cations) + Olsen P (NaHCO₃)</w:t>
            </w:r>
          </w:p>
        </w:tc>
        <w:tc>
          <w:tcPr>
            <w:tcW w:type="dxa" w:w="2400"/>
            <w:tcBorders>
              <w:top w:val="single" w:color="E5E7EB" w:sz="1"/>
              <w:left w:val="single" w:color="E5E7EB" w:sz="1"/>
              <w:bottom w:val="single" w:color="E5E7EB" w:sz="1"/>
              <w:right w:val="single" w:color="E5E7EB" w:sz="1"/>
            </w:tcBorders>
            <w:shd w:fill="F0FDF4" w:val="clear"/>
          </w:tcPr>
          <w:p>
            <w:r>
              <w:rPr>
                <w:sz w:val="22"/>
                <w:szCs w:val="22"/>
              </w:rPr>
              <w:t xml:space="preserve">Exchangeable cation pool. Sufficiency ranges calibrated for NZ soils. Industry standard in NZ and widely used in Australia.</w:t>
            </w:r>
          </w:p>
        </w:tc>
        <w:tc>
          <w:tcPr>
            <w:tcW w:type="dxa" w:w="1400"/>
            <w:tcBorders>
              <w:top w:val="single" w:color="E5E7EB" w:sz="1"/>
              <w:left w:val="single" w:color="E5E7EB" w:sz="1"/>
              <w:bottom w:val="single" w:color="E5E7EB" w:sz="1"/>
              <w:right w:val="single" w:color="E5E7EB" w:sz="1"/>
            </w:tcBorders>
            <w:shd w:fill="F0FDF4" w:val="clear"/>
          </w:tcPr>
          <w:p>
            <w:r>
              <w:rPr>
                <w:sz w:val="22"/>
                <w:szCs w:val="22"/>
              </w:rPr>
              <w:t xml:space="preserve">Standard in NZ; common in AU</w:t>
            </w:r>
          </w:p>
        </w:tc>
        <w:tc>
          <w:tcPr>
            <w:tcW w:type="dxa" w:w="1600"/>
            <w:tcBorders>
              <w:top w:val="single" w:color="E5E7EB" w:sz="1"/>
              <w:left w:val="single" w:color="E5E7EB" w:sz="1"/>
              <w:bottom w:val="single" w:color="E5E7EB" w:sz="1"/>
              <w:right w:val="single" w:color="E5E7EB" w:sz="1"/>
            </w:tcBorders>
            <w:shd w:fill="F0FDF4" w:val="clear"/>
          </w:tcPr>
          <w:p>
            <w:r>
              <w:rPr>
                <w:b/>
                <w:bCs/>
                <w:sz w:val="22"/>
                <w:szCs w:val="22"/>
              </w:rPr>
              <w:t xml:space="preserve">✅ Yes, this report</w:t>
            </w:r>
          </w:p>
        </w:tc>
      </w:tr>
      <w:tr>
        <w:tc>
          <w:tcPr>
            <w:tcW w:type="dxa" w:w="1800"/>
            <w:tcBorders>
              <w:top w:val="single" w:color="E5E7EB" w:sz="1"/>
              <w:left w:val="single" w:color="E5E7EB" w:sz="1"/>
              <w:bottom w:val="single" w:color="E5E7EB" w:sz="1"/>
              <w:right w:val="single" w:color="E5E7EB" w:sz="1"/>
            </w:tcBorders>
            <w:shd w:fill="FEF2F2" w:val="clear"/>
          </w:tcPr>
          <w:p>
            <w:r>
              <w:rPr>
                <w:b/>
                <w:bCs/>
                <w:color w:val="DC2626"/>
                <w:sz w:val="22"/>
                <w:szCs w:val="22"/>
              </w:rPr>
              <w:t xml:space="preserve">MLSN (Woods et al. 2016)</w:t>
            </w:r>
          </w:p>
        </w:tc>
        <w:tc>
          <w:tcPr>
            <w:tcW w:type="dxa" w:w="2200"/>
            <w:tcBorders>
              <w:top w:val="single" w:color="E5E7EB" w:sz="1"/>
              <w:left w:val="single" w:color="E5E7EB" w:sz="1"/>
              <w:bottom w:val="single" w:color="E5E7EB" w:sz="1"/>
              <w:right w:val="single" w:color="E5E7EB" w:sz="1"/>
            </w:tcBorders>
            <w:shd w:fill="FEF2F2" w:val="clear"/>
          </w:tcPr>
          <w:p>
            <w:r>
              <w:rPr>
                <w:sz w:val="22"/>
                <w:szCs w:val="22"/>
              </w:rPr>
              <w:t xml:space="preserve">Mehlich-3</w:t>
            </w:r>
          </w:p>
        </w:tc>
        <w:tc>
          <w:tcPr>
            <w:tcW w:type="dxa" w:w="2400"/>
            <w:tcBorders>
              <w:top w:val="single" w:color="E5E7EB" w:sz="1"/>
              <w:left w:val="single" w:color="E5E7EB" w:sz="1"/>
              <w:bottom w:val="single" w:color="E5E7EB" w:sz="1"/>
              <w:right w:val="single" w:color="E5E7EB" w:sz="1"/>
            </w:tcBorders>
            <w:shd w:fill="FEF2F2" w:val="clear"/>
          </w:tcPr>
          <w:p>
            <w:r>
              <w:rPr>
                <w:sz w:val="22"/>
                <w:szCs w:val="22"/>
              </w:rPr>
              <w:t xml:space="preserve">Minimum threshold below which deficiency becomes likely. Conservative, avoids over-fertilisation. Used globally in precision turf management. First introduced 2012; canonical published guidelines Woods, Stowell &amp; Gelernter (2016) PeerJ Preprints 4:e2144v1.</w:t>
            </w:r>
          </w:p>
        </w:tc>
        <w:tc>
          <w:tcPr>
            <w:tcW w:type="dxa" w:w="1400"/>
            <w:tcBorders>
              <w:top w:val="single" w:color="E5E7EB" w:sz="1"/>
              <w:left w:val="single" w:color="E5E7EB" w:sz="1"/>
              <w:bottom w:val="single" w:color="E5E7EB" w:sz="1"/>
              <w:right w:val="single" w:color="E5E7EB" w:sz="1"/>
            </w:tcBorders>
            <w:shd w:fill="FEF2F2" w:val="clear"/>
          </w:tcPr>
          <w:p>
            <w:r>
              <w:rPr>
                <w:sz w:val="22"/>
                <w:szCs w:val="22"/>
              </w:rPr>
              <w:t xml:space="preserve">AU/NZ: values not directly applicable to AA data</w:t>
            </w:r>
          </w:p>
        </w:tc>
        <w:tc>
          <w:tcPr>
            <w:tcW w:type="dxa" w:w="1600"/>
            <w:tcBorders>
              <w:top w:val="single" w:color="E5E7EB" w:sz="1"/>
              <w:left w:val="single" w:color="E5E7EB" w:sz="1"/>
              <w:bottom w:val="single" w:color="E5E7EB" w:sz="1"/>
              <w:right w:val="single" w:color="E5E7EB" w:sz="1"/>
            </w:tcBorders>
            <w:shd w:fill="FEF2F2" w:val="clear"/>
          </w:tcPr>
          <w:p>
            <w:r>
              <w:rPr>
                <w:b/>
                <w:bCs/>
                <w:sz w:val="22"/>
                <w:szCs w:val="22"/>
              </w:rPr>
              <w:t xml:space="preserve">❌ No, extractant mismatch</w:t>
            </w:r>
          </w:p>
        </w:tc>
      </w:tr>
      <w:tr>
        <w:tc>
          <w:tcPr>
            <w:tcW w:type="dxa" w:w="1800"/>
            <w:tcBorders>
              <w:top w:val="single" w:color="E5E7EB" w:sz="1"/>
              <w:left w:val="single" w:color="E5E7EB" w:sz="1"/>
              <w:bottom w:val="single" w:color="E5E7EB" w:sz="1"/>
              <w:right w:val="single" w:color="E5E7EB" w:sz="1"/>
            </w:tcBorders>
            <w:shd w:fill="FFFBEB" w:val="clear"/>
          </w:tcPr>
          <w:p>
            <w:r>
              <w:rPr>
                <w:b/>
                <w:bCs/>
                <w:color w:val="92400E"/>
                <w:sz w:val="22"/>
                <w:szCs w:val="22"/>
              </w:rPr>
              <w:t xml:space="preserve">SLAN (Carrow et al. 2004)</w:t>
            </w:r>
          </w:p>
        </w:tc>
        <w:tc>
          <w:tcPr>
            <w:tcW w:type="dxa" w:w="2200"/>
            <w:tcBorders>
              <w:top w:val="single" w:color="E5E7EB" w:sz="1"/>
              <w:left w:val="single" w:color="E5E7EB" w:sz="1"/>
              <w:bottom w:val="single" w:color="E5E7EB" w:sz="1"/>
              <w:right w:val="single" w:color="E5E7EB" w:sz="1"/>
            </w:tcBorders>
            <w:shd w:fill="FFFBEB" w:val="clear"/>
          </w:tcPr>
          <w:p>
            <w:r>
              <w:rPr>
                <w:sz w:val="22"/>
                <w:szCs w:val="22"/>
              </w:rPr>
              <w:t xml:space="preserve">Mehlich-3</w:t>
            </w:r>
          </w:p>
        </w:tc>
        <w:tc>
          <w:tcPr>
            <w:tcW w:type="dxa" w:w="2400"/>
            <w:tcBorders>
              <w:top w:val="single" w:color="E5E7EB" w:sz="1"/>
              <w:left w:val="single" w:color="E5E7EB" w:sz="1"/>
              <w:bottom w:val="single" w:color="E5E7EB" w:sz="1"/>
              <w:right w:val="single" w:color="E5E7EB" w:sz="1"/>
            </w:tcBorders>
            <w:shd w:fill="FFFBEB" w:val="clear"/>
          </w:tcPr>
          <w:p>
            <w:r>
              <w:rPr>
                <w:sz w:val="22"/>
                <w:szCs w:val="22"/>
              </w:rPr>
              <w:t xml:space="preserve">Sufficiency range, target band above minimum. Higher thresholds than MLSN. Based on agronomic optimum rather than minimum viable level. Canonical published ranges Carrow, Stowell, Gelernter, Davis, Duncan &amp; Skorulski (2004) GCM 72(1):194-198.</w:t>
            </w:r>
          </w:p>
        </w:tc>
        <w:tc>
          <w:tcPr>
            <w:tcW w:type="dxa" w:w="1400"/>
            <w:tcBorders>
              <w:top w:val="single" w:color="E5E7EB" w:sz="1"/>
              <w:left w:val="single" w:color="E5E7EB" w:sz="1"/>
              <w:bottom w:val="single" w:color="E5E7EB" w:sz="1"/>
              <w:right w:val="single" w:color="E5E7EB" w:sz="1"/>
            </w:tcBorders>
            <w:shd w:fill="FFFBEB" w:val="clear"/>
          </w:tcPr>
          <w:p>
            <w:r>
              <w:rPr>
                <w:sz w:val="22"/>
                <w:szCs w:val="22"/>
              </w:rPr>
              <w:t xml:space="preserve">AU/NZ: values not directly applicable to AA data</w:t>
            </w:r>
          </w:p>
        </w:tc>
        <w:tc>
          <w:tcPr>
            <w:tcW w:type="dxa" w:w="1600"/>
            <w:tcBorders>
              <w:top w:val="single" w:color="E5E7EB" w:sz="1"/>
              <w:left w:val="single" w:color="E5E7EB" w:sz="1"/>
              <w:bottom w:val="single" w:color="E5E7EB" w:sz="1"/>
              <w:right w:val="single" w:color="E5E7EB" w:sz="1"/>
            </w:tcBorders>
            <w:shd w:fill="FFFBEB" w:val="clear"/>
          </w:tcPr>
          <w:p>
            <w:r>
              <w:rPr>
                <w:b/>
                <w:bCs/>
                <w:sz w:val="22"/>
                <w:szCs w:val="22"/>
              </w:rPr>
              <w:t xml:space="preserve">❌ No, extractant mismatch</w:t>
            </w:r>
          </w:p>
        </w:tc>
      </w:tr>
    </w:tbl>
    <w:p>
      <w:pPr>
        <w:spacing w:before="120" w:after="80"/>
      </w:pPr>
      <w:r>
        <w:rPr>
          <w:i/>
          <w:iCs/>
          <w:color w:val="6B7280"/>
          <w:sz w:val="20"/>
          <w:szCs w:val="20"/>
        </w:rPr>
        <w:t xml:space="preserve">Note: If Mehlich-3 results are available for this site, contact your agronomist to run the full MLSN/SLAN dual comparison. Approximate conversion factors exist (e.g. Mehlich-3 K ≈ 1.1× AA K) but introduce error and are not recommended for formal recommendations.</w:t>
      </w:r>
    </w:p>
    <w:p/>
    <w:p>
      <w:pPr>
        <w:spacing w:before="120" w:after="120"/>
        <w:jc w:val="center"/>
      </w:pPr>
      <w:r>
        <w:drawing>
          <wp:inline distT="0" distB="0" distL="0" distR="0">
            <wp:extent cx="5334000" cy="2133600"/>
            <wp:effectExtent t="0" r="0" b="0" l="0"/>
            <wp:docPr id="4" name="chart_soil_1" descr="GAIP soil analysis chart" title="soil 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1" cstate="none"/>
                    <a:srcRect/>
                    <a:stretch>
                      <a:fillRect/>
                    </a:stretch>
                  </pic:blipFill>
                  <pic:spPr bwMode="auto">
                    <a:xfrm>
                      <a:off x="0" y="0"/>
                      <a:ext cx="5334000" cy="2133600"/>
                    </a:xfrm>
                    <a:prstGeom prst="rect">
                      <a:avLst/>
                    </a:prstGeom>
                  </pic:spPr>
                </pic:pic>
              </a:graphicData>
            </a:graphic>
          </wp:inline>
        </w:drawing>
      </w:r>
    </w:p>
    <w:p>
      <w:pPr>
        <w:spacing w:before="200" w:after="100"/>
      </w:pPr>
      <w:r>
        <w:rPr>
          <w:b/>
          <w:bCs/>
          <w:sz w:val="22"/>
          <w:szCs w:val="22"/>
        </w:rPr>
        <w:t xml:space="preserve">pH and CEC Context</w:t>
      </w:r>
    </w:p>
    <w:p>
      <w:pPr>
        <w:spacing w:before="150" w:after="50"/>
      </w:pPr>
      <w:r>
        <w:rPr>
          <w:sz w:val="22"/>
          <w:szCs w:val="22"/>
        </w:rPr>
        <w:t xml:space="preserve">Soil pH: 4.7</w:t>
      </w:r>
    </w:p>
    <w:p>
      <w:pPr>
        <w:spacing w:after="80"/>
        <w:ind w:left="200"/>
      </w:pPr>
      <w:r>
        <w:rPr>
          <w:color w:val="374151"/>
          <w:sz w:val="22"/>
          <w:szCs w:val="22"/>
        </w:rPr>
        <w:t xml:space="preserve">Browntop Bent pH requirements: </w:t>
      </w:r>
      <w:r>
        <w:rPr>
          <w:color w:val="6B7280"/>
          <w:sz w:val="22"/>
          <w:szCs w:val="22"/>
        </w:rPr>
        <w:t xml:space="preserve">Optimal 5.5–6.5 | Tolerance 5–7</w:t>
      </w:r>
      <w:r>
        <w:rPr>
          <w:color w:val="059669"/>
          <w:sz w:val="22"/>
          <w:szCs w:val="22"/>
        </w:rPr>
        <w:t xml:space="preserve"> | Acid-tolerant</w:t>
      </w:r>
      <w:r/>
    </w:p>
    <w:p>
      <w:pPr>
        <w:spacing w:before="150" w:after="50"/>
      </w:pPr>
      <w:r>
        <w:rPr>
          <w:sz w:val="22"/>
          <w:szCs w:val="22"/>
        </w:rPr>
        <w:t xml:space="preserve">Cation Exchange Capacity: 4 meq/100g</w:t>
      </w:r>
    </w:p>
    <w:p>
      <w:pPr>
        <w:spacing w:after="100"/>
        <w:ind w:left="200"/>
      </w:pPr>
      <w:r>
        <w:rPr>
          <w:color w:val="4B5563"/>
          <w:sz w:val="22"/>
          <w:szCs w:val="22"/>
        </w:rPr>
        <w:t xml:space="preserve">Soil pH (4.7) is below the tolerance range for Browntop Bent (5–7). At this level, aluminium and manganese can become toxic to roots and phosphorus availability is severely restricted. Dolomite application (see Soil Nutrition recommendations) will correct pH while addressing Mg and Ca deficits simultaneously, retest in 6 months.</w:t>
      </w:r>
    </w:p>
    <w:p>
      <w:pPr>
        <w:spacing w:after="100"/>
        <w:ind w:left="200"/>
      </w:pPr>
      <w:r>
        <w:rPr>
          <w:color w:val="4B5563"/>
          <w:sz w:val="22"/>
          <w:szCs w:val="22"/>
        </w:rPr>
        <w:t xml:space="preserve">CEC is low (4 meq/100g), indicating a sandy soil with limited nutrient-holding capacity. Nutrients applied will leach more readily, requiring smaller, more frequent applications. The benefit is that any sodium accumulation will also leach more easily.</w:t>
      </w:r>
    </w:p>
    <w:p>
      <w:pPr>
        <w:spacing w:after="80"/>
        <w:ind w:left="200"/>
      </w:pPr>
      <w:r>
        <w:rPr>
          <w:color w:val="374151"/>
          <w:sz w:val="22"/>
          <w:szCs w:val="22"/>
        </w:rPr>
        <w:t xml:space="preserve">Apply fertilisers in split applications (little and often). Consider slow-release nitrogen sources.</w:t>
      </w:r>
    </w:p>
    <w:p>
      <w:pPr>
        <w:spacing w:before="200" w:after="100"/>
      </w:pPr>
      <w:r>
        <w:rPr>
          <w:b/>
          <w:bCs/>
          <w:color w:val="1F2937"/>
          <w:sz w:val="22"/>
          <w:szCs w:val="22"/>
        </w:rPr>
        <w:t xml:space="preserve">Interpretation</w:t>
      </w:r>
    </w:p>
    <w:p>
      <w:pPr>
        <w:spacing w:after="120"/>
      </w:pPr>
      <w:r>
        <w:rPr>
          <w:color w:val="4B5563"/>
          <w:sz w:val="22"/>
          <w:szCs w:val="22"/>
        </w:rPr>
        <w:t xml:space="preserve">Calcium, Magnesium are below Ammonium Acetate (Hill Labs) guidelines and require attention.</w:t>
      </w:r>
    </w:p>
    <w:p>
      <w:pPr>
        <w:spacing w:after="120"/>
      </w:pPr>
      <w:r>
        <w:rPr>
          <w:color w:val="4B5563"/>
          <w:sz w:val="22"/>
          <w:szCs w:val="22"/>
        </w:rPr>
        <w:t xml:space="preserve">Phosphorus is marginally below Ammonium Acetate (Hill Labs) guidelines but the gap is narrow (within measurement noise and seasonal uptake variation). Monitor at next routine soil test rather than amending now; see the Annual Soil Amendments table.</w:t>
      </w:r>
    </w:p>
    <w:p>
      <w:pPr>
        <w:spacing w:after="120"/>
      </w:pPr>
      <w:r>
        <w:rPr>
          <w:color w:val="4B5563"/>
          <w:sz w:val="22"/>
          <w:szCs w:val="22"/>
        </w:rPr>
        <w:t xml:space="preserve">Potassium levels are adequate.</w:t>
      </w:r>
    </w:p>
    <w:p>
      <w:pPr>
        <w:spacing w:after="120"/>
      </w:pPr>
      <w:r>
        <w:rPr>
          <w:color w:val="4B5563"/>
          <w:sz w:val="22"/>
          <w:szCs w:val="22"/>
        </w:rPr>
      </w:r>
    </w:p>
    <w:p>
      <w:pPr>
        <w:spacing w:after="120"/>
      </w:pPr>
      <w:r>
        <w:rPr>
          <w:color w:val="4B5563"/>
          <w:sz w:val="22"/>
          <w:szCs w:val="22"/>
        </w:rPr>
        <w:t xml:space="preserve">Interpretation uses Hill Labs NZ extraction methods: Olsen phosphorus (sodium bicarbonate) and ammonium acetate (pH 8.1) for cations. Sufficiency ranges are calibrated for New Zealand soil conditions.</w:t>
      </w:r>
    </w:p>
    <w:p>
      <w:pPr>
        <w:spacing w:after="120"/>
      </w:pPr>
      <w:r>
        <w:rPr>
          <w:color w:val="4B5563"/>
          <w:sz w:val="22"/>
          <w:szCs w:val="22"/>
        </w:rPr>
        <w:t xml:space="preserve">Soil pH is very acidic (4.7). This severely limits phosphorus availability and may allow aluminium and manganese toxicity.</w:t>
      </w:r>
    </w:p>
    <w:p>
      <w:pPr>
        <w:spacing w:before="150" w:after="80"/>
      </w:pPr>
      <w:r>
        <w:rPr>
          <w:color w:val="1F2937"/>
          <w:sz w:val="22"/>
          <w:szCs w:val="22"/>
        </w:rPr>
        <w:t xml:space="preserve">Recommendations:</w:t>
      </w:r>
    </w:p>
    <w:p>
      <w:pPr>
        <w:spacing w:after="80"/>
        <w:ind w:left="360"/>
      </w:pPr>
      <w:r>
        <w:rPr>
          <w:color w:val="16A34A"/>
          <w:sz w:val="22"/>
          <w:szCs w:val="22"/>
        </w:rPr>
        <w:t xml:space="preserve">• </w:t>
      </w:r>
      <w:r>
        <w:rPr>
          <w:color w:val="374151"/>
          <w:sz w:val="22"/>
          <w:szCs w:val="22"/>
        </w:rPr>
        <w:t xml:space="preserve">Calcium deficit is addressed by dolomite (being recommended for Mg/pH). No standalone Ca amendment required.</w:t>
      </w:r>
    </w:p>
    <w:p>
      <w:pPr>
        <w:spacing w:after="80"/>
        <w:ind w:left="360"/>
      </w:pPr>
      <w:r>
        <w:rPr>
          <w:color w:val="16A34A"/>
          <w:sz w:val="22"/>
          <w:szCs w:val="22"/>
        </w:rPr>
        <w:t xml:space="preserve">• </w:t>
      </w:r>
      <w:r>
        <w:rPr>
          <w:color w:val="374151"/>
          <w:sz w:val="22"/>
          <w:szCs w:val="22"/>
        </w:rPr>
        <w:t xml:space="preserve">Apply Dolomite (CaMg(CO₃)₂) (12% Mg, 22% Ca) at approximately 96 kg Mg/ha (795 kg product/ha), apply in 4 split dressings of 199 kg product/ha; water in after each application (rate driven by Ca deficit; also corrects Mg and raises pH). Spring placement on close-cut surface: late-summer/early-autumn lime applications carry residual surface alkalinity into the cool-wet pressure window, raising autumn Fusarium pressure. Apply in spring (Sep-Oct south / Mar-Apr north) so the amendment weathers through before autumn disease pressure.. Band: acid pH (4.7 &lt; 6.0). Dolomite chosen because it corrects Mg, supplies Ca, and raises pH together; three benefits from one amendment when soil is acidic to address Mg deficiency.</w:t>
      </w:r>
    </w:p>
    <w:p>
      <w:pPr>
        <w:pStyle w:val="Heading2"/>
        <w:keepNext/>
        <w:spacing w:before="240" w:after="80"/>
      </w:pPr>
      <w:r>
        <w:rPr>
          <w:b/>
          <w:bCs/>
        </w:rPr>
        <w:t xml:space="preserve">Annual Soil Amendments</w:t>
      </w:r>
    </w:p>
    <w:p>
      <w:pPr>
        <w:spacing w:after="120"/>
      </w:pPr>
      <w:r>
        <w:rPr>
          <w:i/>
          <w:iCs/>
          <w:color w:val="6B7280"/>
          <w:sz w:val="22"/>
          <w:szCs w:val="22"/>
        </w:rPr>
        <w:t xml:space="preserve">Soil deficits are reconciled against the nutrition programme delivery before recommending standalone amendments. Where the programme already meets the deficit, the standalone product is suppressed; otherwise the rate is reduced to the residual.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950"/>
        <w:gridCol w:w="1100"/>
        <w:gridCol w:w="950"/>
        <w:gridCol w:w="1900"/>
        <w:gridCol w:w="1000"/>
        <w:gridCol w:w="1000"/>
        <w:gridCol w:w="1300"/>
      </w:tblGrid>
      <w:tr>
        <w:trPr>
          <w:cantSplit/>
          <w:tblHeader/>
        </w:trPr>
        <w:tc>
          <w:tcPr>
            <w:tcW w:type="dxa" w:w="1100"/>
            <w:tcBorders>
              <w:top w:val="single" w:color="D1D5DB" w:sz="1"/>
              <w:left w:val="single" w:color="D1D5DB" w:sz="1"/>
              <w:bottom w:val="single" w:color="D1D5DB" w:sz="1"/>
              <w:right w:val="single" w:color="D1D5DB" w:sz="1"/>
            </w:tcBorders>
            <w:shd w:fill="F3F4F6" w:val="clear"/>
          </w:tcPr>
          <w:p>
            <w:pPr>
              <w:jc w:val="center"/>
            </w:pPr>
            <w:r>
              <w:rPr>
                <w:b/>
                <w:bCs/>
                <w:sz w:val="22"/>
                <w:szCs w:val="22"/>
              </w:rPr>
              <w:t xml:space="preserve">Nutrient</w:t>
            </w:r>
          </w:p>
        </w:tc>
        <w:tc>
          <w:tcPr>
            <w:tcW w:type="dxa" w:w="950"/>
            <w:tcBorders>
              <w:top w:val="single" w:color="D1D5DB" w:sz="1"/>
              <w:left w:val="single" w:color="D1D5DB" w:sz="1"/>
              <w:bottom w:val="single" w:color="D1D5DB" w:sz="1"/>
              <w:right w:val="single" w:color="D1D5DB" w:sz="1"/>
            </w:tcBorders>
            <w:shd w:fill="F3F4F6" w:val="clear"/>
          </w:tcPr>
          <w:p>
            <w:pPr>
              <w:jc w:val="center"/>
            </w:pPr>
            <w:r>
              <w:rPr>
                <w:b/>
                <w:bCs/>
                <w:sz w:val="22"/>
                <w:szCs w:val="22"/>
              </w:rPr>
              <w:t xml:space="preserve">Soil deficit
(kg/ha)</w:t>
            </w:r>
          </w:p>
        </w:tc>
        <w:tc>
          <w:tcPr>
            <w:tcW w:type="dxa" w:w="1100"/>
            <w:tcBorders>
              <w:top w:val="single" w:color="D1D5DB" w:sz="1"/>
              <w:left w:val="single" w:color="D1D5DB" w:sz="1"/>
              <w:bottom w:val="single" w:color="D1D5DB" w:sz="1"/>
              <w:right w:val="single" w:color="D1D5DB" w:sz="1"/>
            </w:tcBorders>
            <w:shd w:fill="EFF6FF" w:val="clear"/>
          </w:tcPr>
          <w:p>
            <w:pPr>
              <w:jc w:val="center"/>
            </w:pPr>
            <w:r>
              <w:rPr>
                <w:b/>
                <w:bCs/>
                <w:sz w:val="22"/>
                <w:szCs w:val="22"/>
              </w:rPr>
              <w:t xml:space="preserve">Programme delivers
(kg/ha)</w:t>
            </w:r>
          </w:p>
        </w:tc>
        <w:tc>
          <w:tcPr>
            <w:tcW w:type="dxa" w:w="950"/>
            <w:tcBorders>
              <w:top w:val="single" w:color="D1D5DB" w:sz="1"/>
              <w:left w:val="single" w:color="D1D5DB" w:sz="1"/>
              <w:bottom w:val="single" w:color="D1D5DB" w:sz="1"/>
              <w:right w:val="single" w:color="D1D5DB" w:sz="1"/>
            </w:tcBorders>
            <w:shd w:fill="EFF6FF" w:val="clear"/>
          </w:tcPr>
          <w:p>
            <w:pPr>
              <w:jc w:val="center"/>
            </w:pPr>
            <w:r>
              <w:rPr>
                <w:b/>
                <w:bCs/>
                <w:sz w:val="22"/>
                <w:szCs w:val="22"/>
              </w:rPr>
              <w:t xml:space="preserve">Residual
(kg/ha)</w:t>
            </w:r>
          </w:p>
        </w:tc>
        <w:tc>
          <w:tcPr>
            <w:tcW w:type="dxa" w:w="1900"/>
            <w:tcBorders>
              <w:top w:val="single" w:color="D1D5DB" w:sz="1"/>
              <w:left w:val="single" w:color="D1D5DB" w:sz="1"/>
              <w:bottom w:val="single" w:color="D1D5DB" w:sz="1"/>
              <w:right w:val="single" w:color="D1D5DB" w:sz="1"/>
            </w:tcBorders>
            <w:shd w:fill="F3F4F6" w:val="clear"/>
          </w:tcPr>
          <w:p>
            <w:pPr>
              <w:jc w:val="center"/>
            </w:pPr>
            <w:r>
              <w:rPr>
                <w:b/>
                <w:bCs/>
                <w:sz w:val="22"/>
                <w:szCs w:val="22"/>
              </w:rPr>
              <w:t xml:space="preserve">Product</w:t>
            </w:r>
          </w:p>
        </w:tc>
        <w:tc>
          <w:tcPr>
            <w:tcW w:type="dxa" w:w="1000"/>
            <w:tcBorders>
              <w:top w:val="single" w:color="D1D5DB" w:sz="1"/>
              <w:left w:val="single" w:color="D1D5DB" w:sz="1"/>
              <w:bottom w:val="single" w:color="D1D5DB" w:sz="1"/>
              <w:right w:val="single" w:color="D1D5DB" w:sz="1"/>
            </w:tcBorders>
            <w:shd w:fill="FEF3C7" w:val="clear"/>
          </w:tcPr>
          <w:p>
            <w:pPr>
              <w:jc w:val="center"/>
            </w:pPr>
            <w:r>
              <w:rPr>
                <w:b/>
                <w:bCs/>
                <w:sz w:val="22"/>
                <w:szCs w:val="22"/>
              </w:rPr>
              <w:t xml:space="preserve">Theoretical
(kg/ha)</w:t>
            </w:r>
          </w:p>
        </w:tc>
        <w:tc>
          <w:tcPr>
            <w:tcW w:type="dxa" w:w="1000"/>
            <w:tcBorders>
              <w:top w:val="single" w:color="D1D5DB" w:sz="1"/>
              <w:left w:val="single" w:color="D1D5DB" w:sz="1"/>
              <w:bottom w:val="single" w:color="D1D5DB" w:sz="1"/>
              <w:right w:val="single" w:color="D1D5DB" w:sz="1"/>
            </w:tcBorders>
            <w:shd w:fill="DCFCE7" w:val="clear"/>
          </w:tcPr>
          <w:p>
            <w:pPr>
              <w:jc w:val="center"/>
            </w:pPr>
            <w:r>
              <w:rPr>
                <w:b/>
                <w:bCs/>
                <w:sz w:val="22"/>
                <w:szCs w:val="22"/>
              </w:rPr>
              <w:t xml:space="preserve">Practical
(kg/ha/yr)</w:t>
            </w:r>
          </w:p>
        </w:tc>
        <w:tc>
          <w:tcPr>
            <w:tcW w:type="dxa" w:w="1300"/>
            <w:tcBorders>
              <w:top w:val="single" w:color="D1D5DB" w:sz="1"/>
              <w:left w:val="single" w:color="D1D5DB" w:sz="1"/>
              <w:bottom w:val="single" w:color="D1D5DB" w:sz="1"/>
              <w:right w:val="single" w:color="D1D5DB" w:sz="1"/>
            </w:tcBorders>
            <w:shd w:fill="F3F4F6" w:val="clear"/>
          </w:tcPr>
          <w:p>
            <w:pPr>
              <w:jc w:val="center"/>
            </w:pPr>
            <w:r>
              <w:rPr>
                <w:b/>
                <w:bCs/>
                <w:sz w:val="22"/>
                <w:szCs w:val="22"/>
              </w:rPr>
              <w:t xml:space="preserve">Status</w:t>
            </w:r>
          </w:p>
        </w:tc>
      </w:tr>
      <w:tr>
        <w:trPr>
          <w:cantSplit/>
        </w:trPr>
        <w:tc>
          <w:tcPr>
            <w:tcW w:type="dxa" w:w="1100"/>
            <w:tcBorders>
              <w:top w:val="single" w:color="D1D5DB" w:sz="1"/>
              <w:left w:val="single" w:color="D1D5DB" w:sz="1"/>
              <w:bottom w:val="single" w:color="D1D5DB" w:sz="1"/>
              <w:right w:val="single" w:color="D1D5DB" w:sz="1"/>
            </w:tcBorders>
          </w:tcPr>
          <w:p>
            <w:pPr>
              <w:jc w:val="left"/>
            </w:pPr>
            <w:r>
              <w:rPr>
                <w:b/>
                <w:bCs/>
                <w:color w:val="1F2937"/>
                <w:sz w:val="20"/>
                <w:szCs w:val="20"/>
              </w:rPr>
              <w:t xml:space="preserve">Phosphorus (P)</w:t>
            </w:r>
          </w:p>
        </w:tc>
        <w:tc>
          <w:tcPr>
            <w:tcW w:type="dxa" w:w="950"/>
            <w:tcBorders>
              <w:top w:val="single" w:color="D1D5DB" w:sz="1"/>
              <w:left w:val="single" w:color="D1D5DB" w:sz="1"/>
              <w:bottom w:val="single" w:color="D1D5DB" w:sz="1"/>
              <w:right w:val="single" w:color="D1D5DB" w:sz="1"/>
            </w:tcBorders>
          </w:tcPr>
          <w:p>
            <w:pPr>
              <w:jc w:val="center"/>
            </w:pPr>
            <w:r>
              <w:rPr>
                <w:b w:val="false"/>
                <w:bCs w:val="false"/>
                <w:color w:val="1F2937"/>
                <w:sz w:val="20"/>
                <w:szCs w:val="20"/>
              </w:rPr>
              <w:t xml:space="preserve">2.8</w:t>
            </w:r>
          </w:p>
        </w:tc>
        <w:tc>
          <w:tcPr>
            <w:tcW w:type="dxa" w:w="1100"/>
            <w:tcBorders>
              <w:top w:val="single" w:color="D1D5DB" w:sz="1"/>
              <w:left w:val="single" w:color="D1D5DB" w:sz="1"/>
              <w:bottom w:val="single" w:color="D1D5DB" w:sz="1"/>
              <w:right w:val="single" w:color="D1D5DB" w:sz="1"/>
            </w:tcBorders>
            <w:shd w:fill="F8FAFC" w:val="clear"/>
          </w:tcPr>
          <w:p>
            <w:pPr>
              <w:jc w:val="center"/>
            </w:pPr>
            <w:r>
              <w:rPr>
                <w:b w:val="false"/>
                <w:bCs w:val="false"/>
                <w:color w:val="1F2937"/>
                <w:sz w:val="20"/>
                <w:szCs w:val="20"/>
              </w:rPr>
              <w:t xml:space="preserve">0.0</w:t>
            </w:r>
          </w:p>
        </w:tc>
        <w:tc>
          <w:tcPr>
            <w:tcW w:type="dxa" w:w="950"/>
            <w:tcBorders>
              <w:top w:val="single" w:color="D1D5DB" w:sz="1"/>
              <w:left w:val="single" w:color="D1D5DB" w:sz="1"/>
              <w:bottom w:val="single" w:color="D1D5DB" w:sz="1"/>
              <w:right w:val="single" w:color="D1D5DB" w:sz="1"/>
            </w:tcBorders>
            <w:shd w:fill="F8FAFC" w:val="clear"/>
          </w:tcPr>
          <w:p>
            <w:pPr>
              <w:jc w:val="center"/>
            </w:pPr>
            <w:r>
              <w:rPr>
                <w:b w:val="false"/>
                <w:bCs w:val="false"/>
                <w:color w:val="1F2937"/>
                <w:sz w:val="20"/>
                <w:szCs w:val="20"/>
              </w:rPr>
              <w:t xml:space="preserve">2.8</w:t>
            </w:r>
          </w:p>
        </w:tc>
        <w:tc>
          <w:tcPr>
            <w:tcW w:type="dxa" w:w="1900"/>
            <w:tcBorders>
              <w:top w:val="single" w:color="D1D5DB" w:sz="1"/>
              <w:left w:val="single" w:color="D1D5DB" w:sz="1"/>
              <w:bottom w:val="single" w:color="D1D5DB" w:sz="1"/>
              <w:right w:val="single" w:color="D1D5DB" w:sz="1"/>
            </w:tcBorders>
          </w:tcPr>
          <w:p>
            <w:pPr>
              <w:jc w:val="left"/>
            </w:pPr>
            <w:r>
              <w:rPr>
                <w:b w:val="false"/>
                <w:bCs w:val="false"/>
                <w:color w:val="1F2937"/>
                <w:sz w:val="20"/>
                <w:szCs w:val="20"/>
              </w:rPr>
              <w:t xml:space="preserve">-</w:t>
            </w:r>
          </w:p>
        </w:tc>
        <w:tc>
          <w:tcPr>
            <w:tcW w:type="dxa" w:w="1000"/>
            <w:tcBorders>
              <w:top w:val="single" w:color="D1D5DB" w:sz="1"/>
              <w:left w:val="single" w:color="D1D5DB" w:sz="1"/>
              <w:bottom w:val="single" w:color="D1D5DB" w:sz="1"/>
              <w:right w:val="single" w:color="D1D5DB" w:sz="1"/>
            </w:tcBorders>
            <w:shd w:fill="FEF3C7" w:val="clear"/>
          </w:tcPr>
          <w:p>
            <w:pPr>
              <w:jc w:val="center"/>
            </w:pPr>
            <w:r>
              <w:rPr>
                <w:b w:val="false"/>
                <w:bCs w:val="false"/>
                <w:color w:val="1F2937"/>
                <w:sz w:val="20"/>
                <w:szCs w:val="20"/>
              </w:rPr>
              <w:t xml:space="preserve">-</w:t>
            </w:r>
          </w:p>
        </w:tc>
        <w:tc>
          <w:tcPr>
            <w:tcW w:type="dxa" w:w="1000"/>
            <w:tcBorders>
              <w:top w:val="single" w:color="D1D5DB" w:sz="1"/>
              <w:left w:val="single" w:color="D1D5DB" w:sz="1"/>
              <w:bottom w:val="single" w:color="D1D5DB" w:sz="1"/>
              <w:right w:val="single" w:color="D1D5DB" w:sz="1"/>
            </w:tcBorders>
            <w:shd w:fill="DCFCE7" w:val="clear"/>
          </w:tcPr>
          <w:p>
            <w:pPr>
              <w:jc w:val="center"/>
            </w:pPr>
            <w:r>
              <w:rPr>
                <w:b w:val="false"/>
                <w:bCs w:val="false"/>
                <w:color w:val="1F2937"/>
                <w:sz w:val="20"/>
                <w:szCs w:val="20"/>
              </w:rPr>
              <w:t xml:space="preserve">-</w:t>
            </w:r>
          </w:p>
        </w:tc>
        <w:tc>
          <w:tcPr>
            <w:tcW w:type="dxa" w:w="1300"/>
            <w:tcBorders>
              <w:top w:val="single" w:color="D1D5DB" w:sz="1"/>
              <w:left w:val="single" w:color="D1D5DB" w:sz="1"/>
              <w:bottom w:val="single" w:color="D1D5DB" w:sz="1"/>
              <w:right w:val="single" w:color="D1D5DB" w:sz="1"/>
            </w:tcBorders>
            <w:shd w:fill="DBEAFE" w:val="clear"/>
          </w:tcPr>
          <w:p>
            <w:pPr>
              <w:jc w:val="center"/>
            </w:pPr>
            <w:r>
              <w:rPr>
                <w:b w:val="false"/>
                <w:bCs w:val="false"/>
                <w:color w:val="1D4ED8"/>
                <w:sz w:val="20"/>
                <w:szCs w:val="20"/>
              </w:rPr>
              <w:t xml:space="preserve">Monitor</w:t>
            </w:r>
          </w:p>
        </w:tc>
      </w:tr>
      <w:tr>
        <w:trPr>
          <w:cantSplit/>
        </w:trPr>
        <w:tc>
          <w:tcPr>
            <w:tcW w:type="dxa" w:w="1100"/>
            <w:tcBorders>
              <w:top w:val="single" w:color="D1D5DB" w:sz="1"/>
              <w:left w:val="single" w:color="D1D5DB" w:sz="1"/>
              <w:bottom w:val="single" w:color="D1D5DB" w:sz="1"/>
              <w:right w:val="single" w:color="D1D5DB" w:sz="1"/>
            </w:tcBorders>
          </w:tcPr>
          <w:p>
            <w:pPr>
              <w:jc w:val="left"/>
            </w:pPr>
            <w:r>
              <w:rPr>
                <w:b/>
                <w:bCs/>
                <w:color w:val="1F2937"/>
                <w:sz w:val="20"/>
                <w:szCs w:val="20"/>
              </w:rPr>
              <w:t xml:space="preserve">Calcium (Ca)</w:t>
            </w:r>
          </w:p>
        </w:tc>
        <w:tc>
          <w:tcPr>
            <w:tcW w:type="dxa" w:w="950"/>
            <w:tcBorders>
              <w:top w:val="single" w:color="D1D5DB" w:sz="1"/>
              <w:left w:val="single" w:color="D1D5DB" w:sz="1"/>
              <w:bottom w:val="single" w:color="D1D5DB" w:sz="1"/>
              <w:right w:val="single" w:color="D1D5DB" w:sz="1"/>
            </w:tcBorders>
          </w:tcPr>
          <w:p>
            <w:pPr>
              <w:jc w:val="center"/>
            </w:pPr>
            <w:r>
              <w:rPr>
                <w:b w:val="false"/>
                <w:bCs w:val="false"/>
                <w:color w:val="1F2937"/>
                <w:sz w:val="20"/>
                <w:szCs w:val="20"/>
              </w:rPr>
              <w:t xml:space="preserve">420.0</w:t>
            </w:r>
          </w:p>
        </w:tc>
        <w:tc>
          <w:tcPr>
            <w:tcW w:type="dxa" w:w="1100"/>
            <w:tcBorders>
              <w:top w:val="single" w:color="D1D5DB" w:sz="1"/>
              <w:left w:val="single" w:color="D1D5DB" w:sz="1"/>
              <w:bottom w:val="single" w:color="D1D5DB" w:sz="1"/>
              <w:right w:val="single" w:color="D1D5DB" w:sz="1"/>
            </w:tcBorders>
            <w:shd w:fill="F8FAFC" w:val="clear"/>
          </w:tcPr>
          <w:p>
            <w:pPr>
              <w:jc w:val="center"/>
            </w:pPr>
            <w:r>
              <w:rPr>
                <w:b w:val="false"/>
                <w:bCs w:val="false"/>
                <w:color w:val="1F2937"/>
                <w:sz w:val="20"/>
                <w:szCs w:val="20"/>
              </w:rPr>
              <w:t xml:space="preserve">0.0</w:t>
            </w:r>
          </w:p>
        </w:tc>
        <w:tc>
          <w:tcPr>
            <w:tcW w:type="dxa" w:w="950"/>
            <w:tcBorders>
              <w:top w:val="single" w:color="D1D5DB" w:sz="1"/>
              <w:left w:val="single" w:color="D1D5DB" w:sz="1"/>
              <w:bottom w:val="single" w:color="D1D5DB" w:sz="1"/>
              <w:right w:val="single" w:color="D1D5DB" w:sz="1"/>
            </w:tcBorders>
            <w:shd w:fill="F8FAFC" w:val="clear"/>
          </w:tcPr>
          <w:p>
            <w:pPr>
              <w:jc w:val="center"/>
            </w:pPr>
            <w:r>
              <w:rPr>
                <w:b w:val="false"/>
                <w:bCs w:val="false"/>
                <w:color w:val="1F2937"/>
                <w:sz w:val="20"/>
                <w:szCs w:val="20"/>
              </w:rPr>
              <w:t xml:space="preserve">420.0</w:t>
            </w:r>
          </w:p>
        </w:tc>
        <w:tc>
          <w:tcPr>
            <w:tcW w:type="dxa" w:w="1900"/>
            <w:tcBorders>
              <w:top w:val="single" w:color="D1D5DB" w:sz="1"/>
              <w:left w:val="single" w:color="D1D5DB" w:sz="1"/>
              <w:bottom w:val="single" w:color="D1D5DB" w:sz="1"/>
              <w:right w:val="single" w:color="D1D5DB" w:sz="1"/>
            </w:tcBorders>
          </w:tcPr>
          <w:p>
            <w:pPr>
              <w:jc w:val="left"/>
            </w:pPr>
            <w:r>
              <w:rPr>
                <w:b w:val="false"/>
                <w:bCs w:val="false"/>
                <w:color w:val="1F2937"/>
                <w:sz w:val="20"/>
                <w:szCs w:val="20"/>
              </w:rPr>
              <w:t xml:space="preserve">-</w:t>
            </w:r>
          </w:p>
        </w:tc>
        <w:tc>
          <w:tcPr>
            <w:tcW w:type="dxa" w:w="1000"/>
            <w:tcBorders>
              <w:top w:val="single" w:color="D1D5DB" w:sz="1"/>
              <w:left w:val="single" w:color="D1D5DB" w:sz="1"/>
              <w:bottom w:val="single" w:color="D1D5DB" w:sz="1"/>
              <w:right w:val="single" w:color="D1D5DB" w:sz="1"/>
            </w:tcBorders>
            <w:shd w:fill="FEF3C7" w:val="clear"/>
          </w:tcPr>
          <w:p>
            <w:pPr>
              <w:jc w:val="center"/>
            </w:pPr>
            <w:r>
              <w:rPr>
                <w:b w:val="false"/>
                <w:bCs w:val="false"/>
                <w:color w:val="1F2937"/>
                <w:sz w:val="20"/>
                <w:szCs w:val="20"/>
              </w:rPr>
              <w:t xml:space="preserve">-</w:t>
            </w:r>
          </w:p>
        </w:tc>
        <w:tc>
          <w:tcPr>
            <w:tcW w:type="dxa" w:w="1000"/>
            <w:tcBorders>
              <w:top w:val="single" w:color="D1D5DB" w:sz="1"/>
              <w:left w:val="single" w:color="D1D5DB" w:sz="1"/>
              <w:bottom w:val="single" w:color="D1D5DB" w:sz="1"/>
              <w:right w:val="single" w:color="D1D5DB" w:sz="1"/>
            </w:tcBorders>
            <w:shd w:fill="DCFCE7" w:val="clear"/>
          </w:tcPr>
          <w:p>
            <w:pPr>
              <w:jc w:val="center"/>
            </w:pPr>
            <w:r>
              <w:rPr>
                <w:b w:val="false"/>
                <w:bCs w:val="false"/>
                <w:color w:val="1F2937"/>
                <w:sz w:val="20"/>
                <w:szCs w:val="20"/>
              </w:rPr>
              <w:t xml:space="preserve">-</w:t>
            </w:r>
          </w:p>
        </w:tc>
        <w:tc>
          <w:tcPr>
            <w:tcW w:type="dxa" w:w="1300"/>
            <w:tcBorders>
              <w:top w:val="single" w:color="D1D5DB" w:sz="1"/>
              <w:left w:val="single" w:color="D1D5DB" w:sz="1"/>
              <w:bottom w:val="single" w:color="D1D5DB" w:sz="1"/>
              <w:right w:val="single" w:color="D1D5DB" w:sz="1"/>
            </w:tcBorders>
            <w:shd w:fill="DCFCE7" w:val="clear"/>
          </w:tcPr>
          <w:p>
            <w:pPr>
              <w:jc w:val="center"/>
            </w:pPr>
            <w:r>
              <w:rPr>
                <w:b w:val="false"/>
                <w:bCs w:val="false"/>
                <w:color w:val="15803D"/>
                <w:sz w:val="20"/>
                <w:szCs w:val="20"/>
              </w:rPr>
              <w:t xml:space="preserve">Suppressed (dolomite covers)</w:t>
            </w:r>
          </w:p>
        </w:tc>
      </w:tr>
      <w:tr>
        <w:trPr>
          <w:cantSplit/>
        </w:trPr>
        <w:tc>
          <w:tcPr>
            <w:tcW w:type="dxa" w:w="1100"/>
            <w:tcBorders>
              <w:top w:val="single" w:color="D1D5DB" w:sz="1"/>
              <w:left w:val="single" w:color="D1D5DB" w:sz="1"/>
              <w:bottom w:val="single" w:color="D1D5DB" w:sz="1"/>
              <w:right w:val="single" w:color="D1D5DB" w:sz="1"/>
            </w:tcBorders>
          </w:tcPr>
          <w:p>
            <w:pPr>
              <w:jc w:val="left"/>
            </w:pPr>
            <w:r>
              <w:rPr>
                <w:b/>
                <w:bCs/>
                <w:color w:val="1F2937"/>
                <w:sz w:val="20"/>
                <w:szCs w:val="20"/>
              </w:rPr>
              <w:t xml:space="preserve">Magnesium (Mg)</w:t>
            </w:r>
          </w:p>
        </w:tc>
        <w:tc>
          <w:tcPr>
            <w:tcW w:type="dxa" w:w="950"/>
            <w:tcBorders>
              <w:top w:val="single" w:color="D1D5DB" w:sz="1"/>
              <w:left w:val="single" w:color="D1D5DB" w:sz="1"/>
              <w:bottom w:val="single" w:color="D1D5DB" w:sz="1"/>
              <w:right w:val="single" w:color="D1D5DB" w:sz="1"/>
            </w:tcBorders>
          </w:tcPr>
          <w:p>
            <w:pPr>
              <w:jc w:val="center"/>
            </w:pPr>
            <w:r>
              <w:rPr>
                <w:b w:val="false"/>
                <w:bCs w:val="false"/>
                <w:color w:val="1F2937"/>
                <w:sz w:val="20"/>
                <w:szCs w:val="20"/>
              </w:rPr>
              <w:t xml:space="preserve">20.6</w:t>
            </w:r>
          </w:p>
        </w:tc>
        <w:tc>
          <w:tcPr>
            <w:tcW w:type="dxa" w:w="1100"/>
            <w:tcBorders>
              <w:top w:val="single" w:color="D1D5DB" w:sz="1"/>
              <w:left w:val="single" w:color="D1D5DB" w:sz="1"/>
              <w:bottom w:val="single" w:color="D1D5DB" w:sz="1"/>
              <w:right w:val="single" w:color="D1D5DB" w:sz="1"/>
            </w:tcBorders>
            <w:shd w:fill="F8FAFC" w:val="clear"/>
          </w:tcPr>
          <w:p>
            <w:pPr>
              <w:jc w:val="center"/>
            </w:pPr>
            <w:r>
              <w:rPr>
                <w:b w:val="false"/>
                <w:bCs w:val="false"/>
                <w:color w:val="1F2937"/>
                <w:sz w:val="20"/>
                <w:szCs w:val="20"/>
              </w:rPr>
              <w:t xml:space="preserve">0.0</w:t>
            </w:r>
          </w:p>
        </w:tc>
        <w:tc>
          <w:tcPr>
            <w:tcW w:type="dxa" w:w="950"/>
            <w:tcBorders>
              <w:top w:val="single" w:color="D1D5DB" w:sz="1"/>
              <w:left w:val="single" w:color="D1D5DB" w:sz="1"/>
              <w:bottom w:val="single" w:color="D1D5DB" w:sz="1"/>
              <w:right w:val="single" w:color="D1D5DB" w:sz="1"/>
            </w:tcBorders>
            <w:shd w:fill="F8FAFC" w:val="clear"/>
          </w:tcPr>
          <w:p>
            <w:pPr>
              <w:jc w:val="center"/>
            </w:pPr>
            <w:r>
              <w:rPr>
                <w:b w:val="false"/>
                <w:bCs w:val="false"/>
                <w:color w:val="1F2937"/>
                <w:sz w:val="20"/>
                <w:szCs w:val="20"/>
              </w:rPr>
              <w:t xml:space="preserve">20.6</w:t>
            </w:r>
          </w:p>
        </w:tc>
        <w:tc>
          <w:tcPr>
            <w:tcW w:type="dxa" w:w="1900"/>
            <w:tcBorders>
              <w:top w:val="single" w:color="D1D5DB" w:sz="1"/>
              <w:left w:val="single" w:color="D1D5DB" w:sz="1"/>
              <w:bottom w:val="single" w:color="D1D5DB" w:sz="1"/>
              <w:right w:val="single" w:color="D1D5DB" w:sz="1"/>
            </w:tcBorders>
          </w:tcPr>
          <w:p>
            <w:pPr>
              <w:jc w:val="left"/>
            </w:pPr>
            <w:r>
              <w:rPr>
                <w:b w:val="false"/>
                <w:bCs w:val="false"/>
                <w:color w:val="1F2937"/>
                <w:sz w:val="20"/>
                <w:szCs w:val="20"/>
              </w:rPr>
              <w:t xml:space="preserve">Dolomite (CaMg(CO₃)₂)</w:t>
            </w:r>
          </w:p>
        </w:tc>
        <w:tc>
          <w:tcPr>
            <w:tcW w:type="dxa" w:w="1000"/>
            <w:tcBorders>
              <w:top w:val="single" w:color="D1D5DB" w:sz="1"/>
              <w:left w:val="single" w:color="D1D5DB" w:sz="1"/>
              <w:bottom w:val="single" w:color="D1D5DB" w:sz="1"/>
              <w:right w:val="single" w:color="D1D5DB" w:sz="1"/>
            </w:tcBorders>
            <w:shd w:fill="FEF3C7" w:val="clear"/>
          </w:tcPr>
          <w:p>
            <w:pPr>
              <w:jc w:val="center"/>
            </w:pPr>
            <w:r>
              <w:rPr>
                <w:b w:val="false"/>
                <w:bCs w:val="false"/>
                <w:color w:val="1F2937"/>
                <w:sz w:val="20"/>
                <w:szCs w:val="20"/>
              </w:rPr>
              <w:t xml:space="preserve">229.1</w:t>
            </w:r>
          </w:p>
        </w:tc>
        <w:tc>
          <w:tcPr>
            <w:tcW w:type="dxa" w:w="1000"/>
            <w:tcBorders>
              <w:top w:val="single" w:color="D1D5DB" w:sz="1"/>
              <w:left w:val="single" w:color="D1D5DB" w:sz="1"/>
              <w:bottom w:val="single" w:color="D1D5DB" w:sz="1"/>
              <w:right w:val="single" w:color="D1D5DB" w:sz="1"/>
            </w:tcBorders>
            <w:shd w:fill="DCFCE7" w:val="clear"/>
          </w:tcPr>
          <w:p>
            <w:pPr>
              <w:jc w:val="center"/>
            </w:pPr>
            <w:r>
              <w:rPr>
                <w:b w:val="false"/>
                <w:bCs w:val="false"/>
                <w:color w:val="1F2937"/>
                <w:sz w:val="20"/>
                <w:szCs w:val="20"/>
              </w:rPr>
              <w:t xml:space="preserve">95.5</w:t>
            </w:r>
          </w:p>
        </w:tc>
        <w:tc>
          <w:tcPr>
            <w:tcW w:type="dxa" w:w="1300"/>
            <w:tcBorders>
              <w:top w:val="single" w:color="D1D5DB" w:sz="1"/>
              <w:left w:val="single" w:color="D1D5DB" w:sz="1"/>
              <w:bottom w:val="single" w:color="D1D5DB" w:sz="1"/>
              <w:right w:val="single" w:color="D1D5DB" w:sz="1"/>
            </w:tcBorders>
            <w:shd w:fill="FEF3C7" w:val="clear"/>
          </w:tcPr>
          <w:p>
            <w:pPr>
              <w:jc w:val="center"/>
            </w:pPr>
            <w:r>
              <w:rPr>
                <w:b w:val="false"/>
                <w:bCs w:val="false"/>
                <w:color w:val="B45309"/>
                <w:sz w:val="20"/>
                <w:szCs w:val="20"/>
              </w:rPr>
              <w:t xml:space="preserve">Apply</w:t>
            </w:r>
          </w:p>
        </w:tc>
      </w:tr>
    </w:tbl>
    <w:p>
      <w:pPr>
        <w:spacing w:before="80" w:after="60"/>
      </w:pPr>
      <w:r>
        <w:rPr>
          <w:i/>
          <w:iCs/>
          <w:color w:val="6B7280"/>
          <w:sz w:val="20"/>
          <w:szCs w:val="20"/>
        </w:rPr>
        <w:t xml:space="preserve">Theoretical = full deficit closure in 1 year at 100% efficiency. Practical = (theoretical / amendment efficiency) / years to correct. Practical figures account for fixation, leaching, and amendment-loss pathways; apply the Practical column figure as the annual programme rate.</w:t>
      </w:r>
    </w:p>
    <w:p>
      <w:pPr>
        <w:spacing w:before="60" w:after="160"/>
      </w:pPr>
      <w:r>
        <w:rPr>
          <w:i/>
          <w:iCs/>
          <w:color w:val="9CA3AF"/>
          <w:sz w:val="20"/>
          <w:szCs w:val="20"/>
        </w:rPr>
        <w:t xml:space="preserve">Rates expressed as elemental kg/ha. Soil deficit = (threshold − measured) × 10 cm × 1.4 g/cm³ × 0.1. Programme delivery summed across annual applications.</w:t>
      </w:r>
    </w:p>
    <w:p>
      <w:pPr>
        <w:spacing w:before="300" w:after="120"/>
      </w:pPr>
      <w:r>
        <w:rPr>
          <w:b/>
          <w:bCs/>
          <w:color w:val="B45309"/>
          <w:sz w:val="24"/>
          <w:szCs w:val="24"/>
        </w:rPr>
        <w:t xml:space="preserve">Mulder's Nutrient Interactions</w:t>
      </w:r>
    </w:p>
    <w:p>
      <w:pPr>
        <w:spacing w:after="100"/>
      </w:pPr>
      <w:r>
        <w:rPr>
          <w:color w:val="6B7280"/>
          <w:sz w:val="22"/>
          <w:szCs w:val="22"/>
        </w:rPr>
        <w:t xml:space="preserve">The following antagonistic interactions were detected. These affect nutrient availability independently of absolute soil levels, a nutrient above its sufficiency threshold may still be functionally deficient if a competing element is elevated.</w:t>
      </w:r>
    </w:p>
    <w:p>
      <w:pPr>
        <w:shd w:fill="F9FAFB" w:val="clear"/>
        <w:spacing w:after="160"/>
      </w:pPr>
      <w:r>
        <w:rPr>
          <w:i/>
          <w:iCs/>
          <w:color w:val="6B7280"/>
          <w:sz w:val="20"/>
          <w:szCs w:val="20"/>
        </w:rPr>
        <w:t xml:space="preserve">Ratio checks assume all nutrients were extracted using the same method (Olsen P + NH₄OAc (pH 8.1)). Results from mixed-extractant panels will produce unreliable ratios.</w:t>
      </w:r>
    </w:p>
    <w:p>
      <w:pPr>
        <w:spacing w:before="160" w:after="60"/>
      </w:pPr>
      <w:r>
        <w:rPr>
          <w:b/>
          <w:bCs/>
          <w:color w:val="374151"/>
          <w:sz w:val="22"/>
          <w:szCs w:val="22"/>
        </w:rPr>
        <w:t xml:space="preserve">K suppresses Mg (K:Mg = 5.4, threshold: 2.5)</w:t>
      </w:r>
    </w:p>
    <w:p>
      <w:pPr>
        <w:spacing w:after="60"/>
      </w:pPr>
      <w:r>
        <w:rPr>
          <w:color w:val="1F2937"/>
          <w:sz w:val="22"/>
          <w:szCs w:val="22"/>
        </w:rPr>
        <w:t xml:space="preserve">Elevated K:Mg ratio, excess K competitively suppresses Mg uptake at root level.</w:t>
      </w:r>
    </w:p>
    <w:p>
      <w:pPr>
        <w:spacing w:after="60"/>
      </w:pPr>
      <w:r>
        <w:rPr>
          <w:color w:val="374151"/>
          <w:sz w:val="22"/>
          <w:szCs w:val="22"/>
        </w:rPr>
        <w:t xml:space="preserve">K and Mg share cation uptake carriers (high-affinity transport). K:Mg &gt;2.5 (mass ratio) reduces Mg absorption even when soil Mg is above sufficiency threshold. Common on sand profiles with high K fertiliser programs or calcareous irrigation water.</w:t>
      </w:r>
    </w:p>
    <w:p>
      <w:pPr>
        <w:spacing w:after="120"/>
      </w:pPr>
      <w:r>
        <w:rPr>
          <w:i/>
          <w:iCs/>
          <w:color w:val="9CA3AF"/>
          <w:sz w:val="20"/>
          <w:szCs w:val="20"/>
        </w:rPr>
        <w:t xml:space="preserve">Marschner 2012</w:t>
      </w:r>
    </w:p>
    <w:p>
      <w:pPr>
        <w:spacing w:before="160" w:after="60"/>
      </w:pPr>
      <w:r>
        <w:rPr>
          <w:b/>
          <w:bCs/>
          <w:color w:val="374151"/>
          <w:sz w:val="22"/>
          <w:szCs w:val="22"/>
        </w:rPr>
        <w:t xml:space="preserve">K suppresses Ca (K:Ca = 1.2, threshold: 0.5)</w:t>
      </w:r>
    </w:p>
    <w:p>
      <w:pPr>
        <w:spacing w:after="60"/>
      </w:pPr>
      <w:r>
        <w:rPr>
          <w:color w:val="1F2937"/>
          <w:sz w:val="22"/>
          <w:szCs w:val="22"/>
        </w:rPr>
        <w:t xml:space="preserve">Elevated K:Ca ratio, excess K can suppress Ca translocation to shoot tips.</w:t>
      </w:r>
    </w:p>
    <w:p>
      <w:pPr>
        <w:spacing w:after="60"/>
      </w:pPr>
      <w:r>
        <w:rPr>
          <w:color w:val="374151"/>
          <w:sz w:val="22"/>
          <w:szCs w:val="22"/>
        </w:rPr>
        <w:t xml:space="preserve">Ca mobility in the phloem is limited; excess K at root level reduces Ca uptake efficiency. Most significant under low-transpiration conditions (shade, dew periods).</w:t>
      </w:r>
    </w:p>
    <w:p>
      <w:pPr>
        <w:spacing w:after="120"/>
      </w:pPr>
      <w:r>
        <w:rPr>
          <w:i/>
          <w:iCs/>
          <w:color w:val="9CA3AF"/>
          <w:sz w:val="20"/>
          <w:szCs w:val="20"/>
        </w:rPr>
        <w:t xml:space="preserve">Marschner 2012</w:t>
      </w:r>
    </w:p>
    <w:p/>
    <w:p>
      <w:pPr>
        <w:pStyle w:val="Heading1"/>
        <w:keepNext/>
      </w:pPr>
      <w:r>
        <w:t xml:space="preserve">Cation Balance Analysis</w:t>
      </w:r>
    </w:p>
    <w:p>
      <w:pPr>
        <w:spacing w:before="100" w:after="50"/>
      </w:pPr>
      <w:r>
        <w:rPr>
          <w:b/>
          <w:bCs/>
          <w:sz w:val="22"/>
          <w:szCs w:val="22"/>
        </w:rPr>
        <w:t xml:space="preserve">Cation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Ca:Mg Ratio</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4.6:1 (Optimal)</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K:Mg Ratio (meq)</w:t>
            </w:r>
          </w:p>
        </w:tc>
        <w:tc>
          <w:tcPr>
            <w:tcW w:type="dxa" w:w="5860"/>
            <w:tcBorders>
              <w:top w:val="single" w:color="E5E7EB" w:sz="1"/>
              <w:left w:val="single" w:color="E5E7EB" w:sz="1"/>
              <w:bottom w:val="single" w:color="E5E7EB" w:sz="1"/>
              <w:right w:val="single" w:color="E5E7EB" w:sz="1"/>
            </w:tcBorders>
          </w:tcPr>
          <w:p>
            <w:r>
              <w:rPr>
                <w:color w:val="F59E0B"/>
                <w:sz w:val="22"/>
                <w:szCs w:val="22"/>
              </w:rPr>
              <w:t xml:space="preserve">1.67 (High K)</w:t>
            </w:r>
          </w:p>
        </w:tc>
      </w:tr>
    </w:tbl>
    <w:p>
      <w:pPr>
        <w:spacing w:before="200" w:after="100"/>
      </w:pPr>
      <w:r>
        <w:rPr>
          <w:b/>
          <w:bCs/>
          <w:color w:val="1F2937"/>
          <w:sz w:val="22"/>
          <w:szCs w:val="22"/>
        </w:rPr>
        <w:t xml:space="preserve">Interpretation</w:t>
      </w:r>
    </w:p>
    <w:p>
      <w:pPr>
        <w:spacing w:after="120"/>
      </w:pPr>
      <w:r>
        <w:rPr>
          <w:color w:val="4B5563"/>
          <w:sz w:val="22"/>
          <w:szCs w:val="22"/>
        </w:rPr>
        <w:t xml:space="preserve">K:Mg ratio (1.67) indicates potential K-induced Mg deficiency.</w:t>
      </w:r>
    </w:p>
    <w:p>
      <w:pPr>
        <w:spacing w:before="150" w:after="80"/>
      </w:pPr>
      <w:r>
        <w:rPr>
          <w:color w:val="1F2937"/>
          <w:sz w:val="22"/>
          <w:szCs w:val="22"/>
        </w:rPr>
        <w:t xml:space="preserve">Recommendations:</w:t>
      </w:r>
    </w:p>
    <w:p>
      <w:pPr>
        <w:spacing w:after="80"/>
        <w:ind w:left="360"/>
      </w:pPr>
      <w:r>
        <w:rPr>
          <w:color w:val="16A34A"/>
          <w:sz w:val="22"/>
          <w:szCs w:val="22"/>
        </w:rPr>
        <w:t xml:space="preserve">• </w:t>
      </w:r>
      <w:r>
        <w:rPr>
          <w:color w:val="374151"/>
          <w:sz w:val="22"/>
          <w:szCs w:val="22"/>
        </w:rPr>
        <w:t xml:space="preserve">Reduce potassium applications and supplement with foliar magnesium.</w:t>
      </w:r>
    </w:p>
    <w:p/>
    <w:p>
      <w:pPr>
        <w:pStyle w:val="Heading1"/>
        <w:keepNext/>
      </w:pPr>
      <w:r>
        <w:t xml:space="preserve">Climate &amp; Growth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Temperature</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6.8°C</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Growth Potential (C3)</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7%</w:t>
            </w:r>
          </w:p>
        </w:tc>
      </w:tr>
    </w:tbl>
    <w:p/>
    <w:p>
      <w:pPr>
        <w:pStyle w:val="Heading1"/>
        <w:keepNext/>
      </w:pPr>
      <w:r>
        <w:t xml:space="preserve">Tissue Analysis, Green 13</w:t>
      </w:r>
    </w:p>
    <w:p>
      <w:pPr>
        <w:spacing w:after="60"/>
      </w:pPr>
      <w:r>
        <w:rPr>
          <w:i/>
          <w:iCs/>
          <w:color w:val="6B7280"/>
          <w:sz w:val="22"/>
          <w:szCs w:val="22"/>
        </w:rPr>
        <w:t xml:space="preserve">Sampled: 6 Jul 2026  •  Browntop Bent (Greens)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Nitrogen (N)</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3%</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Phosphorus (P)</w:t>
            </w:r>
          </w:p>
        </w:tc>
        <w:tc>
          <w:tcPr>
            <w:tcW w:type="dxa" w:w="5860"/>
            <w:tcBorders>
              <w:top w:val="single" w:color="E5E7EB" w:sz="1"/>
              <w:left w:val="single" w:color="E5E7EB" w:sz="1"/>
              <w:bottom w:val="single" w:color="E5E7EB" w:sz="1"/>
              <w:right w:val="single" w:color="E5E7EB" w:sz="1"/>
            </w:tcBorders>
          </w:tcPr>
          <w:p>
            <w:r>
              <w:rPr>
                <w:color w:val="F59E0B"/>
                <w:sz w:val="22"/>
                <w:szCs w:val="22"/>
              </w:rPr>
              <w:t xml:space="preserve">1.4%</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Potassium (K)</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2.7%</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Calcium (Ca)</w:t>
            </w:r>
          </w:p>
        </w:tc>
        <w:tc>
          <w:tcPr>
            <w:tcW w:type="dxa" w:w="5860"/>
            <w:tcBorders>
              <w:top w:val="single" w:color="E5E7EB" w:sz="1"/>
              <w:left w:val="single" w:color="E5E7EB" w:sz="1"/>
              <w:bottom w:val="single" w:color="E5E7EB" w:sz="1"/>
              <w:right w:val="single" w:color="E5E7EB" w:sz="1"/>
            </w:tcBorders>
          </w:tcPr>
          <w:p>
            <w:r>
              <w:rPr>
                <w:color w:val="F59E0B"/>
                <w:sz w:val="22"/>
                <w:szCs w:val="22"/>
              </w:rPr>
              <w:t xml:space="preserve">2.4%</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Magnesium (Mg)</w:t>
            </w:r>
          </w:p>
        </w:tc>
        <w:tc>
          <w:tcPr>
            <w:tcW w:type="dxa" w:w="5860"/>
            <w:tcBorders>
              <w:top w:val="single" w:color="E5E7EB" w:sz="1"/>
              <w:left w:val="single" w:color="E5E7EB" w:sz="1"/>
              <w:bottom w:val="single" w:color="E5E7EB" w:sz="1"/>
              <w:right w:val="single" w:color="E5E7EB" w:sz="1"/>
            </w:tcBorders>
          </w:tcPr>
          <w:p>
            <w:r>
              <w:rPr>
                <w:color w:val="F59E0B"/>
                <w:sz w:val="22"/>
                <w:szCs w:val="22"/>
              </w:rPr>
              <w:t xml:space="preserve">0.67%</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Sulphur (S)</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0.2%</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Iron (Fe)</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156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Manganese (Mn)</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23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Zinc (Zn)</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2.5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Copper (Cu)</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2 ppm</w:t>
            </w:r>
          </w:p>
        </w:tc>
      </w:tr>
    </w:tbl>
    <w:p/>
    <w:p>
      <w:pPr>
        <w:spacing w:before="120" w:after="120"/>
        <w:jc w:val="center"/>
      </w:pPr>
      <w:r>
        <w:drawing>
          <wp:inline distT="0" distB="0" distL="0" distR="0">
            <wp:extent cx="5334000" cy="2990850"/>
            <wp:effectExtent t="0" r="0" b="0" l="0"/>
            <wp:docPr id="5" name="chart_tissue_2" descr="GAIP tissue analysis chart" title="tissue 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2" cstate="none"/>
                    <a:srcRect/>
                    <a:stretch>
                      <a:fillRect/>
                    </a:stretch>
                  </pic:blipFill>
                  <pic:spPr bwMode="auto">
                    <a:xfrm>
                      <a:off x="0" y="0"/>
                      <a:ext cx="5334000" cy="2990850"/>
                    </a:xfrm>
                    <a:prstGeom prst="rect">
                      <a:avLst/>
                    </a:prstGeom>
                  </pic:spPr>
                </pic:pic>
              </a:graphicData>
            </a:graphic>
          </wp:inline>
        </w:drawing>
      </w:r>
    </w:p>
    <w:p>
      <w:pPr>
        <w:spacing w:before="200" w:after="100"/>
      </w:pPr>
      <w:r>
        <w:rPr>
          <w:b/>
          <w:bCs/>
          <w:color w:val="1F2937"/>
          <w:sz w:val="22"/>
          <w:szCs w:val="22"/>
        </w:rPr>
        <w:t xml:space="preserve">Interpretation</w:t>
      </w:r>
    </w:p>
    <w:p>
      <w:pPr>
        <w:spacing w:after="120"/>
      </w:pPr>
      <w:r>
        <w:rPr>
          <w:color w:val="4B5563"/>
          <w:sz w:val="22"/>
          <w:szCs w:val="22"/>
        </w:rPr>
        <w:t xml:space="preserve">Nitrogen, Sulphur, Manganese, Zinc, Copper are below sufficiency levels, indicating potential deficiency.</w:t>
      </w:r>
    </w:p>
    <w:p>
      <w:pPr>
        <w:spacing w:after="120"/>
      </w:pPr>
      <w:r>
        <w:rPr>
          <w:color w:val="4B5563"/>
          <w:sz w:val="22"/>
          <w:szCs w:val="22"/>
        </w:rPr>
        <w:t xml:space="preserve">Phosphorus, Calcium, Magnesium are above optimal levels. This may indicate luxury consumption or potential antagonism with other nutrients.</w:t>
      </w:r>
    </w:p>
    <w:p>
      <w:pPr>
        <w:spacing w:before="150" w:after="80"/>
      </w:pPr>
      <w:r>
        <w:rPr>
          <w:color w:val="1F2937"/>
          <w:sz w:val="22"/>
          <w:szCs w:val="22"/>
        </w:rPr>
        <w:t xml:space="preserve">Recommendations:</w:t>
      </w:r>
    </w:p>
    <w:p>
      <w:pPr>
        <w:spacing w:after="80"/>
        <w:ind w:left="360"/>
      </w:pPr>
      <w:r>
        <w:rPr>
          <w:color w:val="16A34A"/>
          <w:sz w:val="22"/>
          <w:szCs w:val="22"/>
        </w:rPr>
        <w:t xml:space="preserve">• </w:t>
      </w:r>
      <w:r>
        <w:rPr>
          <w:color w:val="374151"/>
          <w:sz w:val="22"/>
          <w:szCs w:val="22"/>
        </w:rPr>
        <w:t xml:space="preserve">Increase nitrogen applications. Consider split applications of quick-release N for rapid response, followed by slow-release sources.</w:t>
      </w:r>
    </w:p>
    <w:p>
      <w:pPr>
        <w:spacing w:after="80"/>
        <w:ind w:left="360"/>
      </w:pPr>
      <w:r>
        <w:rPr>
          <w:color w:val="16A34A"/>
          <w:sz w:val="22"/>
          <w:szCs w:val="22"/>
        </w:rPr>
        <w:t xml:space="preserve">• </w:t>
      </w:r>
      <w:r>
        <w:rPr>
          <w:color w:val="374151"/>
          <w:sz w:val="22"/>
          <w:szCs w:val="22"/>
        </w:rPr>
        <w:t xml:space="preserve">Apply sulphur-containing fertiliser such as ammonium sulphate or potassium sulphate.</w:t>
      </w:r>
    </w:p>
    <w:p>
      <w:pPr>
        <w:spacing w:after="80"/>
        <w:ind w:left="360"/>
      </w:pPr>
      <w:r>
        <w:rPr>
          <w:color w:val="16A34A"/>
          <w:sz w:val="22"/>
          <w:szCs w:val="22"/>
        </w:rPr>
        <w:t xml:space="preserve">• </w:t>
      </w:r>
      <w:r>
        <w:rPr>
          <w:color w:val="374151"/>
          <w:sz w:val="22"/>
          <w:szCs w:val="22"/>
        </w:rPr>
        <w:t xml:space="preserve">Apply foliar manganese at label rates. Micronutrient deficiencies respond quickly to foliar applications.</w:t>
      </w:r>
    </w:p>
    <w:p>
      <w:pPr>
        <w:spacing w:after="80"/>
        <w:ind w:left="360"/>
      </w:pPr>
      <w:r>
        <w:rPr>
          <w:color w:val="16A34A"/>
          <w:sz w:val="22"/>
          <w:szCs w:val="22"/>
        </w:rPr>
        <w:t xml:space="preserve">• </w:t>
      </w:r>
      <w:r>
        <w:rPr>
          <w:color w:val="374151"/>
          <w:sz w:val="22"/>
          <w:szCs w:val="22"/>
        </w:rPr>
        <w:t xml:space="preserve">Apply foliar zinc at label rates. Micronutrient deficiencies respond quickly to foliar applications.</w:t>
      </w:r>
    </w:p>
    <w:p>
      <w:pPr>
        <w:spacing w:after="80"/>
        <w:ind w:left="360"/>
      </w:pPr>
      <w:r>
        <w:rPr>
          <w:color w:val="16A34A"/>
          <w:sz w:val="22"/>
          <w:szCs w:val="22"/>
        </w:rPr>
        <w:t xml:space="preserve">• </w:t>
      </w:r>
      <w:r>
        <w:rPr>
          <w:color w:val="374151"/>
          <w:sz w:val="22"/>
          <w:szCs w:val="22"/>
        </w:rPr>
        <w:t xml:space="preserve">Apply foliar copper at label rates. Micronutrient deficiencies respond quickly to foliar applications.</w:t>
      </w:r>
    </w:p>
    <w:p/>
    <w:p>
      <w:r>
        <w:br w:type="page"/>
      </w:r>
    </w:p>
    <w:p>
      <w:pPr>
        <w:pStyle w:val="Heading1"/>
        <w:keepNext/>
      </w:pPr>
      <w:r>
        <w:t xml:space="preserve">Nutrient Trend Analysis</w:t>
      </w:r>
    </w:p>
    <w:p>
      <w:pPr>
        <w:pStyle w:val="Heading2"/>
        <w:keepNext/>
        <w:spacing w:before="240" w:after="100"/>
      </w:pPr>
      <w:r>
        <w:t xml:space="preserve">Soil Nutrient Trends</w:t>
      </w:r>
    </w:p>
    <w:p>
      <w:r>
        <w:br w:type="page"/>
      </w:r>
    </w:p>
    <w:p>
      <w:pPr>
        <w:pStyle w:val="Heading1"/>
        <w:spacing w:before="240" w:after="120"/>
      </w:pPr>
      <w:r>
        <w:rPr>
          <w:b/>
          <w:bCs/>
        </w:rPr>
        <w:t xml:space="preserve">Soil Amendment Recommendations</w:t>
      </w:r>
    </w:p>
    <w:p>
      <w:pPr>
        <w:spacing w:after="160"/>
      </w:pPr>
      <w:r>
        <w:rPr>
          <w:color w:val="374151"/>
          <w:sz w:val="22"/>
          <w:szCs w:val="22"/>
        </w:rPr>
        <w:t xml:space="preserve">Amendment product selection is based on soil pH, CEC, organic matter content, construction type, and water quality. Products are chosen to address deficits without compounding existing imbalances (e.g. avoiding carbonates at high pH, avoiding sulphates where irrigation water SO₄ is already elevated).</w:t>
      </w:r>
    </w:p>
    <w:p>
      <w:pPr>
        <w:spacing w:before="200" w:after="60"/>
      </w:pPr>
      <w:r>
        <w:rPr>
          <w:i/>
          <w:iCs/>
          <w:color w:val="9CA3AF"/>
          <w:sz w:val="22"/>
          <w:szCs w:val="22"/>
        </w:rPr>
        <w:t xml:space="preserve">Note: Indicative rates require adjustment for actual soil deficit, bulk density, and rootzone depth. Split applications are recommended for all soluble products (kieserite, Epsom salts) at rates exceeding 20 kg Mg/ha. Confirm product availability and pricing with your supplier before ordering.</w:t>
      </w:r>
    </w:p>
    <w:p/>
    <w:p>
      <w:r>
        <w:br w:type="page"/>
      </w:r>
    </w:p>
    <w:p>
      <w:pPr>
        <w:pStyle w:val="Heading1"/>
        <w:keepNext/>
      </w:pPr>
      <w:r>
        <w:t xml:space="preserve">Performance Impact Analysis</w:t>
      </w:r>
    </w:p>
    <w:p>
      <w:pPr>
        <w:spacing w:after="200"/>
      </w:pPr>
      <w:r>
        <w:rPr>
          <w:color w:val="4B5563"/>
          <w:sz w:val="22"/>
          <w:szCs w:val="22"/>
        </w:rPr>
        <w:t xml:space="preserve">This section examines how site-specific factors interact to affect turf performance. Understanding these relationships helps prioritise management interventions.</w:t>
      </w:r>
    </w:p>
    <w:p>
      <w:pPr>
        <w:spacing w:after="120"/>
      </w:pPr>
      <w:r>
        <w:rPr>
          <w:color w:val="374151"/>
          <w:sz w:val="22"/>
          <w:szCs w:val="22"/>
        </w:rPr>
        <w:t xml:space="preserve">Arrowtown has been selected for this site. Variety-specific traits modify the baseline species response to the conditions described above.</w:t>
      </w:r>
    </w:p>
    <w:p>
      <w:pPr>
        <w:spacing w:after="120"/>
      </w:pPr>
      <w:r>
        <w:rPr>
          <w:color w:val="374151"/>
          <w:sz w:val="22"/>
          <w:szCs w:val="22"/>
        </w:rPr>
        <w:t xml:space="preserve">The low soil pH (4.7) causes phosphorus to bind with aluminium and iron oxides, reducing the proportion that remains plant-available. The soil test P value (18 ppm) likely overestimates actual phosphorus availability under these pH conditions.</w:t>
      </w:r>
    </w:p>
    <w:p>
      <w:pPr>
        <w:spacing w:after="120"/>
      </w:pPr>
      <w:r>
        <w:rPr>
          <w:color w:val="374151"/>
          <w:sz w:val="22"/>
          <w:szCs w:val="22"/>
        </w:rPr>
        <w:t xml:space="preserve">Current growth potential (7%) severely restricts the turf's ability to recover from damage. Any injury from traffic, disease, or other stressors will persist until temperatures return to the species' optimal growth range. Management should focus on protection rather than recovery during this period.</w:t>
      </w:r>
    </w:p>
    <w:p>
      <w:pPr>
        <w:spacing w:after="120"/>
      </w:pPr>
      <w:r>
        <w:rPr>
          <w:color w:val="374151"/>
          <w:sz w:val="22"/>
          <w:szCs w:val="22"/>
        </w:rPr>
        <w:t xml:space="preserve">The coincidence of disease pressure with low recovery capacity creates a critical situation. The turf cannot outgrow pathogen damage at current growth rates, making proactive fungicide applications essential. Curative treatments will be less effective as damaged tissue cannot be replaced quickly.</w:t>
      </w:r>
    </w:p>
    <w:p>
      <w:pPr>
        <w:spacing w:after="120"/>
      </w:pPr>
      <w:r>
        <w:rPr>
          <w:color w:val="374151"/>
          <w:sz w:val="22"/>
          <w:szCs w:val="22"/>
        </w:rPr>
        <w:t xml:space="preserve">The analysis has identified 3 significant concurrent limitations: disease pressure, limited growth capacity, nutrient deficiency (N). Under compound stress conditions, the effects are typically multiplicative rather than additive, as each stressor reduces the plant's capacity to cope with the others. Management should focus on addressing the most controllable factor first while avoiding any additional disturbance that could further compromise plant health.</w:t>
      </w:r>
    </w:p>
    <w:p>
      <w:pPr>
        <w:spacing w:before="200" w:after="100"/>
      </w:pPr>
      <w:r>
        <w:rPr>
          <w:b/>
          <w:bCs/>
          <w:color w:val="1F2937"/>
          <w:sz w:val="22"/>
          <w:szCs w:val="22"/>
        </w:rPr>
        <w:t xml:space="preserve">Management Recommendations</w:t>
      </w:r>
    </w:p>
    <w:p>
      <w:pPr>
        <w:spacing w:after="100"/>
      </w:pPr>
      <w:r>
        <w:rPr>
          <w:color w:val="374151"/>
          <w:sz w:val="22"/>
          <w:szCs w:val="22"/>
        </w:rPr>
        <w:t xml:space="preserve">1. Prioritise addressing the most controllable stressor first. Defer renovation work and aggressive cultural practices until at least one major limitation has been resolved.</w:t>
      </w:r>
    </w:p>
    <w:p/>
    <w:p>
      <w:r>
        <w:br w:type="page"/>
      </w:r>
    </w:p>
    <w:p>
      <w:pPr>
        <w:pStyle w:val="Heading1"/>
        <w:keepNext/>
      </w:pPr>
      <w:r>
        <w:t xml:space="preserve">Spray Application Log</w:t>
      </w:r>
    </w:p>
    <w:p>
      <w:pPr>
        <w:spacing w:after="200"/>
      </w:pPr>
      <w:r>
        <w:rPr>
          <w:color w:val="4B5563"/>
          <w:sz w:val="22"/>
          <w:szCs w:val="22"/>
        </w:rPr>
        <w:t xml:space="preserve">Record of chemical and fertiliser applications for this site. 4 entries.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00"/>
        <w:gridCol w:w="900"/>
        <w:gridCol w:w="800"/>
        <w:gridCol w:w="1000"/>
      </w:tblGrid>
      <w:tr>
        <w:trPr>
          <w:tblHeader/>
        </w:trPr>
        <w:tc>
          <w:tcPr>
            <w:tcW w:type="dxa" w:w="1200"/>
            <w:shd w:fill="E5E7EB" w:val="clear"/>
          </w:tcPr>
          <w:p>
            <w:r>
              <w:rPr>
                <w:b/>
                <w:bCs/>
                <w:sz w:val="22"/>
                <w:szCs w:val="22"/>
              </w:rPr>
              <w:t xml:space="preserve">Date</w:t>
            </w:r>
          </w:p>
        </w:tc>
        <w:tc>
          <w:tcPr>
            <w:tcW w:type="dxa" w:w="2200"/>
            <w:shd w:fill="E5E7EB" w:val="clear"/>
          </w:tcPr>
          <w:p>
            <w:r>
              <w:rPr>
                <w:b/>
                <w:bCs/>
                <w:sz w:val="22"/>
                <w:szCs w:val="22"/>
              </w:rPr>
              <w:t xml:space="preserve">Product</w:t>
            </w:r>
          </w:p>
        </w:tc>
        <w:tc>
          <w:tcPr>
            <w:tcW w:type="dxa" w:w="1600"/>
            <w:shd w:fill="E5E7EB" w:val="clear"/>
          </w:tcPr>
          <w:p>
            <w:r>
              <w:rPr>
                <w:b/>
                <w:bCs/>
                <w:sz w:val="22"/>
                <w:szCs w:val="22"/>
              </w:rPr>
              <w:t xml:space="preserve">Active Ingredient</w:t>
            </w:r>
          </w:p>
        </w:tc>
        <w:tc>
          <w:tcPr>
            <w:tcW w:type="dxa" w:w="900"/>
            <w:shd w:fill="E5E7EB" w:val="clear"/>
          </w:tcPr>
          <w:p>
            <w:pPr>
              <w:jc w:val="center"/>
            </w:pPr>
            <w:r>
              <w:rPr>
                <w:b/>
                <w:bCs/>
                <w:sz w:val="22"/>
                <w:szCs w:val="22"/>
              </w:rPr>
              <w:t xml:space="preserve">Rate</w:t>
            </w:r>
          </w:p>
        </w:tc>
        <w:tc>
          <w:tcPr>
            <w:tcW w:type="dxa" w:w="800"/>
            <w:shd w:fill="E5E7EB" w:val="clear"/>
          </w:tcPr>
          <w:p>
            <w:pPr>
              <w:jc w:val="center"/>
            </w:pPr>
            <w:r>
              <w:rPr>
                <w:b/>
                <w:bCs/>
                <w:sz w:val="22"/>
                <w:szCs w:val="22"/>
              </w:rPr>
              <w:t xml:space="preserve">Zone</w:t>
            </w:r>
          </w:p>
        </w:tc>
        <w:tc>
          <w:tcPr>
            <w:tcW w:type="dxa" w:w="1000"/>
            <w:shd w:fill="E5E7EB" w:val="clear"/>
          </w:tcPr>
          <w:p>
            <w:pPr>
              <w:jc w:val="center"/>
            </w:pPr>
            <w:r>
              <w:rPr>
                <w:b/>
                <w:bCs/>
                <w:sz w:val="22"/>
                <w:szCs w:val="22"/>
              </w:rPr>
              <w:t xml:space="preserve">Category</w:t>
            </w:r>
          </w:p>
        </w:tc>
      </w:tr>
      <w:tr>
        <w:tc>
          <w:tcPr>
            <w:tcW w:type="dxa" w:w="1200"/>
          </w:tcPr>
          <w:p>
            <w:r>
              <w:rPr>
                <w:sz w:val="22"/>
                <w:szCs w:val="22"/>
              </w:rPr>
              <w:t xml:space="preserve">20/07/2026</w:t>
            </w:r>
          </w:p>
        </w:tc>
        <w:tc>
          <w:tcPr>
            <w:tcW w:type="dxa" w:w="2200"/>
          </w:tcPr>
          <w:p>
            <w:r>
              <w:rPr>
                <w:sz w:val="22"/>
                <w:szCs w:val="22"/>
              </w:rPr>
              <w:t xml:space="preserve">Amigo 175</w:t>
            </w:r>
          </w:p>
        </w:tc>
        <w:tc>
          <w:tcPr>
            <w:tcW w:type="dxa" w:w="1600"/>
          </w:tcPr>
          <w:p>
            <w:r>
              <w:rPr>
                <w:sz w:val="22"/>
                <w:szCs w:val="22"/>
              </w:rPr>
              <w:t xml:space="preserve">Trinexapac-ethyl</w:t>
            </w:r>
          </w:p>
        </w:tc>
        <w:tc>
          <w:tcPr>
            <w:tcW w:type="dxa" w:w="900"/>
          </w:tcPr>
          <w:p>
            <w:pPr>
              <w:jc w:val="center"/>
            </w:pPr>
            <w:r>
              <w:rPr>
                <w:sz w:val="22"/>
                <w:szCs w:val="22"/>
              </w:rPr>
              <w:t xml:space="preserve">0.5 L/ha</w:t>
            </w:r>
          </w:p>
        </w:tc>
        <w:tc>
          <w:tcPr>
            <w:tcW w:type="dxa" w:w="800"/>
          </w:tcPr>
          <w:p>
            <w:pPr>
              <w:jc w:val="center"/>
            </w:pPr>
            <w:r>
              <w:rPr>
                <w:sz w:val="22"/>
                <w:szCs w:val="22"/>
              </w:rPr>
              <w:t xml:space="preserve">greens</w:t>
            </w:r>
          </w:p>
        </w:tc>
        <w:tc>
          <w:tcPr>
            <w:tcW w:type="dxa" w:w="1000"/>
          </w:tcPr>
          <w:p>
            <w:pPr>
              <w:jc w:val="center"/>
            </w:pPr>
            <w:r>
              <w:rPr>
                <w:sz w:val="22"/>
                <w:szCs w:val="22"/>
              </w:rPr>
            </w:r>
          </w:p>
        </w:tc>
      </w:tr>
      <w:tr>
        <w:tc>
          <w:tcPr>
            <w:tcW w:type="dxa" w:w="1200"/>
          </w:tcPr>
          <w:p>
            <w:r>
              <w:rPr>
                <w:sz w:val="22"/>
                <w:szCs w:val="22"/>
              </w:rPr>
              <w:t xml:space="preserve">06/07/2026</w:t>
            </w:r>
          </w:p>
        </w:tc>
        <w:tc>
          <w:tcPr>
            <w:tcW w:type="dxa" w:w="2200"/>
          </w:tcPr>
          <w:p>
            <w:r>
              <w:rPr>
                <w:sz w:val="22"/>
                <w:szCs w:val="22"/>
              </w:rPr>
              <w:t xml:space="preserve">Daconil Weather Stik</w:t>
            </w:r>
          </w:p>
        </w:tc>
        <w:tc>
          <w:tcPr>
            <w:tcW w:type="dxa" w:w="1600"/>
          </w:tcPr>
          <w:p>
            <w:r>
              <w:rPr>
                <w:sz w:val="22"/>
                <w:szCs w:val="22"/>
              </w:rPr>
              <w:t xml:space="preserve">chlorotalonil</w:t>
            </w:r>
          </w:p>
        </w:tc>
        <w:tc>
          <w:tcPr>
            <w:tcW w:type="dxa" w:w="900"/>
          </w:tcPr>
          <w:p>
            <w:pPr>
              <w:jc w:val="center"/>
            </w:pPr>
            <w:r>
              <w:rPr>
                <w:sz w:val="22"/>
                <w:szCs w:val="22"/>
              </w:rPr>
              <w:t xml:space="preserve">18 L/ha</w:t>
            </w:r>
          </w:p>
        </w:tc>
        <w:tc>
          <w:tcPr>
            <w:tcW w:type="dxa" w:w="800"/>
          </w:tcPr>
          <w:p>
            <w:pPr>
              <w:jc w:val="center"/>
            </w:pPr>
            <w:r>
              <w:rPr>
                <w:sz w:val="22"/>
                <w:szCs w:val="22"/>
              </w:rPr>
              <w:t xml:space="preserve">greens</w:t>
            </w:r>
          </w:p>
        </w:tc>
        <w:tc>
          <w:tcPr>
            <w:tcW w:type="dxa" w:w="1000"/>
          </w:tcPr>
          <w:p>
            <w:pPr>
              <w:jc w:val="center"/>
            </w:pPr>
            <w:r>
              <w:rPr>
                <w:sz w:val="22"/>
                <w:szCs w:val="22"/>
              </w:rPr>
            </w:r>
          </w:p>
        </w:tc>
      </w:tr>
      <w:tr>
        <w:tc>
          <w:tcPr>
            <w:tcW w:type="dxa" w:w="1200"/>
          </w:tcPr>
          <w:p>
            <w:r>
              <w:rPr>
                <w:sz w:val="22"/>
                <w:szCs w:val="22"/>
              </w:rPr>
              <w:t xml:space="preserve">01/07/2026</w:t>
            </w:r>
          </w:p>
        </w:tc>
        <w:tc>
          <w:tcPr>
            <w:tcW w:type="dxa" w:w="2200"/>
          </w:tcPr>
          <w:p>
            <w:r>
              <w:rPr>
                <w:sz w:val="22"/>
                <w:szCs w:val="22"/>
              </w:rPr>
              <w:t xml:space="preserve">Amigo 175</w:t>
            </w:r>
          </w:p>
        </w:tc>
        <w:tc>
          <w:tcPr>
            <w:tcW w:type="dxa" w:w="1600"/>
          </w:tcPr>
          <w:p>
            <w:r>
              <w:rPr>
                <w:sz w:val="22"/>
                <w:szCs w:val="22"/>
              </w:rPr>
              <w:t xml:space="preserve">Trinexapac-ethyl</w:t>
            </w:r>
          </w:p>
        </w:tc>
        <w:tc>
          <w:tcPr>
            <w:tcW w:type="dxa" w:w="900"/>
          </w:tcPr>
          <w:p>
            <w:pPr>
              <w:jc w:val="center"/>
            </w:pPr>
            <w:r>
              <w:rPr>
                <w:sz w:val="22"/>
                <w:szCs w:val="22"/>
              </w:rPr>
              <w:t xml:space="preserve">0.5 L/ha</w:t>
            </w:r>
          </w:p>
        </w:tc>
        <w:tc>
          <w:tcPr>
            <w:tcW w:type="dxa" w:w="800"/>
          </w:tcPr>
          <w:p>
            <w:pPr>
              <w:jc w:val="center"/>
            </w:pPr>
            <w:r>
              <w:rPr>
                <w:sz w:val="22"/>
                <w:szCs w:val="22"/>
              </w:rPr>
              <w:t xml:space="preserve">greens</w:t>
            </w:r>
          </w:p>
        </w:tc>
        <w:tc>
          <w:tcPr>
            <w:tcW w:type="dxa" w:w="1000"/>
          </w:tcPr>
          <w:p>
            <w:pPr>
              <w:jc w:val="center"/>
            </w:pPr>
            <w:r>
              <w:rPr>
                <w:sz w:val="22"/>
                <w:szCs w:val="22"/>
              </w:rPr>
            </w:r>
          </w:p>
        </w:tc>
      </w:tr>
      <w:tr>
        <w:tc>
          <w:tcPr>
            <w:tcW w:type="dxa" w:w="1200"/>
          </w:tcPr>
          <w:p>
            <w:r>
              <w:rPr>
                <w:sz w:val="22"/>
                <w:szCs w:val="22"/>
              </w:rPr>
              <w:t xml:space="preserve">23/06/2026</w:t>
            </w:r>
          </w:p>
        </w:tc>
        <w:tc>
          <w:tcPr>
            <w:tcW w:type="dxa" w:w="2200"/>
          </w:tcPr>
          <w:p>
            <w:r>
              <w:rPr>
                <w:sz w:val="22"/>
                <w:szCs w:val="22"/>
              </w:rPr>
              <w:t xml:space="preserve">Amigo 175</w:t>
            </w:r>
          </w:p>
        </w:tc>
        <w:tc>
          <w:tcPr>
            <w:tcW w:type="dxa" w:w="1600"/>
          </w:tcPr>
          <w:p>
            <w:r>
              <w:rPr>
                <w:sz w:val="22"/>
                <w:szCs w:val="22"/>
              </w:rPr>
              <w:t xml:space="preserve">Trinexapac-ethyl</w:t>
            </w:r>
          </w:p>
        </w:tc>
        <w:tc>
          <w:tcPr>
            <w:tcW w:type="dxa" w:w="900"/>
          </w:tcPr>
          <w:p>
            <w:pPr>
              <w:jc w:val="center"/>
            </w:pPr>
            <w:r>
              <w:rPr>
                <w:sz w:val="22"/>
                <w:szCs w:val="22"/>
              </w:rPr>
              <w:t xml:space="preserve">4 L/ha</w:t>
            </w:r>
          </w:p>
        </w:tc>
        <w:tc>
          <w:tcPr>
            <w:tcW w:type="dxa" w:w="800"/>
          </w:tcPr>
          <w:p>
            <w:pPr>
              <w:jc w:val="center"/>
            </w:pPr>
            <w:r>
              <w:rPr>
                <w:sz w:val="22"/>
                <w:szCs w:val="22"/>
              </w:rPr>
              <w:t xml:space="preserve">greens</w:t>
            </w:r>
          </w:p>
        </w:tc>
        <w:tc>
          <w:tcPr>
            <w:tcW w:type="dxa" w:w="1000"/>
          </w:tcPr>
          <w:p>
            <w:pPr>
              <w:jc w:val="center"/>
            </w:pPr>
            <w:r>
              <w:rPr>
                <w:sz w:val="22"/>
                <w:szCs w:val="22"/>
              </w:rPr>
            </w:r>
          </w:p>
        </w:tc>
      </w:tr>
    </w:tbl>
    <w:p/>
    <w:p>
      <w:pPr>
        <w:pStyle w:val="Heading1"/>
        <w:keepNext/>
      </w:pPr>
      <w:r>
        <w:t xml:space="preserve">Cultivar Performance Profile</w:t>
      </w:r>
    </w:p>
    <w:p>
      <w:pPr>
        <w:spacing w:after="100"/>
      </w:pPr>
      <w:r>
        <w:rPr>
          <w:b/>
          <w:bCs/>
          <w:color w:val="1F2937"/>
          <w:sz w:val="28"/>
          <w:szCs w:val="28"/>
        </w:rPr>
        <w:t xml:space="preserve">Arrowtown</w:t>
      </w:r>
      <w:r>
        <w:rPr>
          <w:color w:val="6B7280"/>
          <w:sz w:val="22"/>
          <w:szCs w:val="22"/>
        </w:rPr>
        <w:t xml:space="preserve">  (Cultivar)</w:t>
      </w:r>
    </w:p>
    <w:p>
      <w:pPr>
        <w:spacing w:after="200"/>
      </w:pPr>
      <w:r>
        <w:rPr>
          <w:i/>
          <w:iCs/>
          <w:color w:val="6B7280"/>
          <w:sz w:val="22"/>
          <w:szCs w:val="22"/>
        </w:rPr>
        <w:t xml:space="preserve">Data source: BSPB Turfgrass Seed 2025 Table G1 - STRI Bingley trials</w:t>
      </w:r>
    </w:p>
    <w:p>
      <w:pPr>
        <w:spacing w:before="150" w:after="100"/>
      </w:pPr>
      <w:r>
        <w:rPr>
          <w:b/>
          <w:bCs/>
          <w:color w:val="1F2937"/>
          <w:sz w:val="22"/>
          <w:szCs w:val="22"/>
        </w:rPr>
        <w:t xml:space="preserve">Trial Performance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000"/>
        <w:gridCol w:w="3360"/>
      </w:tblGrid>
      <w:tr>
        <w:trPr>
          <w:tblHeader/>
        </w:trPr>
        <w:tc>
          <w:tcPr>
            <w:tcW w:type="dxa" w:w="3500"/>
            <w:shd w:fill="E5E7EB" w:val="clear"/>
          </w:tcPr>
          <w:p>
            <w:r>
              <w:rPr>
                <w:b/>
                <w:bCs/>
                <w:sz w:val="22"/>
                <w:szCs w:val="22"/>
              </w:rPr>
              <w:t xml:space="preserve">Characteristic</w:t>
            </w:r>
          </w:p>
        </w:tc>
        <w:tc>
          <w:tcPr>
            <w:tcW w:type="dxa" w:w="1500"/>
            <w:shd w:fill="E5E7EB" w:val="clear"/>
          </w:tcPr>
          <w:p>
            <w:pPr>
              <w:jc w:val="center"/>
            </w:pPr>
            <w:r>
              <w:rPr>
                <w:b/>
                <w:bCs/>
                <w:sz w:val="22"/>
                <w:szCs w:val="22"/>
              </w:rPr>
              <w:t xml:space="preserve">Rating</w:t>
            </w:r>
          </w:p>
        </w:tc>
        <w:tc>
          <w:tcPr>
            <w:tcW w:type="dxa" w:w="1000"/>
            <w:shd w:fill="E5E7EB" w:val="clear"/>
          </w:tcPr>
          <w:p>
            <w:pPr>
              <w:jc w:val="center"/>
            </w:pPr>
            <w:r>
              <w:rPr>
                <w:b/>
                <w:bCs/>
                <w:sz w:val="22"/>
                <w:szCs w:val="22"/>
              </w:rPr>
              <w:t xml:space="preserve">Scale</w:t>
            </w:r>
          </w:p>
        </w:tc>
        <w:tc>
          <w:tcPr>
            <w:tcW w:type="dxa" w:w="3360"/>
            <w:shd w:fill="E5E7EB" w:val="clear"/>
          </w:tcPr>
          <w:p>
            <w:r>
              <w:rPr>
                <w:b/>
                <w:bCs/>
                <w:sz w:val="22"/>
                <w:szCs w:val="22"/>
              </w:rPr>
              <w:t xml:space="preserve">Assessment</w:t>
            </w:r>
          </w:p>
        </w:tc>
      </w:tr>
      <w:tr>
        <w:tc>
          <w:tcPr>
            <w:tcW w:type="dxa" w:w="3500"/>
          </w:tcPr>
          <w:p>
            <w:r>
              <w:rPr>
                <w:sz w:val="22"/>
                <w:szCs w:val="22"/>
              </w:rPr>
              <w:t xml:space="preserve">NTEP Quality Rating</w:t>
            </w:r>
          </w:p>
        </w:tc>
        <w:tc>
          <w:tcPr>
            <w:tcW w:type="dxa" w:w="1500"/>
          </w:tcPr>
          <w:p>
            <w:pPr>
              <w:jc w:val="center"/>
            </w:pPr>
            <w:r>
              <w:rPr>
                <w:color w:val="16A34A"/>
                <w:sz w:val="22"/>
                <w:szCs w:val="22"/>
              </w:rPr>
              <w:t xml:space="preserve">7.0</w:t>
            </w:r>
          </w:p>
        </w:tc>
        <w:tc>
          <w:tcPr>
            <w:tcW w:type="dxa" w:w="1000"/>
          </w:tcPr>
          <w:p>
            <w:pPr>
              <w:jc w:val="center"/>
            </w:pPr>
            <w:r>
              <w:rPr>
                <w:color w:val="6B7280"/>
                <w:sz w:val="22"/>
                <w:szCs w:val="22"/>
              </w:rPr>
              <w:t xml:space="preserve">1-9</w:t>
            </w:r>
          </w:p>
        </w:tc>
        <w:tc>
          <w:tcPr>
            <w:tcW w:type="dxa" w:w="3360"/>
          </w:tcPr>
          <w:p>
            <w:r>
              <w:rPr>
                <w:color w:val="16A34A"/>
                <w:sz w:val="22"/>
                <w:szCs w:val="22"/>
              </w:rPr>
              <w:t xml:space="preserve">Good</w:t>
            </w:r>
          </w:p>
        </w:tc>
      </w:tr>
    </w:tbl>
    <w:p>
      <w:pPr>
        <w:spacing w:after="200"/>
      </w:pPr>
    </w:p>
    <w:p>
      <w:pPr>
        <w:spacing w:before="150" w:after="100"/>
      </w:pPr>
      <w:r>
        <w:rPr>
          <w:b/>
          <w:bCs/>
          <w:color w:val="1F2937"/>
          <w:sz w:val="22"/>
          <w:szCs w:val="22"/>
        </w:rPr>
        <w:t xml:space="preserve">Performance Modifiers</w:t>
      </w:r>
    </w:p>
    <w:p>
      <w:pPr>
        <w:spacing w:after="120"/>
      </w:pPr>
      <w:r>
        <w:rPr>
          <w:color w:val="6B7280"/>
          <w:sz w:val="22"/>
          <w:szCs w:val="22"/>
        </w:rPr>
        <w:t xml:space="preserve">These modifiers adjust baseline species calculations in the Hub analysis:</w:t>
      </w:r>
    </w:p>
    <w:p>
      <w:pPr>
        <w:spacing w:after="60"/>
      </w:pPr>
      <w:r>
        <w:rPr>
          <w:color w:val="1F2937"/>
          <w:sz w:val="22"/>
          <w:szCs w:val="22"/>
        </w:rPr>
        <w:t xml:space="preserve">Wear Tolerance: </w:t>
      </w:r>
      <w:r>
        <w:rPr>
          <w:color w:val="CA8A04"/>
          <w:sz w:val="22"/>
          <w:szCs w:val="22"/>
        </w:rPr>
        <w:t xml:space="preserve">Average</w:t>
      </w:r>
      <w:r>
        <w:rPr>
          <w:color w:val="4B5563"/>
          <w:sz w:val="22"/>
          <w:szCs w:val="22"/>
        </w:rPr>
        <w:t xml:space="preserve">, Baseline for species</w:t>
      </w:r>
    </w:p>
    <w:p>
      <w:pPr>
        <w:spacing w:after="100"/>
        <w:ind w:left="360"/>
      </w:pPr>
      <w:r>
        <w:rPr>
          <w:i/>
          <w:iCs/>
          <w:color w:val="9CA3AF"/>
          <w:sz w:val="22"/>
          <w:szCs w:val="22"/>
        </w:rPr>
        <w:t xml:space="preserve">No verified trial data; fabricated value removed b35fix471</w:t>
      </w:r>
    </w:p>
    <w:p>
      <w:pPr>
        <w:spacing w:after="60"/>
      </w:pPr>
      <w:r>
        <w:rPr>
          <w:color w:val="1F2937"/>
          <w:sz w:val="22"/>
          <w:szCs w:val="22"/>
        </w:rPr>
        <w:t xml:space="preserve">Recovery Rate: </w:t>
      </w:r>
      <w:r>
        <w:rPr>
          <w:color w:val="CA8A04"/>
          <w:sz w:val="22"/>
          <w:szCs w:val="22"/>
        </w:rPr>
        <w:t xml:space="preserve">Average</w:t>
      </w:r>
      <w:r>
        <w:rPr>
          <w:color w:val="4B5563"/>
          <w:sz w:val="22"/>
          <w:szCs w:val="22"/>
        </w:rPr>
        <w:t xml:space="preserve">, 0% recovery rate</w:t>
      </w:r>
    </w:p>
    <w:p>
      <w:pPr>
        <w:spacing w:after="100"/>
        <w:ind w:left="360"/>
      </w:pPr>
      <w:r>
        <w:rPr>
          <w:i/>
          <w:iCs/>
          <w:color w:val="9CA3AF"/>
          <w:sz w:val="22"/>
          <w:szCs w:val="22"/>
        </w:rPr>
        <w:t xml:space="preserve">PGG Wrightson/Notman Pasture Seeds specifications</w:t>
      </w:r>
    </w:p>
    <w:p>
      <w:pPr>
        <w:spacing w:after="60"/>
      </w:pPr>
      <w:r>
        <w:rPr>
          <w:color w:val="1F2937"/>
          <w:sz w:val="22"/>
          <w:szCs w:val="22"/>
        </w:rPr>
        <w:t xml:space="preserve">Cold Tolerance: </w:t>
      </w:r>
      <w:r>
        <w:rPr>
          <w:color w:val="CA8A04"/>
          <w:sz w:val="22"/>
          <w:szCs w:val="22"/>
        </w:rPr>
        <w:t xml:space="preserve">Average</w:t>
      </w:r>
      <w:r>
        <w:rPr>
          <w:color w:val="4B5563"/>
          <w:sz w:val="22"/>
          <w:szCs w:val="22"/>
        </w:rPr>
        <w:t xml:space="preserve">, Baseline for species</w:t>
      </w:r>
    </w:p>
    <w:p>
      <w:pPr>
        <w:spacing w:after="100"/>
        <w:ind w:left="360"/>
      </w:pPr>
      <w:r>
        <w:rPr>
          <w:i/>
          <w:iCs/>
          <w:color w:val="9CA3AF"/>
          <w:sz w:val="22"/>
          <w:szCs w:val="22"/>
        </w:rPr>
        <w:t xml:space="preserve">No verified trial data; fabricated value removed b35fix471</w:t>
      </w:r>
    </w:p>
    <w:p>
      <w:pPr>
        <w:spacing w:after="150"/>
      </w:pPr>
    </w:p>
    <w:p>
      <w:pPr>
        <w:spacing w:before="150" w:after="100"/>
      </w:pPr>
      <w:r>
        <w:rPr>
          <w:b/>
          <w:bCs/>
          <w:color w:val="1F2937"/>
          <w:sz w:val="22"/>
          <w:szCs w:val="22"/>
        </w:rPr>
        <w:t xml:space="preserve">Disease Resistance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1360"/>
      </w:tblGrid>
      <w:tr>
        <w:trPr>
          <w:tblHeader/>
        </w:trPr>
        <w:tc>
          <w:tcPr>
            <w:tcW w:type="dxa" w:w="3000"/>
            <w:shd w:fill="E5E7EB" w:val="clear"/>
          </w:tcPr>
          <w:p>
            <w:r>
              <w:rPr>
                <w:b/>
                <w:bCs/>
                <w:sz w:val="22"/>
                <w:szCs w:val="22"/>
              </w:rPr>
              <w:t xml:space="preserve">Disease</w:t>
            </w:r>
          </w:p>
        </w:tc>
        <w:tc>
          <w:tcPr>
            <w:tcW w:type="dxa" w:w="2500"/>
            <w:shd w:fill="E5E7EB" w:val="clear"/>
          </w:tcPr>
          <w:p>
            <w:r>
              <w:rPr>
                <w:b/>
                <w:bCs/>
                <w:sz w:val="22"/>
                <w:szCs w:val="22"/>
              </w:rPr>
              <w:t xml:space="preserve">Resistance</w:t>
            </w:r>
          </w:p>
        </w:tc>
        <w:tc>
          <w:tcPr>
            <w:tcW w:type="dxa" w:w="2500"/>
            <w:shd w:fill="E5E7EB" w:val="clear"/>
          </w:tcPr>
          <w:p>
            <w:r>
              <w:rPr>
                <w:b/>
                <w:bCs/>
                <w:sz w:val="22"/>
                <w:szCs w:val="22"/>
              </w:rPr>
              <w:t xml:space="preserve">Risk Modifier</w:t>
            </w:r>
          </w:p>
        </w:tc>
        <w:tc>
          <w:tcPr>
            <w:tcW w:type="dxa" w:w="1360"/>
            <w:shd w:fill="E5E7EB" w:val="clear"/>
          </w:tcPr>
          <w:p>
            <w:pPr>
              <w:jc w:val="center"/>
            </w:pPr>
            <w:r>
              <w:rPr>
                <w:b/>
                <w:bCs/>
                <w:sz w:val="22"/>
                <w:szCs w:val="22"/>
              </w:rPr>
              <w:t xml:space="preserve">Confidence</w:t>
            </w:r>
          </w:p>
        </w:tc>
      </w:tr>
      <w:tr>
        <w:tc>
          <w:tcPr>
            <w:tcW w:type="dxa" w:w="3000"/>
          </w:tcPr>
          <w:p>
            <w:r>
              <w:rPr>
                <w:sz w:val="22"/>
                <w:szCs w:val="22"/>
              </w:rPr>
              <w:t xml:space="preserve">Fusarium (Microdochium)</w:t>
            </w:r>
          </w:p>
        </w:tc>
        <w:tc>
          <w:tcPr>
            <w:tcW w:type="dxa" w:w="2500"/>
          </w:tcPr>
          <w:p>
            <w:r>
              <w:rPr>
                <w:b/>
                <w:bCs/>
                <w:color w:val="DC2626"/>
                <w:sz w:val="22"/>
                <w:szCs w:val="22"/>
              </w:rPr>
              <w:t xml:space="preserve">Susceptible</w:t>
            </w:r>
          </w:p>
        </w:tc>
        <w:tc>
          <w:tcPr>
            <w:tcW w:type="dxa" w:w="2500"/>
          </w:tcPr>
          <w:p>
            <w:r>
              <w:rPr>
                <w:color w:val="DC2626"/>
                <w:sz w:val="22"/>
                <w:szCs w:val="22"/>
              </w:rPr>
              <w:t xml:space="preserve">12% higher risk</w:t>
            </w:r>
          </w:p>
        </w:tc>
        <w:tc>
          <w:tcPr>
            <w:tcW w:type="dxa" w:w="1360"/>
          </w:tcPr>
          <w:p>
            <w:pPr>
              <w:jc w:val="center"/>
            </w:pPr>
            <w:r>
              <w:rPr>
                <w:color w:val="6B7280"/>
                <w:sz w:val="22"/>
                <w:szCs w:val="22"/>
              </w:rPr>
              <w:t xml:space="preserve">medium</w:t>
            </w:r>
          </w:p>
        </w:tc>
      </w:tr>
      <w:tr>
        <w:tc>
          <w:tcPr>
            <w:tcW w:type="dxa" w:w="3000"/>
          </w:tcPr>
          <w:p>
            <w:r>
              <w:rPr>
                <w:sz w:val="22"/>
                <w:szCs w:val="22"/>
              </w:rPr>
              <w:t xml:space="preserve">Dollar Spot</w:t>
            </w:r>
          </w:p>
        </w:tc>
        <w:tc>
          <w:tcPr>
            <w:tcW w:type="dxa" w:w="2500"/>
          </w:tcPr>
          <w:p>
            <w:r>
              <w:rPr>
                <w:b/>
                <w:bCs/>
                <w:color w:val="CA8A04"/>
                <w:sz w:val="22"/>
                <w:szCs w:val="22"/>
              </w:rPr>
              <w:t xml:space="preserve">Average</w:t>
            </w:r>
          </w:p>
        </w:tc>
        <w:tc>
          <w:tcPr>
            <w:tcW w:type="dxa" w:w="2500"/>
          </w:tcPr>
          <w:p>
            <w:r>
              <w:rPr>
                <w:color w:val="CA8A04"/>
                <w:sz w:val="22"/>
                <w:szCs w:val="22"/>
              </w:rPr>
              <w:t xml:space="preserve">0% higher risk</w:t>
            </w:r>
          </w:p>
        </w:tc>
        <w:tc>
          <w:tcPr>
            <w:tcW w:type="dxa" w:w="1360"/>
          </w:tcPr>
          <w:p>
            <w:pPr>
              <w:jc w:val="center"/>
            </w:pPr>
            <w:r>
              <w:rPr>
                <w:color w:val="6B7280"/>
                <w:sz w:val="22"/>
                <w:szCs w:val="22"/>
              </w:rPr>
              <w:t xml:space="preserve">medium</w:t>
            </w:r>
          </w:p>
        </w:tc>
      </w:tr>
      <w:tr>
        <w:tc>
          <w:tcPr>
            <w:tcW w:type="dxa" w:w="3000"/>
          </w:tcPr>
          <w:p>
            <w:r>
              <w:rPr>
                <w:sz w:val="22"/>
                <w:szCs w:val="22"/>
              </w:rPr>
              <w:t xml:space="preserve">Take-all Patch</w:t>
            </w:r>
          </w:p>
        </w:tc>
        <w:tc>
          <w:tcPr>
            <w:tcW w:type="dxa" w:w="2500"/>
          </w:tcPr>
          <w:p>
            <w:r>
              <w:rPr>
                <w:b/>
                <w:bCs/>
                <w:color w:val="CA8A04"/>
                <w:sz w:val="22"/>
                <w:szCs w:val="22"/>
              </w:rPr>
              <w:t xml:space="preserve">Average</w:t>
            </w:r>
          </w:p>
        </w:tc>
        <w:tc>
          <w:tcPr>
            <w:tcW w:type="dxa" w:w="2500"/>
          </w:tcPr>
          <w:p>
            <w:r>
              <w:rPr>
                <w:color w:val="CA8A04"/>
                <w:sz w:val="22"/>
                <w:szCs w:val="22"/>
              </w:rPr>
              <w:t xml:space="preserve">0% higher risk</w:t>
            </w:r>
          </w:p>
        </w:tc>
        <w:tc>
          <w:tcPr>
            <w:tcW w:type="dxa" w:w="1360"/>
          </w:tcPr>
          <w:p>
            <w:pPr>
              <w:jc w:val="center"/>
            </w:pPr>
            <w:r>
              <w:rPr>
                <w:color w:val="6B7280"/>
                <w:sz w:val="22"/>
                <w:szCs w:val="22"/>
              </w:rPr>
              <w:t xml:space="preserve">low</w:t>
            </w:r>
          </w:p>
        </w:tc>
      </w:tr>
      <w:tr>
        <w:tc>
          <w:tcPr>
            <w:tcW w:type="dxa" w:w="3000"/>
          </w:tcPr>
          <w:p>
            <w:r>
              <w:rPr>
                <w:sz w:val="22"/>
                <w:szCs w:val="22"/>
              </w:rPr>
              <w:t xml:space="preserve">Anthracnose</w:t>
            </w:r>
          </w:p>
        </w:tc>
        <w:tc>
          <w:tcPr>
            <w:tcW w:type="dxa" w:w="2500"/>
          </w:tcPr>
          <w:p>
            <w:r>
              <w:rPr>
                <w:b/>
                <w:bCs/>
                <w:color w:val="CA8A04"/>
                <w:sz w:val="22"/>
                <w:szCs w:val="22"/>
              </w:rPr>
              <w:t xml:space="preserve">Average</w:t>
            </w:r>
          </w:p>
        </w:tc>
        <w:tc>
          <w:tcPr>
            <w:tcW w:type="dxa" w:w="2500"/>
          </w:tcPr>
          <w:p>
            <w:r>
              <w:rPr>
                <w:color w:val="CA8A04"/>
                <w:sz w:val="22"/>
                <w:szCs w:val="22"/>
              </w:rPr>
              <w:t xml:space="preserve">5% lower risk</w:t>
            </w:r>
          </w:p>
        </w:tc>
        <w:tc>
          <w:tcPr>
            <w:tcW w:type="dxa" w:w="1360"/>
          </w:tcPr>
          <w:p>
            <w:pPr>
              <w:jc w:val="center"/>
            </w:pPr>
            <w:r>
              <w:rPr>
                <w:color w:val="6B7280"/>
                <w:sz w:val="22"/>
                <w:szCs w:val="22"/>
              </w:rPr>
              <w:t xml:space="preserve">low</w:t>
            </w:r>
          </w:p>
        </w:tc>
      </w:tr>
    </w:tbl>
    <w:p/>
    <w:p>
      <w:r>
        <w:br w:type="page"/>
      </w:r>
    </w:p>
    <w:p>
      <w:pPr>
        <w:spacing w:after="100"/>
      </w:pPr>
      <w:r>
        <w:rPr>
          <w:b/>
          <w:bCs/>
          <w:color w:val="1F2937"/>
          <w:sz w:val="28"/>
          <w:szCs w:val="28"/>
        </w:rPr>
        <w:t xml:space="preserve">Russley Golf Club</w:t>
      </w:r>
      <w:r>
        <w:rPr>
          <w:color w:val="9CA3AF"/>
          <w:sz w:val="28"/>
          <w:szCs w:val="28"/>
        </w:rPr>
        <w:t xml:space="preserve"> ,  </w:t>
      </w:r>
      <w:r>
        <w:rPr>
          <w:b/>
          <w:bCs/>
          <w:color w:val="374151"/>
          <w:sz w:val="28"/>
          <w:szCs w:val="28"/>
        </w:rPr>
        <w:t xml:space="preserve">Green 18</w:t>
      </w:r>
    </w:p>
    <w:p>
      <w:pPr>
        <w:spacing w:after="200"/>
      </w:pPr>
      <w:r>
        <w:rPr>
          <w:color w:val="9CA3AF"/>
          <w:sz w:val="22"/>
          <w:szCs w:val="22"/>
        </w:rPr>
        <w:t xml:space="preserve">Report 2 of 3</w:t>
      </w:r>
    </w:p>
    <w:p>
      <w:pPr>
        <w:spacing w:after="200"/>
      </w:pPr>
      <w:r>
        <w:rPr>
          <w:i/>
          <w:iCs/>
          <w:color w:val="6B7280"/>
          <w:sz w:val="22"/>
          <w:szCs w:val="22"/>
        </w:rPr>
        <w:t xml:space="preserve">Recommendations based on latest sample: Green 18 (2026-07-06). </w:t>
      </w:r>
      <w:r>
        <w:rPr>
          <w:i/>
          <w:iCs/>
          <w:color w:val="6B7280"/>
          <w:sz w:val="22"/>
          <w:szCs w:val="22"/>
        </w:rPr>
        <w:t xml:space="preserve">1 prior sample for this zone (2025-07-06) informs the Nutrient Trend Analysis section.</w:t>
      </w:r>
    </w:p>
    <w:p>
      <w:pPr>
        <w:pStyle w:val="Heading1"/>
        <w:keepNext/>
      </w:pPr>
      <w:r>
        <w:t xml:space="preserve">Priority Actions</w:t>
      </w:r>
    </w:p>
    <w:p>
      <w:pPr>
        <w:pBdr>
          <w:left w:val="single" w:color="F59E0B" w:sz="24"/>
        </w:pBdr>
        <w:shd w:fill="FFFBEB" w:val="clear"/>
        <w:spacing w:before="100" w:after="50"/>
      </w:pPr>
      <w:r>
        <w:rPr>
          <w:b/>
          <w:bCs/>
          <w:color w:val="F59E0B"/>
          <w:sz w:val="22"/>
          <w:szCs w:val="22"/>
        </w:rPr>
        <w:t xml:space="preserve">SHORT-TERM (7-30 days)</w:t>
      </w:r>
    </w:p>
    <w:p>
      <w:pPr>
        <w:spacing w:before="50" w:after="50"/>
        <w:ind w:left="400"/>
      </w:pPr>
      <w:r>
        <w:rPr>
          <w:sz w:val="22"/>
          <w:szCs w:val="22"/>
        </w:rPr>
        <w:t xml:space="preserve">• Tissue N below Browntop Bent (Greens) sufficiency (3%) - increase N program or apply foliar N.</w:t>
      </w:r>
    </w:p>
    <w:p/>
    <w:p>
      <w:pPr>
        <w:spacing w:before="200" w:after="200"/>
      </w:pPr>
      <w:r>
        <w:rPr>
          <w:i/>
          <w:iCs/>
          <w:color w:val="4B5563"/>
          <w:sz w:val="22"/>
          <w:szCs w:val="22"/>
        </w:rPr>
        <w:t xml:space="preserve">Live disease pressure, irrigation status, and pre-emergent timing update against current weather in the GAIP Hub dashboard. This export captures soil chemistry and recommendations only.</w:t>
      </w:r>
    </w:p>
    <w:p>
      <w:pPr>
        <w:pStyle w:val="Heading1"/>
        <w:keepNext/>
      </w:pPr>
      <w:r>
        <w:t xml:space="preserve">Soil Nutrition (AMMONIUM_ACETATE), Green 18</w:t>
      </w:r>
    </w:p>
    <w:p>
      <w:pPr>
        <w:spacing w:after="60"/>
      </w:pPr>
      <w:r>
        <w:rPr>
          <w:i/>
          <w:iCs/>
          <w:color w:val="6B7280"/>
          <w:sz w:val="22"/>
          <w:szCs w:val="22"/>
        </w:rPr>
        <w:t xml:space="preserve">Sampled: 6 Jul 2026  •  Browntop Bent (Greens)</w:t>
      </w:r>
    </w:p>
    <w:p>
      <w:pPr>
        <w:spacing w:after="60"/>
      </w:pPr>
      <w:r>
        <w:rPr>
          <w:b/>
          <w:bCs/>
          <w:color w:val="6B7280"/>
          <w:sz w:val="22"/>
          <w:szCs w:val="22"/>
        </w:rPr>
        <w:t xml:space="preserve">Extraction Method: </w:t>
      </w:r>
      <w:r>
        <w:rPr>
          <w:color w:val="374151"/>
          <w:sz w:val="22"/>
          <w:szCs w:val="22"/>
        </w:rPr>
        <w:t xml:space="preserve">Hill Labs NZ Method – TURF Ryegrass, Sand (S277)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pH</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4.9</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Phosphorus (P)</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20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Potassium (K)</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156.4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Calcium (Ca)</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220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Magnesium (Mg)</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40.1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Organic Matter</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4.6%</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CEC</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5 meq/100g</w:t>
            </w:r>
          </w:p>
        </w:tc>
      </w:tr>
    </w:tbl>
    <w:p>
      <w:pPr>
        <w:spacing w:before="300" w:after="100"/>
      </w:pPr>
      <w:r>
        <w:rPr>
          <w:b/>
          <w:bCs/>
          <w:sz w:val="22"/>
          <w:szCs w:val="22"/>
        </w:rPr>
        <w:t xml:space="preserve">Interpretation Framework Comparison</w:t>
      </w:r>
    </w:p>
    <w:p>
      <w:pPr>
        <w:spacing w:after="150"/>
      </w:pPr>
      <w:r>
        <w:rPr>
          <w:i/>
          <w:iCs/>
          <w:color w:val="4B5563"/>
          <w:sz w:val="22"/>
          <w:szCs w:val="22"/>
        </w:rPr>
        <w:t xml:space="preserve">This sample was extracted using the Ammonium Acetate (NH₄OAc pH 8.1) + Olsen P method (Hill Laboratories NZ). MLSN and SLAN guidelines are calibrated for Mehlich-3 extraction and cannot be directly applied to Ammonium Acetate results. The table below shows the three frameworks side by side so you can see how they differ in philosophy and threshold basis.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1400"/>
        <w:gridCol w:w="1600"/>
      </w:tblGrid>
      <w:tr>
        <w:trPr>
          <w:tblHeader/>
        </w:trPr>
        <w:tc>
          <w:tcPr>
            <w:tcW w:type="dxa" w:w="1800"/>
            <w:tcBorders>
              <w:top w:val="single" w:color="E5E7EB" w:sz="1"/>
              <w:left w:val="single" w:color="E5E7EB" w:sz="1"/>
              <w:bottom w:val="single" w:color="E5E7EB" w:sz="1"/>
              <w:right w:val="single" w:color="E5E7EB" w:sz="1"/>
            </w:tcBorders>
            <w:shd w:fill="F3F4F6" w:val="clear"/>
          </w:tcPr>
          <w:p>
            <w:r>
              <w:rPr>
                <w:b/>
                <w:bCs/>
                <w:sz w:val="22"/>
                <w:szCs w:val="22"/>
              </w:rPr>
              <w:t xml:space="preserve">Framework</w:t>
            </w:r>
          </w:p>
        </w:tc>
        <w:tc>
          <w:tcPr>
            <w:tcW w:type="dxa" w:w="2200"/>
            <w:tcBorders>
              <w:top w:val="single" w:color="E5E7EB" w:sz="1"/>
              <w:left w:val="single" w:color="E5E7EB" w:sz="1"/>
              <w:bottom w:val="single" w:color="E5E7EB" w:sz="1"/>
              <w:right w:val="single" w:color="E5E7EB" w:sz="1"/>
            </w:tcBorders>
            <w:shd w:fill="F3F4F6" w:val="clear"/>
          </w:tcPr>
          <w:p>
            <w:r>
              <w:rPr>
                <w:b/>
                <w:bCs/>
                <w:sz w:val="22"/>
                <w:szCs w:val="22"/>
              </w:rPr>
              <w:t xml:space="preserve">Extractant</w:t>
            </w:r>
          </w:p>
        </w:tc>
        <w:tc>
          <w:tcPr>
            <w:tcW w:type="dxa" w:w="2400"/>
            <w:tcBorders>
              <w:top w:val="single" w:color="E5E7EB" w:sz="1"/>
              <w:left w:val="single" w:color="E5E7EB" w:sz="1"/>
              <w:bottom w:val="single" w:color="E5E7EB" w:sz="1"/>
              <w:right w:val="single" w:color="E5E7EB" w:sz="1"/>
            </w:tcBorders>
            <w:shd w:fill="F3F4F6" w:val="clear"/>
          </w:tcPr>
          <w:p>
            <w:r>
              <w:rPr>
                <w:b/>
                <w:bCs/>
                <w:sz w:val="22"/>
                <w:szCs w:val="22"/>
              </w:rPr>
              <w:t xml:space="preserve">Philosophy</w:t>
            </w:r>
          </w:p>
        </w:tc>
        <w:tc>
          <w:tcPr>
            <w:tcW w:type="dxa" w:w="1400"/>
            <w:tcBorders>
              <w:top w:val="single" w:color="E5E7EB" w:sz="1"/>
              <w:left w:val="single" w:color="E5E7EB" w:sz="1"/>
              <w:bottom w:val="single" w:color="E5E7EB" w:sz="1"/>
              <w:right w:val="single" w:color="E5E7EB" w:sz="1"/>
            </w:tcBorders>
            <w:shd w:fill="F3F4F6" w:val="clear"/>
          </w:tcPr>
          <w:p>
            <w:r>
              <w:rPr>
                <w:b/>
                <w:bCs/>
                <w:sz w:val="22"/>
                <w:szCs w:val="22"/>
              </w:rPr>
              <w:t xml:space="preserve">AU/NZ/UK use</w:t>
            </w:r>
          </w:p>
        </w:tc>
        <w:tc>
          <w:tcPr>
            <w:tcW w:type="dxa" w:w="1600"/>
            <w:tcBorders>
              <w:top w:val="single" w:color="E5E7EB" w:sz="1"/>
              <w:left w:val="single" w:color="E5E7EB" w:sz="1"/>
              <w:bottom w:val="single" w:color="E5E7EB" w:sz="1"/>
              <w:right w:val="single" w:color="E5E7EB" w:sz="1"/>
            </w:tcBorders>
            <w:shd w:fill="F3F4F6" w:val="clear"/>
          </w:tcPr>
          <w:p>
            <w:r>
              <w:rPr>
                <w:b/>
                <w:bCs/>
                <w:sz w:val="22"/>
                <w:szCs w:val="22"/>
              </w:rPr>
              <w:t xml:space="preserve">Compatible with this sample?</w:t>
            </w:r>
          </w:p>
        </w:tc>
      </w:tr>
      <w:tr>
        <w:tc>
          <w:tcPr>
            <w:tcW w:type="dxa" w:w="1800"/>
            <w:tcBorders>
              <w:top w:val="single" w:color="E5E7EB" w:sz="1"/>
              <w:left w:val="single" w:color="E5E7EB" w:sz="1"/>
              <w:bottom w:val="single" w:color="E5E7EB" w:sz="1"/>
              <w:right w:val="single" w:color="E5E7EB" w:sz="1"/>
            </w:tcBorders>
            <w:shd w:fill="F0FDF4" w:val="clear"/>
          </w:tcPr>
          <w:p>
            <w:r>
              <w:rPr>
                <w:b/>
                <w:bCs/>
                <w:color w:val="166534"/>
                <w:sz w:val="22"/>
                <w:szCs w:val="22"/>
              </w:rPr>
              <w:t xml:space="preserve">Ammonium Acetate (Hill Labs NZ)</w:t>
            </w:r>
          </w:p>
        </w:tc>
        <w:tc>
          <w:tcPr>
            <w:tcW w:type="dxa" w:w="2200"/>
            <w:tcBorders>
              <w:top w:val="single" w:color="E5E7EB" w:sz="1"/>
              <w:left w:val="single" w:color="E5E7EB" w:sz="1"/>
              <w:bottom w:val="single" w:color="E5E7EB" w:sz="1"/>
              <w:right w:val="single" w:color="E5E7EB" w:sz="1"/>
            </w:tcBorders>
            <w:shd w:fill="F0FDF4" w:val="clear"/>
          </w:tcPr>
          <w:p>
            <w:r>
              <w:rPr>
                <w:sz w:val="22"/>
                <w:szCs w:val="22"/>
              </w:rPr>
              <w:t xml:space="preserve">NH₄OAc pH 8.1 (cations) + Olsen P (NaHCO₃)</w:t>
            </w:r>
          </w:p>
        </w:tc>
        <w:tc>
          <w:tcPr>
            <w:tcW w:type="dxa" w:w="2400"/>
            <w:tcBorders>
              <w:top w:val="single" w:color="E5E7EB" w:sz="1"/>
              <w:left w:val="single" w:color="E5E7EB" w:sz="1"/>
              <w:bottom w:val="single" w:color="E5E7EB" w:sz="1"/>
              <w:right w:val="single" w:color="E5E7EB" w:sz="1"/>
            </w:tcBorders>
            <w:shd w:fill="F0FDF4" w:val="clear"/>
          </w:tcPr>
          <w:p>
            <w:r>
              <w:rPr>
                <w:sz w:val="22"/>
                <w:szCs w:val="22"/>
              </w:rPr>
              <w:t xml:space="preserve">Exchangeable cation pool. Sufficiency ranges calibrated for NZ soils. Industry standard in NZ and widely used in Australia.</w:t>
            </w:r>
          </w:p>
        </w:tc>
        <w:tc>
          <w:tcPr>
            <w:tcW w:type="dxa" w:w="1400"/>
            <w:tcBorders>
              <w:top w:val="single" w:color="E5E7EB" w:sz="1"/>
              <w:left w:val="single" w:color="E5E7EB" w:sz="1"/>
              <w:bottom w:val="single" w:color="E5E7EB" w:sz="1"/>
              <w:right w:val="single" w:color="E5E7EB" w:sz="1"/>
            </w:tcBorders>
            <w:shd w:fill="F0FDF4" w:val="clear"/>
          </w:tcPr>
          <w:p>
            <w:r>
              <w:rPr>
                <w:sz w:val="22"/>
                <w:szCs w:val="22"/>
              </w:rPr>
              <w:t xml:space="preserve">Standard in NZ; common in AU</w:t>
            </w:r>
          </w:p>
        </w:tc>
        <w:tc>
          <w:tcPr>
            <w:tcW w:type="dxa" w:w="1600"/>
            <w:tcBorders>
              <w:top w:val="single" w:color="E5E7EB" w:sz="1"/>
              <w:left w:val="single" w:color="E5E7EB" w:sz="1"/>
              <w:bottom w:val="single" w:color="E5E7EB" w:sz="1"/>
              <w:right w:val="single" w:color="E5E7EB" w:sz="1"/>
            </w:tcBorders>
            <w:shd w:fill="F0FDF4" w:val="clear"/>
          </w:tcPr>
          <w:p>
            <w:r>
              <w:rPr>
                <w:b/>
                <w:bCs/>
                <w:sz w:val="22"/>
                <w:szCs w:val="22"/>
              </w:rPr>
              <w:t xml:space="preserve">✅ Yes, this report</w:t>
            </w:r>
          </w:p>
        </w:tc>
      </w:tr>
      <w:tr>
        <w:tc>
          <w:tcPr>
            <w:tcW w:type="dxa" w:w="1800"/>
            <w:tcBorders>
              <w:top w:val="single" w:color="E5E7EB" w:sz="1"/>
              <w:left w:val="single" w:color="E5E7EB" w:sz="1"/>
              <w:bottom w:val="single" w:color="E5E7EB" w:sz="1"/>
              <w:right w:val="single" w:color="E5E7EB" w:sz="1"/>
            </w:tcBorders>
            <w:shd w:fill="FEF2F2" w:val="clear"/>
          </w:tcPr>
          <w:p>
            <w:r>
              <w:rPr>
                <w:b/>
                <w:bCs/>
                <w:color w:val="DC2626"/>
                <w:sz w:val="22"/>
                <w:szCs w:val="22"/>
              </w:rPr>
              <w:t xml:space="preserve">MLSN (Woods et al. 2016)</w:t>
            </w:r>
          </w:p>
        </w:tc>
        <w:tc>
          <w:tcPr>
            <w:tcW w:type="dxa" w:w="2200"/>
            <w:tcBorders>
              <w:top w:val="single" w:color="E5E7EB" w:sz="1"/>
              <w:left w:val="single" w:color="E5E7EB" w:sz="1"/>
              <w:bottom w:val="single" w:color="E5E7EB" w:sz="1"/>
              <w:right w:val="single" w:color="E5E7EB" w:sz="1"/>
            </w:tcBorders>
            <w:shd w:fill="FEF2F2" w:val="clear"/>
          </w:tcPr>
          <w:p>
            <w:r>
              <w:rPr>
                <w:sz w:val="22"/>
                <w:szCs w:val="22"/>
              </w:rPr>
              <w:t xml:space="preserve">Mehlich-3</w:t>
            </w:r>
          </w:p>
        </w:tc>
        <w:tc>
          <w:tcPr>
            <w:tcW w:type="dxa" w:w="2400"/>
            <w:tcBorders>
              <w:top w:val="single" w:color="E5E7EB" w:sz="1"/>
              <w:left w:val="single" w:color="E5E7EB" w:sz="1"/>
              <w:bottom w:val="single" w:color="E5E7EB" w:sz="1"/>
              <w:right w:val="single" w:color="E5E7EB" w:sz="1"/>
            </w:tcBorders>
            <w:shd w:fill="FEF2F2" w:val="clear"/>
          </w:tcPr>
          <w:p>
            <w:r>
              <w:rPr>
                <w:sz w:val="22"/>
                <w:szCs w:val="22"/>
              </w:rPr>
              <w:t xml:space="preserve">Minimum threshold below which deficiency becomes likely. Conservative, avoids over-fertilisation. Used globally in precision turf management. First introduced 2012; canonical published guidelines Woods, Stowell &amp; Gelernter (2016) PeerJ Preprints 4:e2144v1.</w:t>
            </w:r>
          </w:p>
        </w:tc>
        <w:tc>
          <w:tcPr>
            <w:tcW w:type="dxa" w:w="1400"/>
            <w:tcBorders>
              <w:top w:val="single" w:color="E5E7EB" w:sz="1"/>
              <w:left w:val="single" w:color="E5E7EB" w:sz="1"/>
              <w:bottom w:val="single" w:color="E5E7EB" w:sz="1"/>
              <w:right w:val="single" w:color="E5E7EB" w:sz="1"/>
            </w:tcBorders>
            <w:shd w:fill="FEF2F2" w:val="clear"/>
          </w:tcPr>
          <w:p>
            <w:r>
              <w:rPr>
                <w:sz w:val="22"/>
                <w:szCs w:val="22"/>
              </w:rPr>
              <w:t xml:space="preserve">AU/NZ: values not directly applicable to AA data</w:t>
            </w:r>
          </w:p>
        </w:tc>
        <w:tc>
          <w:tcPr>
            <w:tcW w:type="dxa" w:w="1600"/>
            <w:tcBorders>
              <w:top w:val="single" w:color="E5E7EB" w:sz="1"/>
              <w:left w:val="single" w:color="E5E7EB" w:sz="1"/>
              <w:bottom w:val="single" w:color="E5E7EB" w:sz="1"/>
              <w:right w:val="single" w:color="E5E7EB" w:sz="1"/>
            </w:tcBorders>
            <w:shd w:fill="FEF2F2" w:val="clear"/>
          </w:tcPr>
          <w:p>
            <w:r>
              <w:rPr>
                <w:b/>
                <w:bCs/>
                <w:sz w:val="22"/>
                <w:szCs w:val="22"/>
              </w:rPr>
              <w:t xml:space="preserve">❌ No, extractant mismatch</w:t>
            </w:r>
          </w:p>
        </w:tc>
      </w:tr>
      <w:tr>
        <w:tc>
          <w:tcPr>
            <w:tcW w:type="dxa" w:w="1800"/>
            <w:tcBorders>
              <w:top w:val="single" w:color="E5E7EB" w:sz="1"/>
              <w:left w:val="single" w:color="E5E7EB" w:sz="1"/>
              <w:bottom w:val="single" w:color="E5E7EB" w:sz="1"/>
              <w:right w:val="single" w:color="E5E7EB" w:sz="1"/>
            </w:tcBorders>
            <w:shd w:fill="FFFBEB" w:val="clear"/>
          </w:tcPr>
          <w:p>
            <w:r>
              <w:rPr>
                <w:b/>
                <w:bCs/>
                <w:color w:val="92400E"/>
                <w:sz w:val="22"/>
                <w:szCs w:val="22"/>
              </w:rPr>
              <w:t xml:space="preserve">SLAN (Carrow et al. 2004)</w:t>
            </w:r>
          </w:p>
        </w:tc>
        <w:tc>
          <w:tcPr>
            <w:tcW w:type="dxa" w:w="2200"/>
            <w:tcBorders>
              <w:top w:val="single" w:color="E5E7EB" w:sz="1"/>
              <w:left w:val="single" w:color="E5E7EB" w:sz="1"/>
              <w:bottom w:val="single" w:color="E5E7EB" w:sz="1"/>
              <w:right w:val="single" w:color="E5E7EB" w:sz="1"/>
            </w:tcBorders>
            <w:shd w:fill="FFFBEB" w:val="clear"/>
          </w:tcPr>
          <w:p>
            <w:r>
              <w:rPr>
                <w:sz w:val="22"/>
                <w:szCs w:val="22"/>
              </w:rPr>
              <w:t xml:space="preserve">Mehlich-3</w:t>
            </w:r>
          </w:p>
        </w:tc>
        <w:tc>
          <w:tcPr>
            <w:tcW w:type="dxa" w:w="2400"/>
            <w:tcBorders>
              <w:top w:val="single" w:color="E5E7EB" w:sz="1"/>
              <w:left w:val="single" w:color="E5E7EB" w:sz="1"/>
              <w:bottom w:val="single" w:color="E5E7EB" w:sz="1"/>
              <w:right w:val="single" w:color="E5E7EB" w:sz="1"/>
            </w:tcBorders>
            <w:shd w:fill="FFFBEB" w:val="clear"/>
          </w:tcPr>
          <w:p>
            <w:r>
              <w:rPr>
                <w:sz w:val="22"/>
                <w:szCs w:val="22"/>
              </w:rPr>
              <w:t xml:space="preserve">Sufficiency range, target band above minimum. Higher thresholds than MLSN. Based on agronomic optimum rather than minimum viable level. Canonical published ranges Carrow, Stowell, Gelernter, Davis, Duncan &amp; Skorulski (2004) GCM 72(1):194-198.</w:t>
            </w:r>
          </w:p>
        </w:tc>
        <w:tc>
          <w:tcPr>
            <w:tcW w:type="dxa" w:w="1400"/>
            <w:tcBorders>
              <w:top w:val="single" w:color="E5E7EB" w:sz="1"/>
              <w:left w:val="single" w:color="E5E7EB" w:sz="1"/>
              <w:bottom w:val="single" w:color="E5E7EB" w:sz="1"/>
              <w:right w:val="single" w:color="E5E7EB" w:sz="1"/>
            </w:tcBorders>
            <w:shd w:fill="FFFBEB" w:val="clear"/>
          </w:tcPr>
          <w:p>
            <w:r>
              <w:rPr>
                <w:sz w:val="22"/>
                <w:szCs w:val="22"/>
              </w:rPr>
              <w:t xml:space="preserve">AU/NZ: values not directly applicable to AA data</w:t>
            </w:r>
          </w:p>
        </w:tc>
        <w:tc>
          <w:tcPr>
            <w:tcW w:type="dxa" w:w="1600"/>
            <w:tcBorders>
              <w:top w:val="single" w:color="E5E7EB" w:sz="1"/>
              <w:left w:val="single" w:color="E5E7EB" w:sz="1"/>
              <w:bottom w:val="single" w:color="E5E7EB" w:sz="1"/>
              <w:right w:val="single" w:color="E5E7EB" w:sz="1"/>
            </w:tcBorders>
            <w:shd w:fill="FFFBEB" w:val="clear"/>
          </w:tcPr>
          <w:p>
            <w:r>
              <w:rPr>
                <w:b/>
                <w:bCs/>
                <w:sz w:val="22"/>
                <w:szCs w:val="22"/>
              </w:rPr>
              <w:t xml:space="preserve">❌ No, extractant mismatch</w:t>
            </w:r>
          </w:p>
        </w:tc>
      </w:tr>
    </w:tbl>
    <w:p>
      <w:pPr>
        <w:spacing w:before="120" w:after="80"/>
      </w:pPr>
      <w:r>
        <w:rPr>
          <w:i/>
          <w:iCs/>
          <w:color w:val="6B7280"/>
          <w:sz w:val="20"/>
          <w:szCs w:val="20"/>
        </w:rPr>
        <w:t xml:space="preserve">Note: If Mehlich-3 results are available for this site, contact your agronomist to run the full MLSN/SLAN dual comparison. Approximate conversion factors exist (e.g. Mehlich-3 K ≈ 1.1× AA K) but introduce error and are not recommended for formal recommendations.</w:t>
      </w:r>
    </w:p>
    <w:p/>
    <w:p>
      <w:pPr>
        <w:spacing w:before="120" w:after="120"/>
        <w:jc w:val="center"/>
      </w:pPr>
      <w:r>
        <w:drawing>
          <wp:inline distT="0" distB="0" distL="0" distR="0">
            <wp:extent cx="5334000" cy="2133600"/>
            <wp:effectExtent t="0" r="0" b="0" l="0"/>
            <wp:docPr id="6" name="chart_soil_3" descr="GAIP soil analysis chart" title="soil 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3" cstate="none"/>
                    <a:srcRect/>
                    <a:stretch>
                      <a:fillRect/>
                    </a:stretch>
                  </pic:blipFill>
                  <pic:spPr bwMode="auto">
                    <a:xfrm>
                      <a:off x="0" y="0"/>
                      <a:ext cx="5334000" cy="2133600"/>
                    </a:xfrm>
                    <a:prstGeom prst="rect">
                      <a:avLst/>
                    </a:prstGeom>
                  </pic:spPr>
                </pic:pic>
              </a:graphicData>
            </a:graphic>
          </wp:inline>
        </w:drawing>
      </w:r>
    </w:p>
    <w:p>
      <w:pPr>
        <w:spacing w:before="200" w:after="100"/>
      </w:pPr>
      <w:r>
        <w:rPr>
          <w:b/>
          <w:bCs/>
          <w:sz w:val="22"/>
          <w:szCs w:val="22"/>
        </w:rPr>
        <w:t xml:space="preserve">pH and CEC Context</w:t>
      </w:r>
    </w:p>
    <w:p>
      <w:pPr>
        <w:spacing w:before="150" w:after="50"/>
      </w:pPr>
      <w:r>
        <w:rPr>
          <w:sz w:val="22"/>
          <w:szCs w:val="22"/>
        </w:rPr>
        <w:t xml:space="preserve">Soil pH: 4.9</w:t>
      </w:r>
    </w:p>
    <w:p>
      <w:pPr>
        <w:spacing w:after="80"/>
        <w:ind w:left="200"/>
      </w:pPr>
      <w:r>
        <w:rPr>
          <w:color w:val="374151"/>
          <w:sz w:val="22"/>
          <w:szCs w:val="22"/>
        </w:rPr>
        <w:t xml:space="preserve">Browntop Bent pH requirements: </w:t>
      </w:r>
      <w:r>
        <w:rPr>
          <w:color w:val="6B7280"/>
          <w:sz w:val="22"/>
          <w:szCs w:val="22"/>
        </w:rPr>
        <w:t xml:space="preserve">Optimal 5.5–6.5 | Tolerance 5–7</w:t>
      </w:r>
      <w:r>
        <w:rPr>
          <w:color w:val="059669"/>
          <w:sz w:val="22"/>
          <w:szCs w:val="22"/>
        </w:rPr>
        <w:t xml:space="preserve"> | Acid-tolerant</w:t>
      </w:r>
      <w:r/>
    </w:p>
    <w:p>
      <w:pPr>
        <w:spacing w:before="150" w:after="50"/>
      </w:pPr>
      <w:r>
        <w:rPr>
          <w:sz w:val="22"/>
          <w:szCs w:val="22"/>
        </w:rPr>
        <w:t xml:space="preserve">Cation Exchange Capacity: 5 meq/100g</w:t>
      </w:r>
    </w:p>
    <w:p>
      <w:pPr>
        <w:spacing w:after="100"/>
        <w:ind w:left="200"/>
      </w:pPr>
      <w:r>
        <w:rPr>
          <w:color w:val="4B5563"/>
          <w:sz w:val="22"/>
          <w:szCs w:val="22"/>
        </w:rPr>
        <w:t xml:space="preserve">Soil pH (4.9) is below the tolerance range for Browntop Bent (5–7). At this level, aluminium and manganese can become toxic to roots, while phosphorus availability is severely restricted. This species will experience significant stress.</w:t>
      </w:r>
    </w:p>
    <w:p>
      <w:pPr>
        <w:spacing w:after="100"/>
        <w:ind w:left="200"/>
      </w:pPr>
      <w:r>
        <w:rPr>
          <w:color w:val="4B5563"/>
          <w:sz w:val="22"/>
          <w:szCs w:val="22"/>
        </w:rPr>
        <w:t xml:space="preserve">CEC is moderate (5 meq/100g), typical of sandy loam rootzones common in sports turf and golf greens. This provides reasonable nutrient retention while maintaining good drainage.</w:t>
      </w:r>
    </w:p>
    <w:p>
      <w:pPr>
        <w:spacing w:after="80"/>
        <w:ind w:left="200"/>
      </w:pPr>
      <w:r>
        <w:rPr>
          <w:color w:val="374151"/>
          <w:sz w:val="22"/>
          <w:szCs w:val="22"/>
        </w:rPr>
        <w:t xml:space="preserve">URGENT: Apply agricultural lime to raise pH toward 5.5. Retest in 6 months to assess response.</w:t>
      </w:r>
    </w:p>
    <w:p>
      <w:pPr>
        <w:spacing w:before="200" w:after="100"/>
      </w:pPr>
      <w:r>
        <w:rPr>
          <w:b/>
          <w:bCs/>
          <w:color w:val="1F2937"/>
          <w:sz w:val="22"/>
          <w:szCs w:val="22"/>
        </w:rPr>
        <w:t xml:space="preserve">Interpretation</w:t>
      </w:r>
    </w:p>
    <w:p>
      <w:pPr>
        <w:spacing w:after="120"/>
      </w:pPr>
      <w:r>
        <w:rPr>
          <w:color w:val="4B5563"/>
          <w:sz w:val="22"/>
          <w:szCs w:val="22"/>
        </w:rPr>
        <w:t xml:space="preserve">Calcium is below Ammonium Acetate (Hill Labs) guidelines and requires attention.</w:t>
      </w:r>
    </w:p>
    <w:p>
      <w:pPr>
        <w:spacing w:after="120"/>
      </w:pPr>
      <w:r>
        <w:rPr>
          <w:color w:val="4B5563"/>
          <w:sz w:val="22"/>
          <w:szCs w:val="22"/>
        </w:rPr>
        <w:t xml:space="preserve">Phosphorus, Potassium, Magnesium levels are adequate.</w:t>
      </w:r>
    </w:p>
    <w:p>
      <w:pPr>
        <w:spacing w:after="120"/>
      </w:pPr>
      <w:r>
        <w:rPr>
          <w:color w:val="4B5563"/>
          <w:sz w:val="22"/>
          <w:szCs w:val="22"/>
        </w:rPr>
      </w:r>
    </w:p>
    <w:p>
      <w:pPr>
        <w:spacing w:after="120"/>
      </w:pPr>
      <w:r>
        <w:rPr>
          <w:color w:val="4B5563"/>
          <w:sz w:val="22"/>
          <w:szCs w:val="22"/>
        </w:rPr>
        <w:t xml:space="preserve">Interpretation uses Hill Labs NZ extraction methods: Olsen phosphorus (sodium bicarbonate) and ammonium acetate (pH 8.1) for cations. Sufficiency ranges are calibrated for New Zealand soil conditions.</w:t>
      </w:r>
    </w:p>
    <w:p>
      <w:pPr>
        <w:spacing w:after="120"/>
      </w:pPr>
      <w:r>
        <w:rPr>
          <w:color w:val="4B5563"/>
          <w:sz w:val="22"/>
          <w:szCs w:val="22"/>
        </w:rPr>
        <w:t xml:space="preserve">Soil pH is very acidic (4.9). This limits nutrient availability, particularly phosphorus.</w:t>
      </w:r>
    </w:p>
    <w:p>
      <w:pPr>
        <w:spacing w:before="150" w:after="80"/>
      </w:pPr>
      <w:r>
        <w:rPr>
          <w:color w:val="1F2937"/>
          <w:sz w:val="22"/>
          <w:szCs w:val="22"/>
        </w:rPr>
        <w:t xml:space="preserve">Recommendations:</w:t>
      </w:r>
    </w:p>
    <w:p>
      <w:pPr>
        <w:spacing w:after="80"/>
        <w:ind w:left="360"/>
      </w:pPr>
      <w:r>
        <w:rPr>
          <w:color w:val="16A34A"/>
          <w:sz w:val="22"/>
          <w:szCs w:val="22"/>
        </w:rPr>
        <w:t xml:space="preserve">• </w:t>
      </w:r>
      <w:r>
        <w:rPr>
          <w:color w:val="374151"/>
          <w:sz w:val="22"/>
          <w:szCs w:val="22"/>
        </w:rPr>
        <w:t xml:space="preserve">Apply Gypsum (CaSO₄·2H₂O) (23% Ca, 18.6% S) at approximately 140 kg Ca/ha (609 kg product/ha), apply in 3 split dressings of 203 kg product/ha; water in after each application, pH-neutral; gypsum also delivers S, at pH 4.9 (acidic) lime would also raise pH but is NOT chosen here because the Ca branch only fires when there is no Mg co-deficit. Use lime when pH correction is the goal; use gypsum when Ca supply alone is required without pH change to address Ca deficiency.</w:t>
      </w:r>
    </w:p>
    <w:p>
      <w:pPr>
        <w:spacing w:after="80"/>
        <w:ind w:left="360"/>
      </w:pPr>
      <w:r>
        <w:rPr>
          <w:color w:val="16A34A"/>
          <w:sz w:val="22"/>
          <w:szCs w:val="22"/>
        </w:rPr>
        <w:t xml:space="preserve">• </w:t>
      </w:r>
      <w:r>
        <w:rPr>
          <w:color w:val="374151"/>
          <w:sz w:val="22"/>
          <w:szCs w:val="22"/>
        </w:rPr>
        <w:t xml:space="preserve">Apply agricultural lime at 1-2 t/ha to raise pH toward 5.5-6.5.</w:t>
      </w:r>
    </w:p>
    <w:p>
      <w:pPr>
        <w:pStyle w:val="Heading2"/>
        <w:keepNext/>
        <w:spacing w:before="240" w:after="80"/>
      </w:pPr>
      <w:r>
        <w:rPr>
          <w:b/>
          <w:bCs/>
        </w:rPr>
        <w:t xml:space="preserve">Annual Soil Amendments</w:t>
      </w:r>
    </w:p>
    <w:p>
      <w:pPr>
        <w:spacing w:after="120"/>
      </w:pPr>
      <w:r>
        <w:rPr>
          <w:i/>
          <w:iCs/>
          <w:color w:val="6B7280"/>
          <w:sz w:val="22"/>
          <w:szCs w:val="22"/>
        </w:rPr>
        <w:t xml:space="preserve">Soil deficits are reconciled against the nutrition programme delivery before recommending standalone amendments. Where the programme already meets the deficit, the standalone product is suppressed; otherwise the rate is reduced to the residual.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950"/>
        <w:gridCol w:w="1100"/>
        <w:gridCol w:w="950"/>
        <w:gridCol w:w="1900"/>
        <w:gridCol w:w="1000"/>
        <w:gridCol w:w="1000"/>
        <w:gridCol w:w="1300"/>
      </w:tblGrid>
      <w:tr>
        <w:trPr>
          <w:cantSplit/>
          <w:tblHeader/>
        </w:trPr>
        <w:tc>
          <w:tcPr>
            <w:tcW w:type="dxa" w:w="1100"/>
            <w:tcBorders>
              <w:top w:val="single" w:color="D1D5DB" w:sz="1"/>
              <w:left w:val="single" w:color="D1D5DB" w:sz="1"/>
              <w:bottom w:val="single" w:color="D1D5DB" w:sz="1"/>
              <w:right w:val="single" w:color="D1D5DB" w:sz="1"/>
            </w:tcBorders>
            <w:shd w:fill="F3F4F6" w:val="clear"/>
          </w:tcPr>
          <w:p>
            <w:pPr>
              <w:jc w:val="center"/>
            </w:pPr>
            <w:r>
              <w:rPr>
                <w:b/>
                <w:bCs/>
                <w:sz w:val="22"/>
                <w:szCs w:val="22"/>
              </w:rPr>
              <w:t xml:space="preserve">Nutrient</w:t>
            </w:r>
          </w:p>
        </w:tc>
        <w:tc>
          <w:tcPr>
            <w:tcW w:type="dxa" w:w="950"/>
            <w:tcBorders>
              <w:top w:val="single" w:color="D1D5DB" w:sz="1"/>
              <w:left w:val="single" w:color="D1D5DB" w:sz="1"/>
              <w:bottom w:val="single" w:color="D1D5DB" w:sz="1"/>
              <w:right w:val="single" w:color="D1D5DB" w:sz="1"/>
            </w:tcBorders>
            <w:shd w:fill="F3F4F6" w:val="clear"/>
          </w:tcPr>
          <w:p>
            <w:pPr>
              <w:jc w:val="center"/>
            </w:pPr>
            <w:r>
              <w:rPr>
                <w:b/>
                <w:bCs/>
                <w:sz w:val="22"/>
                <w:szCs w:val="22"/>
              </w:rPr>
              <w:t xml:space="preserve">Soil deficit
(kg/ha)</w:t>
            </w:r>
          </w:p>
        </w:tc>
        <w:tc>
          <w:tcPr>
            <w:tcW w:type="dxa" w:w="1100"/>
            <w:tcBorders>
              <w:top w:val="single" w:color="D1D5DB" w:sz="1"/>
              <w:left w:val="single" w:color="D1D5DB" w:sz="1"/>
              <w:bottom w:val="single" w:color="D1D5DB" w:sz="1"/>
              <w:right w:val="single" w:color="D1D5DB" w:sz="1"/>
            </w:tcBorders>
            <w:shd w:fill="EFF6FF" w:val="clear"/>
          </w:tcPr>
          <w:p>
            <w:pPr>
              <w:jc w:val="center"/>
            </w:pPr>
            <w:r>
              <w:rPr>
                <w:b/>
                <w:bCs/>
                <w:sz w:val="22"/>
                <w:szCs w:val="22"/>
              </w:rPr>
              <w:t xml:space="preserve">Programme delivers
(kg/ha)</w:t>
            </w:r>
          </w:p>
        </w:tc>
        <w:tc>
          <w:tcPr>
            <w:tcW w:type="dxa" w:w="950"/>
            <w:tcBorders>
              <w:top w:val="single" w:color="D1D5DB" w:sz="1"/>
              <w:left w:val="single" w:color="D1D5DB" w:sz="1"/>
              <w:bottom w:val="single" w:color="D1D5DB" w:sz="1"/>
              <w:right w:val="single" w:color="D1D5DB" w:sz="1"/>
            </w:tcBorders>
            <w:shd w:fill="EFF6FF" w:val="clear"/>
          </w:tcPr>
          <w:p>
            <w:pPr>
              <w:jc w:val="center"/>
            </w:pPr>
            <w:r>
              <w:rPr>
                <w:b/>
                <w:bCs/>
                <w:sz w:val="22"/>
                <w:szCs w:val="22"/>
              </w:rPr>
              <w:t xml:space="preserve">Residual
(kg/ha)</w:t>
            </w:r>
          </w:p>
        </w:tc>
        <w:tc>
          <w:tcPr>
            <w:tcW w:type="dxa" w:w="1900"/>
            <w:tcBorders>
              <w:top w:val="single" w:color="D1D5DB" w:sz="1"/>
              <w:left w:val="single" w:color="D1D5DB" w:sz="1"/>
              <w:bottom w:val="single" w:color="D1D5DB" w:sz="1"/>
              <w:right w:val="single" w:color="D1D5DB" w:sz="1"/>
            </w:tcBorders>
            <w:shd w:fill="F3F4F6" w:val="clear"/>
          </w:tcPr>
          <w:p>
            <w:pPr>
              <w:jc w:val="center"/>
            </w:pPr>
            <w:r>
              <w:rPr>
                <w:b/>
                <w:bCs/>
                <w:sz w:val="22"/>
                <w:szCs w:val="22"/>
              </w:rPr>
              <w:t xml:space="preserve">Product</w:t>
            </w:r>
          </w:p>
        </w:tc>
        <w:tc>
          <w:tcPr>
            <w:tcW w:type="dxa" w:w="1000"/>
            <w:tcBorders>
              <w:top w:val="single" w:color="D1D5DB" w:sz="1"/>
              <w:left w:val="single" w:color="D1D5DB" w:sz="1"/>
              <w:bottom w:val="single" w:color="D1D5DB" w:sz="1"/>
              <w:right w:val="single" w:color="D1D5DB" w:sz="1"/>
            </w:tcBorders>
            <w:shd w:fill="FEF3C7" w:val="clear"/>
          </w:tcPr>
          <w:p>
            <w:pPr>
              <w:jc w:val="center"/>
            </w:pPr>
            <w:r>
              <w:rPr>
                <w:b/>
                <w:bCs/>
                <w:sz w:val="22"/>
                <w:szCs w:val="22"/>
              </w:rPr>
              <w:t xml:space="preserve">Theoretical
(kg/ha)</w:t>
            </w:r>
          </w:p>
        </w:tc>
        <w:tc>
          <w:tcPr>
            <w:tcW w:type="dxa" w:w="1000"/>
            <w:tcBorders>
              <w:top w:val="single" w:color="D1D5DB" w:sz="1"/>
              <w:left w:val="single" w:color="D1D5DB" w:sz="1"/>
              <w:bottom w:val="single" w:color="D1D5DB" w:sz="1"/>
              <w:right w:val="single" w:color="D1D5DB" w:sz="1"/>
            </w:tcBorders>
            <w:shd w:fill="DCFCE7" w:val="clear"/>
          </w:tcPr>
          <w:p>
            <w:pPr>
              <w:jc w:val="center"/>
            </w:pPr>
            <w:r>
              <w:rPr>
                <w:b/>
                <w:bCs/>
                <w:sz w:val="22"/>
                <w:szCs w:val="22"/>
              </w:rPr>
              <w:t xml:space="preserve">Practical
(kg/ha/yr)</w:t>
            </w:r>
          </w:p>
        </w:tc>
        <w:tc>
          <w:tcPr>
            <w:tcW w:type="dxa" w:w="1300"/>
            <w:tcBorders>
              <w:top w:val="single" w:color="D1D5DB" w:sz="1"/>
              <w:left w:val="single" w:color="D1D5DB" w:sz="1"/>
              <w:bottom w:val="single" w:color="D1D5DB" w:sz="1"/>
              <w:right w:val="single" w:color="D1D5DB" w:sz="1"/>
            </w:tcBorders>
            <w:shd w:fill="F3F4F6" w:val="clear"/>
          </w:tcPr>
          <w:p>
            <w:pPr>
              <w:jc w:val="center"/>
            </w:pPr>
            <w:r>
              <w:rPr>
                <w:b/>
                <w:bCs/>
                <w:sz w:val="22"/>
                <w:szCs w:val="22"/>
              </w:rPr>
              <w:t xml:space="preserve">Status</w:t>
            </w:r>
          </w:p>
        </w:tc>
      </w:tr>
      <w:tr>
        <w:trPr>
          <w:cantSplit/>
        </w:trPr>
        <w:tc>
          <w:tcPr>
            <w:tcW w:type="dxa" w:w="1100"/>
            <w:tcBorders>
              <w:top w:val="single" w:color="D1D5DB" w:sz="1"/>
              <w:left w:val="single" w:color="D1D5DB" w:sz="1"/>
              <w:bottom w:val="single" w:color="D1D5DB" w:sz="1"/>
              <w:right w:val="single" w:color="D1D5DB" w:sz="1"/>
            </w:tcBorders>
          </w:tcPr>
          <w:p>
            <w:pPr>
              <w:jc w:val="left"/>
            </w:pPr>
            <w:r>
              <w:rPr>
                <w:b/>
                <w:bCs/>
                <w:color w:val="1F2937"/>
                <w:sz w:val="20"/>
                <w:szCs w:val="20"/>
              </w:rPr>
              <w:t xml:space="preserve">Calcium (Ca)</w:t>
            </w:r>
          </w:p>
        </w:tc>
        <w:tc>
          <w:tcPr>
            <w:tcW w:type="dxa" w:w="950"/>
            <w:tcBorders>
              <w:top w:val="single" w:color="D1D5DB" w:sz="1"/>
              <w:left w:val="single" w:color="D1D5DB" w:sz="1"/>
              <w:bottom w:val="single" w:color="D1D5DB" w:sz="1"/>
              <w:right w:val="single" w:color="D1D5DB" w:sz="1"/>
            </w:tcBorders>
          </w:tcPr>
          <w:p>
            <w:pPr>
              <w:jc w:val="center"/>
            </w:pPr>
            <w:r>
              <w:rPr>
                <w:b w:val="false"/>
                <w:bCs w:val="false"/>
                <w:color w:val="1F2937"/>
                <w:sz w:val="20"/>
                <w:szCs w:val="20"/>
              </w:rPr>
              <w:t xml:space="preserve">252.0</w:t>
            </w:r>
          </w:p>
        </w:tc>
        <w:tc>
          <w:tcPr>
            <w:tcW w:type="dxa" w:w="1100"/>
            <w:tcBorders>
              <w:top w:val="single" w:color="D1D5DB" w:sz="1"/>
              <w:left w:val="single" w:color="D1D5DB" w:sz="1"/>
              <w:bottom w:val="single" w:color="D1D5DB" w:sz="1"/>
              <w:right w:val="single" w:color="D1D5DB" w:sz="1"/>
            </w:tcBorders>
            <w:shd w:fill="F8FAFC" w:val="clear"/>
          </w:tcPr>
          <w:p>
            <w:pPr>
              <w:jc w:val="center"/>
            </w:pPr>
            <w:r>
              <w:rPr>
                <w:b w:val="false"/>
                <w:bCs w:val="false"/>
                <w:color w:val="1F2937"/>
                <w:sz w:val="20"/>
                <w:szCs w:val="20"/>
              </w:rPr>
              <w:t xml:space="preserve">0.0</w:t>
            </w:r>
          </w:p>
        </w:tc>
        <w:tc>
          <w:tcPr>
            <w:tcW w:type="dxa" w:w="950"/>
            <w:tcBorders>
              <w:top w:val="single" w:color="D1D5DB" w:sz="1"/>
              <w:left w:val="single" w:color="D1D5DB" w:sz="1"/>
              <w:bottom w:val="single" w:color="D1D5DB" w:sz="1"/>
              <w:right w:val="single" w:color="D1D5DB" w:sz="1"/>
            </w:tcBorders>
            <w:shd w:fill="F8FAFC" w:val="clear"/>
          </w:tcPr>
          <w:p>
            <w:pPr>
              <w:jc w:val="center"/>
            </w:pPr>
            <w:r>
              <w:rPr>
                <w:b w:val="false"/>
                <w:bCs w:val="false"/>
                <w:color w:val="1F2937"/>
                <w:sz w:val="20"/>
                <w:szCs w:val="20"/>
              </w:rPr>
              <w:t xml:space="preserve">252.0</w:t>
            </w:r>
          </w:p>
        </w:tc>
        <w:tc>
          <w:tcPr>
            <w:tcW w:type="dxa" w:w="1900"/>
            <w:tcBorders>
              <w:top w:val="single" w:color="D1D5DB" w:sz="1"/>
              <w:left w:val="single" w:color="D1D5DB" w:sz="1"/>
              <w:bottom w:val="single" w:color="D1D5DB" w:sz="1"/>
              <w:right w:val="single" w:color="D1D5DB" w:sz="1"/>
            </w:tcBorders>
          </w:tcPr>
          <w:p>
            <w:pPr>
              <w:jc w:val="left"/>
            </w:pPr>
            <w:r>
              <w:rPr>
                <w:b w:val="false"/>
                <w:bCs w:val="false"/>
                <w:color w:val="1F2937"/>
                <w:sz w:val="20"/>
                <w:szCs w:val="20"/>
              </w:rPr>
              <w:t xml:space="preserve">Gypsum (CaSO₄·2H₂O)</w:t>
            </w:r>
          </w:p>
        </w:tc>
        <w:tc>
          <w:tcPr>
            <w:tcW w:type="dxa" w:w="1000"/>
            <w:tcBorders>
              <w:top w:val="single" w:color="D1D5DB" w:sz="1"/>
              <w:left w:val="single" w:color="D1D5DB" w:sz="1"/>
              <w:bottom w:val="single" w:color="D1D5DB" w:sz="1"/>
              <w:right w:val="single" w:color="D1D5DB" w:sz="1"/>
            </w:tcBorders>
            <w:shd w:fill="FEF3C7" w:val="clear"/>
          </w:tcPr>
          <w:p>
            <w:pPr>
              <w:jc w:val="center"/>
            </w:pPr>
            <w:r>
              <w:rPr>
                <w:b w:val="false"/>
                <w:bCs w:val="false"/>
                <w:color w:val="1F2937"/>
                <w:sz w:val="20"/>
                <w:szCs w:val="20"/>
              </w:rPr>
              <w:t xml:space="preserve">252.0</w:t>
            </w:r>
          </w:p>
        </w:tc>
        <w:tc>
          <w:tcPr>
            <w:tcW w:type="dxa" w:w="1000"/>
            <w:tcBorders>
              <w:top w:val="single" w:color="D1D5DB" w:sz="1"/>
              <w:left w:val="single" w:color="D1D5DB" w:sz="1"/>
              <w:bottom w:val="single" w:color="D1D5DB" w:sz="1"/>
              <w:right w:val="single" w:color="D1D5DB" w:sz="1"/>
            </w:tcBorders>
            <w:shd w:fill="DCFCE7" w:val="clear"/>
          </w:tcPr>
          <w:p>
            <w:pPr>
              <w:jc w:val="center"/>
            </w:pPr>
            <w:r>
              <w:rPr>
                <w:b w:val="false"/>
                <w:bCs w:val="false"/>
                <w:color w:val="1F2937"/>
                <w:sz w:val="20"/>
                <w:szCs w:val="20"/>
              </w:rPr>
              <w:t xml:space="preserve">140.0</w:t>
            </w:r>
          </w:p>
        </w:tc>
        <w:tc>
          <w:tcPr>
            <w:tcW w:type="dxa" w:w="1300"/>
            <w:tcBorders>
              <w:top w:val="single" w:color="D1D5DB" w:sz="1"/>
              <w:left w:val="single" w:color="D1D5DB" w:sz="1"/>
              <w:bottom w:val="single" w:color="D1D5DB" w:sz="1"/>
              <w:right w:val="single" w:color="D1D5DB" w:sz="1"/>
            </w:tcBorders>
            <w:shd w:fill="FEF3C7" w:val="clear"/>
          </w:tcPr>
          <w:p>
            <w:pPr>
              <w:jc w:val="center"/>
            </w:pPr>
            <w:r>
              <w:rPr>
                <w:b w:val="false"/>
                <w:bCs w:val="false"/>
                <w:color w:val="B45309"/>
                <w:sz w:val="20"/>
                <w:szCs w:val="20"/>
              </w:rPr>
              <w:t xml:space="preserve">Apply</w:t>
            </w:r>
          </w:p>
        </w:tc>
      </w:tr>
    </w:tbl>
    <w:p>
      <w:pPr>
        <w:spacing w:before="80" w:after="60"/>
      </w:pPr>
      <w:r>
        <w:rPr>
          <w:i/>
          <w:iCs/>
          <w:color w:val="6B7280"/>
          <w:sz w:val="20"/>
          <w:szCs w:val="20"/>
        </w:rPr>
        <w:t xml:space="preserve">Theoretical = full deficit closure in 1 year at 100% efficiency. Practical = (theoretical / amendment efficiency) / years to correct. Practical figures account for fixation, leaching, and amendment-loss pathways; apply the Practical column figure as the annual programme rate.</w:t>
      </w:r>
    </w:p>
    <w:p>
      <w:pPr>
        <w:spacing w:before="60" w:after="160"/>
      </w:pPr>
      <w:r>
        <w:rPr>
          <w:i/>
          <w:iCs/>
          <w:color w:val="9CA3AF"/>
          <w:sz w:val="20"/>
          <w:szCs w:val="20"/>
        </w:rPr>
        <w:t xml:space="preserve">Rates expressed as elemental kg/ha. Soil deficit = (threshold − measured) × 10 cm × 1.4 g/cm³ × 0.1. Programme delivery summed across annual applications.</w:t>
      </w:r>
    </w:p>
    <w:p>
      <w:pPr>
        <w:spacing w:before="300" w:after="120"/>
      </w:pPr>
      <w:r>
        <w:rPr>
          <w:b/>
          <w:bCs/>
          <w:color w:val="B45309"/>
          <w:sz w:val="24"/>
          <w:szCs w:val="24"/>
        </w:rPr>
        <w:t xml:space="preserve">Mulder's Nutrient Interactions</w:t>
      </w:r>
    </w:p>
    <w:p>
      <w:pPr>
        <w:spacing w:after="100"/>
      </w:pPr>
      <w:r>
        <w:rPr>
          <w:color w:val="6B7280"/>
          <w:sz w:val="22"/>
          <w:szCs w:val="22"/>
        </w:rPr>
        <w:t xml:space="preserve">The following antagonistic interactions were detected. These affect nutrient availability independently of absolute soil levels, a nutrient above its sufficiency threshold may still be functionally deficient if a competing element is elevated.</w:t>
      </w:r>
    </w:p>
    <w:p>
      <w:pPr>
        <w:shd w:fill="F9FAFB" w:val="clear"/>
        <w:spacing w:after="160"/>
      </w:pPr>
      <w:r>
        <w:rPr>
          <w:i/>
          <w:iCs/>
          <w:color w:val="6B7280"/>
          <w:sz w:val="20"/>
          <w:szCs w:val="20"/>
        </w:rPr>
        <w:t xml:space="preserve">Ratio checks assume all nutrients were extracted using the same method (Olsen P + NH₄OAc (pH 8.1)). Results from mixed-extractant panels will produce unreliable ratios.</w:t>
      </w:r>
    </w:p>
    <w:p>
      <w:pPr>
        <w:spacing w:before="160" w:after="60"/>
      </w:pPr>
      <w:r>
        <w:rPr>
          <w:b/>
          <w:bCs/>
          <w:color w:val="374151"/>
          <w:sz w:val="22"/>
          <w:szCs w:val="22"/>
        </w:rPr>
        <w:t xml:space="preserve">K suppresses Mg (K:Mg = 3.9, threshold: 2.5)</w:t>
      </w:r>
    </w:p>
    <w:p>
      <w:pPr>
        <w:spacing w:after="60"/>
      </w:pPr>
      <w:r>
        <w:rPr>
          <w:color w:val="1F2937"/>
          <w:sz w:val="22"/>
          <w:szCs w:val="22"/>
        </w:rPr>
        <w:t xml:space="preserve">Elevated K:Mg ratio, excess K competitively suppresses Mg uptake at root level.</w:t>
      </w:r>
    </w:p>
    <w:p>
      <w:pPr>
        <w:spacing w:after="60"/>
      </w:pPr>
      <w:r>
        <w:rPr>
          <w:color w:val="374151"/>
          <w:sz w:val="22"/>
          <w:szCs w:val="22"/>
        </w:rPr>
        <w:t xml:space="preserve">K and Mg share cation uptake carriers (high-affinity transport). K:Mg &gt;2.5 (mass ratio) reduces Mg absorption even when soil Mg is above sufficiency threshold. Common on sand profiles with high K fertiliser programs or calcareous irrigation water.</w:t>
      </w:r>
    </w:p>
    <w:p>
      <w:pPr>
        <w:spacing w:after="120"/>
      </w:pPr>
      <w:r>
        <w:rPr>
          <w:i/>
          <w:iCs/>
          <w:color w:val="9CA3AF"/>
          <w:sz w:val="20"/>
          <w:szCs w:val="20"/>
        </w:rPr>
        <w:t xml:space="preserve">Marschner 2012</w:t>
      </w:r>
    </w:p>
    <w:p>
      <w:pPr>
        <w:spacing w:before="160" w:after="60"/>
      </w:pPr>
      <w:r>
        <w:rPr>
          <w:b/>
          <w:bCs/>
          <w:color w:val="374151"/>
          <w:sz w:val="22"/>
          <w:szCs w:val="22"/>
        </w:rPr>
        <w:t xml:space="preserve">K suppresses Ca (K:Ca = 0.7, threshold: 0.5)</w:t>
      </w:r>
    </w:p>
    <w:p>
      <w:pPr>
        <w:spacing w:after="60"/>
      </w:pPr>
      <w:r>
        <w:rPr>
          <w:color w:val="1F2937"/>
          <w:sz w:val="22"/>
          <w:szCs w:val="22"/>
        </w:rPr>
        <w:t xml:space="preserve">Elevated K:Ca ratio, excess K can suppress Ca translocation to shoot tips.</w:t>
      </w:r>
    </w:p>
    <w:p>
      <w:pPr>
        <w:spacing w:after="60"/>
      </w:pPr>
      <w:r>
        <w:rPr>
          <w:color w:val="374151"/>
          <w:sz w:val="22"/>
          <w:szCs w:val="22"/>
        </w:rPr>
        <w:t xml:space="preserve">Ca mobility in the phloem is limited; excess K at root level reduces Ca uptake efficiency. Most significant under low-transpiration conditions (shade, dew periods).</w:t>
      </w:r>
    </w:p>
    <w:p>
      <w:pPr>
        <w:spacing w:after="120"/>
      </w:pPr>
      <w:r>
        <w:rPr>
          <w:i/>
          <w:iCs/>
          <w:color w:val="9CA3AF"/>
          <w:sz w:val="20"/>
          <w:szCs w:val="20"/>
        </w:rPr>
        <w:t xml:space="preserve">Marschner 2012</w:t>
      </w:r>
    </w:p>
    <w:p/>
    <w:p>
      <w:pPr>
        <w:pStyle w:val="Heading1"/>
        <w:keepNext/>
      </w:pPr>
      <w:r>
        <w:t xml:space="preserve">Cation Balance Analysis</w:t>
      </w:r>
    </w:p>
    <w:p>
      <w:pPr>
        <w:spacing w:before="100" w:after="50"/>
      </w:pPr>
      <w:r>
        <w:rPr>
          <w:b/>
          <w:bCs/>
          <w:sz w:val="22"/>
          <w:szCs w:val="22"/>
        </w:rPr>
        <w:t xml:space="preserve">Cation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Ca:Mg Ratio</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5.5:1 (Optimal)</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K:Mg Ratio (meq)</w:t>
            </w:r>
          </w:p>
        </w:tc>
        <w:tc>
          <w:tcPr>
            <w:tcW w:type="dxa" w:w="5860"/>
            <w:tcBorders>
              <w:top w:val="single" w:color="E5E7EB" w:sz="1"/>
              <w:left w:val="single" w:color="E5E7EB" w:sz="1"/>
              <w:bottom w:val="single" w:color="E5E7EB" w:sz="1"/>
              <w:right w:val="single" w:color="E5E7EB" w:sz="1"/>
            </w:tcBorders>
          </w:tcPr>
          <w:p>
            <w:r>
              <w:rPr>
                <w:color w:val="F59E0B"/>
                <w:sz w:val="22"/>
                <w:szCs w:val="22"/>
              </w:rPr>
              <w:t xml:space="preserve">1.21 (High K)</w:t>
            </w:r>
          </w:p>
        </w:tc>
      </w:tr>
    </w:tbl>
    <w:p>
      <w:pPr>
        <w:spacing w:before="200" w:after="100"/>
      </w:pPr>
      <w:r>
        <w:rPr>
          <w:b/>
          <w:bCs/>
          <w:color w:val="1F2937"/>
          <w:sz w:val="22"/>
          <w:szCs w:val="22"/>
        </w:rPr>
        <w:t xml:space="preserve">Interpretation</w:t>
      </w:r>
    </w:p>
    <w:p>
      <w:pPr>
        <w:spacing w:after="120"/>
      </w:pPr>
      <w:r>
        <w:rPr>
          <w:color w:val="4B5563"/>
          <w:sz w:val="22"/>
          <w:szCs w:val="22"/>
        </w:rPr>
        <w:t xml:space="preserve">K:Mg ratio (1.21) indicates potential K-induced Mg deficiency.</w:t>
      </w:r>
    </w:p>
    <w:p>
      <w:pPr>
        <w:spacing w:before="150" w:after="80"/>
      </w:pPr>
      <w:r>
        <w:rPr>
          <w:color w:val="1F2937"/>
          <w:sz w:val="22"/>
          <w:szCs w:val="22"/>
        </w:rPr>
        <w:t xml:space="preserve">Recommendations:</w:t>
      </w:r>
    </w:p>
    <w:p>
      <w:pPr>
        <w:spacing w:after="80"/>
        <w:ind w:left="360"/>
      </w:pPr>
      <w:r>
        <w:rPr>
          <w:color w:val="16A34A"/>
          <w:sz w:val="22"/>
          <w:szCs w:val="22"/>
        </w:rPr>
        <w:t xml:space="preserve">• </w:t>
      </w:r>
      <w:r>
        <w:rPr>
          <w:color w:val="374151"/>
          <w:sz w:val="22"/>
          <w:szCs w:val="22"/>
        </w:rPr>
        <w:t xml:space="preserve">Reduce potassium applications and supplement with foliar magnesium.</w:t>
      </w:r>
    </w:p>
    <w:p/>
    <w:p>
      <w:pPr>
        <w:pStyle w:val="Heading1"/>
        <w:keepNext/>
      </w:pPr>
      <w:r>
        <w:t xml:space="preserve">Tissue Analysis, Green 13</w:t>
      </w:r>
    </w:p>
    <w:p>
      <w:pPr>
        <w:spacing w:after="60"/>
      </w:pPr>
      <w:r>
        <w:rPr>
          <w:i/>
          <w:iCs/>
          <w:color w:val="6B7280"/>
          <w:sz w:val="22"/>
          <w:szCs w:val="22"/>
        </w:rPr>
        <w:t xml:space="preserve">Sampled: 6 Jul 2026  •  Browntop Bent (Greens)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Nitrogen (N)</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3%</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Phosphorus (P)</w:t>
            </w:r>
          </w:p>
        </w:tc>
        <w:tc>
          <w:tcPr>
            <w:tcW w:type="dxa" w:w="5860"/>
            <w:tcBorders>
              <w:top w:val="single" w:color="E5E7EB" w:sz="1"/>
              <w:left w:val="single" w:color="E5E7EB" w:sz="1"/>
              <w:bottom w:val="single" w:color="E5E7EB" w:sz="1"/>
              <w:right w:val="single" w:color="E5E7EB" w:sz="1"/>
            </w:tcBorders>
          </w:tcPr>
          <w:p>
            <w:r>
              <w:rPr>
                <w:color w:val="F59E0B"/>
                <w:sz w:val="22"/>
                <w:szCs w:val="22"/>
              </w:rPr>
              <w:t xml:space="preserve">1.4%</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Potassium (K)</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2.7%</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Calcium (Ca)</w:t>
            </w:r>
          </w:p>
        </w:tc>
        <w:tc>
          <w:tcPr>
            <w:tcW w:type="dxa" w:w="5860"/>
            <w:tcBorders>
              <w:top w:val="single" w:color="E5E7EB" w:sz="1"/>
              <w:left w:val="single" w:color="E5E7EB" w:sz="1"/>
              <w:bottom w:val="single" w:color="E5E7EB" w:sz="1"/>
              <w:right w:val="single" w:color="E5E7EB" w:sz="1"/>
            </w:tcBorders>
          </w:tcPr>
          <w:p>
            <w:r>
              <w:rPr>
                <w:color w:val="F59E0B"/>
                <w:sz w:val="22"/>
                <w:szCs w:val="22"/>
              </w:rPr>
              <w:t xml:space="preserve">2.4%</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Magnesium (Mg)</w:t>
            </w:r>
          </w:p>
        </w:tc>
        <w:tc>
          <w:tcPr>
            <w:tcW w:type="dxa" w:w="5860"/>
            <w:tcBorders>
              <w:top w:val="single" w:color="E5E7EB" w:sz="1"/>
              <w:left w:val="single" w:color="E5E7EB" w:sz="1"/>
              <w:bottom w:val="single" w:color="E5E7EB" w:sz="1"/>
              <w:right w:val="single" w:color="E5E7EB" w:sz="1"/>
            </w:tcBorders>
          </w:tcPr>
          <w:p>
            <w:r>
              <w:rPr>
                <w:color w:val="F59E0B"/>
                <w:sz w:val="22"/>
                <w:szCs w:val="22"/>
              </w:rPr>
              <w:t xml:space="preserve">0.67%</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Sulphur (S)</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0.2%</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Iron (Fe)</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156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Manganese (Mn)</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23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Zinc (Zn)</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2.5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Copper (Cu)</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2 ppm</w:t>
            </w:r>
          </w:p>
        </w:tc>
      </w:tr>
    </w:tbl>
    <w:p/>
    <w:p>
      <w:pPr>
        <w:spacing w:before="120" w:after="120"/>
        <w:jc w:val="center"/>
      </w:pPr>
      <w:r>
        <w:drawing>
          <wp:inline distT="0" distB="0" distL="0" distR="0">
            <wp:extent cx="5334000" cy="2990850"/>
            <wp:effectExtent t="0" r="0" b="0" l="0"/>
            <wp:docPr id="7" name="chart_tissue_4" descr="GAIP tissue analysis chart" title="tissue 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4" cstate="none"/>
                    <a:srcRect/>
                    <a:stretch>
                      <a:fillRect/>
                    </a:stretch>
                  </pic:blipFill>
                  <pic:spPr bwMode="auto">
                    <a:xfrm>
                      <a:off x="0" y="0"/>
                      <a:ext cx="5334000" cy="2990850"/>
                    </a:xfrm>
                    <a:prstGeom prst="rect">
                      <a:avLst/>
                    </a:prstGeom>
                  </pic:spPr>
                </pic:pic>
              </a:graphicData>
            </a:graphic>
          </wp:inline>
        </w:drawing>
      </w:r>
    </w:p>
    <w:p>
      <w:pPr>
        <w:spacing w:before="200" w:after="100"/>
      </w:pPr>
      <w:r>
        <w:rPr>
          <w:b/>
          <w:bCs/>
          <w:color w:val="1F2937"/>
          <w:sz w:val="22"/>
          <w:szCs w:val="22"/>
        </w:rPr>
        <w:t xml:space="preserve">Interpretation</w:t>
      </w:r>
    </w:p>
    <w:p>
      <w:pPr>
        <w:spacing w:after="120"/>
      </w:pPr>
      <w:r>
        <w:rPr>
          <w:color w:val="4B5563"/>
          <w:sz w:val="22"/>
          <w:szCs w:val="22"/>
        </w:rPr>
        <w:t xml:space="preserve">Nitrogen, Sulphur, Manganese, Zinc, Copper are below sufficiency levels, indicating potential deficiency.</w:t>
      </w:r>
    </w:p>
    <w:p>
      <w:pPr>
        <w:spacing w:after="120"/>
      </w:pPr>
      <w:r>
        <w:rPr>
          <w:color w:val="4B5563"/>
          <w:sz w:val="22"/>
          <w:szCs w:val="22"/>
        </w:rPr>
        <w:t xml:space="preserve">Phosphorus, Calcium, Magnesium are above optimal levels. This may indicate luxury consumption or potential antagonism with other nutrients.</w:t>
      </w:r>
    </w:p>
    <w:p>
      <w:pPr>
        <w:spacing w:before="150" w:after="80"/>
      </w:pPr>
      <w:r>
        <w:rPr>
          <w:color w:val="1F2937"/>
          <w:sz w:val="22"/>
          <w:szCs w:val="22"/>
        </w:rPr>
        <w:t xml:space="preserve">Recommendations:</w:t>
      </w:r>
    </w:p>
    <w:p>
      <w:pPr>
        <w:spacing w:after="80"/>
        <w:ind w:left="360"/>
      </w:pPr>
      <w:r>
        <w:rPr>
          <w:color w:val="16A34A"/>
          <w:sz w:val="22"/>
          <w:szCs w:val="22"/>
        </w:rPr>
        <w:t xml:space="preserve">• </w:t>
      </w:r>
      <w:r>
        <w:rPr>
          <w:color w:val="374151"/>
          <w:sz w:val="22"/>
          <w:szCs w:val="22"/>
        </w:rPr>
        <w:t xml:space="preserve">Increase nitrogen applications. Consider split applications of quick-release N for rapid response, followed by slow-release sources.</w:t>
      </w:r>
    </w:p>
    <w:p>
      <w:pPr>
        <w:spacing w:after="80"/>
        <w:ind w:left="360"/>
      </w:pPr>
      <w:r>
        <w:rPr>
          <w:color w:val="16A34A"/>
          <w:sz w:val="22"/>
          <w:szCs w:val="22"/>
        </w:rPr>
        <w:t xml:space="preserve">• </w:t>
      </w:r>
      <w:r>
        <w:rPr>
          <w:color w:val="374151"/>
          <w:sz w:val="22"/>
          <w:szCs w:val="22"/>
        </w:rPr>
        <w:t xml:space="preserve">Apply sulphur-containing fertiliser such as ammonium sulphate or potassium sulphate.</w:t>
      </w:r>
    </w:p>
    <w:p>
      <w:pPr>
        <w:spacing w:after="80"/>
        <w:ind w:left="360"/>
      </w:pPr>
      <w:r>
        <w:rPr>
          <w:color w:val="16A34A"/>
          <w:sz w:val="22"/>
          <w:szCs w:val="22"/>
        </w:rPr>
        <w:t xml:space="preserve">• </w:t>
      </w:r>
      <w:r>
        <w:rPr>
          <w:color w:val="374151"/>
          <w:sz w:val="22"/>
          <w:szCs w:val="22"/>
        </w:rPr>
        <w:t xml:space="preserve">Apply foliar manganese at label rates. Micronutrient deficiencies respond quickly to foliar applications.</w:t>
      </w:r>
    </w:p>
    <w:p>
      <w:pPr>
        <w:spacing w:after="80"/>
        <w:ind w:left="360"/>
      </w:pPr>
      <w:r>
        <w:rPr>
          <w:color w:val="16A34A"/>
          <w:sz w:val="22"/>
          <w:szCs w:val="22"/>
        </w:rPr>
        <w:t xml:space="preserve">• </w:t>
      </w:r>
      <w:r>
        <w:rPr>
          <w:color w:val="374151"/>
          <w:sz w:val="22"/>
          <w:szCs w:val="22"/>
        </w:rPr>
        <w:t xml:space="preserve">Apply foliar zinc at label rates. Micronutrient deficiencies respond quickly to foliar applications.</w:t>
      </w:r>
    </w:p>
    <w:p>
      <w:pPr>
        <w:spacing w:after="80"/>
        <w:ind w:left="360"/>
      </w:pPr>
      <w:r>
        <w:rPr>
          <w:color w:val="16A34A"/>
          <w:sz w:val="22"/>
          <w:szCs w:val="22"/>
        </w:rPr>
        <w:t xml:space="preserve">• </w:t>
      </w:r>
      <w:r>
        <w:rPr>
          <w:color w:val="374151"/>
          <w:sz w:val="22"/>
          <w:szCs w:val="22"/>
        </w:rPr>
        <w:t xml:space="preserve">Apply foliar copper at label rates. Micronutrient deficiencies respond quickly to foliar applications.</w:t>
      </w:r>
    </w:p>
    <w:p/>
    <w:p>
      <w:r>
        <w:br w:type="page"/>
      </w:r>
    </w:p>
    <w:p>
      <w:pPr>
        <w:pStyle w:val="Heading1"/>
        <w:keepNext/>
      </w:pPr>
      <w:r>
        <w:t xml:space="preserve">Spray Application Log</w:t>
      </w:r>
    </w:p>
    <w:p>
      <w:pPr>
        <w:spacing w:after="200"/>
      </w:pPr>
      <w:r>
        <w:rPr>
          <w:color w:val="4B5563"/>
          <w:sz w:val="22"/>
          <w:szCs w:val="22"/>
        </w:rPr>
        <w:t xml:space="preserve">Record of chemical and fertiliser applications for this site. 4 entries.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00"/>
        <w:gridCol w:w="900"/>
        <w:gridCol w:w="800"/>
        <w:gridCol w:w="1000"/>
      </w:tblGrid>
      <w:tr>
        <w:trPr>
          <w:tblHeader/>
        </w:trPr>
        <w:tc>
          <w:tcPr>
            <w:tcW w:type="dxa" w:w="1200"/>
            <w:shd w:fill="E5E7EB" w:val="clear"/>
          </w:tcPr>
          <w:p>
            <w:r>
              <w:rPr>
                <w:b/>
                <w:bCs/>
                <w:sz w:val="22"/>
                <w:szCs w:val="22"/>
              </w:rPr>
              <w:t xml:space="preserve">Date</w:t>
            </w:r>
          </w:p>
        </w:tc>
        <w:tc>
          <w:tcPr>
            <w:tcW w:type="dxa" w:w="2200"/>
            <w:shd w:fill="E5E7EB" w:val="clear"/>
          </w:tcPr>
          <w:p>
            <w:r>
              <w:rPr>
                <w:b/>
                <w:bCs/>
                <w:sz w:val="22"/>
                <w:szCs w:val="22"/>
              </w:rPr>
              <w:t xml:space="preserve">Product</w:t>
            </w:r>
          </w:p>
        </w:tc>
        <w:tc>
          <w:tcPr>
            <w:tcW w:type="dxa" w:w="1600"/>
            <w:shd w:fill="E5E7EB" w:val="clear"/>
          </w:tcPr>
          <w:p>
            <w:r>
              <w:rPr>
                <w:b/>
                <w:bCs/>
                <w:sz w:val="22"/>
                <w:szCs w:val="22"/>
              </w:rPr>
              <w:t xml:space="preserve">Active Ingredient</w:t>
            </w:r>
          </w:p>
        </w:tc>
        <w:tc>
          <w:tcPr>
            <w:tcW w:type="dxa" w:w="900"/>
            <w:shd w:fill="E5E7EB" w:val="clear"/>
          </w:tcPr>
          <w:p>
            <w:pPr>
              <w:jc w:val="center"/>
            </w:pPr>
            <w:r>
              <w:rPr>
                <w:b/>
                <w:bCs/>
                <w:sz w:val="22"/>
                <w:szCs w:val="22"/>
              </w:rPr>
              <w:t xml:space="preserve">Rate</w:t>
            </w:r>
          </w:p>
        </w:tc>
        <w:tc>
          <w:tcPr>
            <w:tcW w:type="dxa" w:w="800"/>
            <w:shd w:fill="E5E7EB" w:val="clear"/>
          </w:tcPr>
          <w:p>
            <w:pPr>
              <w:jc w:val="center"/>
            </w:pPr>
            <w:r>
              <w:rPr>
                <w:b/>
                <w:bCs/>
                <w:sz w:val="22"/>
                <w:szCs w:val="22"/>
              </w:rPr>
              <w:t xml:space="preserve">Zone</w:t>
            </w:r>
          </w:p>
        </w:tc>
        <w:tc>
          <w:tcPr>
            <w:tcW w:type="dxa" w:w="1000"/>
            <w:shd w:fill="E5E7EB" w:val="clear"/>
          </w:tcPr>
          <w:p>
            <w:pPr>
              <w:jc w:val="center"/>
            </w:pPr>
            <w:r>
              <w:rPr>
                <w:b/>
                <w:bCs/>
                <w:sz w:val="22"/>
                <w:szCs w:val="22"/>
              </w:rPr>
              <w:t xml:space="preserve">Category</w:t>
            </w:r>
          </w:p>
        </w:tc>
      </w:tr>
      <w:tr>
        <w:tc>
          <w:tcPr>
            <w:tcW w:type="dxa" w:w="1200"/>
          </w:tcPr>
          <w:p>
            <w:r>
              <w:rPr>
                <w:sz w:val="22"/>
                <w:szCs w:val="22"/>
              </w:rPr>
              <w:t xml:space="preserve">20/07/2026</w:t>
            </w:r>
          </w:p>
        </w:tc>
        <w:tc>
          <w:tcPr>
            <w:tcW w:type="dxa" w:w="2200"/>
          </w:tcPr>
          <w:p>
            <w:r>
              <w:rPr>
                <w:sz w:val="22"/>
                <w:szCs w:val="22"/>
              </w:rPr>
              <w:t xml:space="preserve">Amigo 175</w:t>
            </w:r>
          </w:p>
        </w:tc>
        <w:tc>
          <w:tcPr>
            <w:tcW w:type="dxa" w:w="1600"/>
          </w:tcPr>
          <w:p>
            <w:r>
              <w:rPr>
                <w:sz w:val="22"/>
                <w:szCs w:val="22"/>
              </w:rPr>
              <w:t xml:space="preserve">Trinexapac-ethyl</w:t>
            </w:r>
          </w:p>
        </w:tc>
        <w:tc>
          <w:tcPr>
            <w:tcW w:type="dxa" w:w="900"/>
          </w:tcPr>
          <w:p>
            <w:pPr>
              <w:jc w:val="center"/>
            </w:pPr>
            <w:r>
              <w:rPr>
                <w:sz w:val="22"/>
                <w:szCs w:val="22"/>
              </w:rPr>
              <w:t xml:space="preserve">0.5 L/ha</w:t>
            </w:r>
          </w:p>
        </w:tc>
        <w:tc>
          <w:tcPr>
            <w:tcW w:type="dxa" w:w="800"/>
          </w:tcPr>
          <w:p>
            <w:pPr>
              <w:jc w:val="center"/>
            </w:pPr>
            <w:r>
              <w:rPr>
                <w:sz w:val="22"/>
                <w:szCs w:val="22"/>
              </w:rPr>
              <w:t xml:space="preserve">greens</w:t>
            </w:r>
          </w:p>
        </w:tc>
        <w:tc>
          <w:tcPr>
            <w:tcW w:type="dxa" w:w="1000"/>
          </w:tcPr>
          <w:p>
            <w:pPr>
              <w:jc w:val="center"/>
            </w:pPr>
            <w:r>
              <w:rPr>
                <w:sz w:val="22"/>
                <w:szCs w:val="22"/>
              </w:rPr>
            </w:r>
          </w:p>
        </w:tc>
      </w:tr>
      <w:tr>
        <w:tc>
          <w:tcPr>
            <w:tcW w:type="dxa" w:w="1200"/>
          </w:tcPr>
          <w:p>
            <w:r>
              <w:rPr>
                <w:sz w:val="22"/>
                <w:szCs w:val="22"/>
              </w:rPr>
              <w:t xml:space="preserve">06/07/2026</w:t>
            </w:r>
          </w:p>
        </w:tc>
        <w:tc>
          <w:tcPr>
            <w:tcW w:type="dxa" w:w="2200"/>
          </w:tcPr>
          <w:p>
            <w:r>
              <w:rPr>
                <w:sz w:val="22"/>
                <w:szCs w:val="22"/>
              </w:rPr>
              <w:t xml:space="preserve">Daconil Weather Stik</w:t>
            </w:r>
          </w:p>
        </w:tc>
        <w:tc>
          <w:tcPr>
            <w:tcW w:type="dxa" w:w="1600"/>
          </w:tcPr>
          <w:p>
            <w:r>
              <w:rPr>
                <w:sz w:val="22"/>
                <w:szCs w:val="22"/>
              </w:rPr>
              <w:t xml:space="preserve">chlorotalonil</w:t>
            </w:r>
          </w:p>
        </w:tc>
        <w:tc>
          <w:tcPr>
            <w:tcW w:type="dxa" w:w="900"/>
          </w:tcPr>
          <w:p>
            <w:pPr>
              <w:jc w:val="center"/>
            </w:pPr>
            <w:r>
              <w:rPr>
                <w:sz w:val="22"/>
                <w:szCs w:val="22"/>
              </w:rPr>
              <w:t xml:space="preserve">18 L/ha</w:t>
            </w:r>
          </w:p>
        </w:tc>
        <w:tc>
          <w:tcPr>
            <w:tcW w:type="dxa" w:w="800"/>
          </w:tcPr>
          <w:p>
            <w:pPr>
              <w:jc w:val="center"/>
            </w:pPr>
            <w:r>
              <w:rPr>
                <w:sz w:val="22"/>
                <w:szCs w:val="22"/>
              </w:rPr>
              <w:t xml:space="preserve">greens</w:t>
            </w:r>
          </w:p>
        </w:tc>
        <w:tc>
          <w:tcPr>
            <w:tcW w:type="dxa" w:w="1000"/>
          </w:tcPr>
          <w:p>
            <w:pPr>
              <w:jc w:val="center"/>
            </w:pPr>
            <w:r>
              <w:rPr>
                <w:sz w:val="22"/>
                <w:szCs w:val="22"/>
              </w:rPr>
            </w:r>
          </w:p>
        </w:tc>
      </w:tr>
      <w:tr>
        <w:tc>
          <w:tcPr>
            <w:tcW w:type="dxa" w:w="1200"/>
          </w:tcPr>
          <w:p>
            <w:r>
              <w:rPr>
                <w:sz w:val="22"/>
                <w:szCs w:val="22"/>
              </w:rPr>
              <w:t xml:space="preserve">01/07/2026</w:t>
            </w:r>
          </w:p>
        </w:tc>
        <w:tc>
          <w:tcPr>
            <w:tcW w:type="dxa" w:w="2200"/>
          </w:tcPr>
          <w:p>
            <w:r>
              <w:rPr>
                <w:sz w:val="22"/>
                <w:szCs w:val="22"/>
              </w:rPr>
              <w:t xml:space="preserve">Amigo 175</w:t>
            </w:r>
          </w:p>
        </w:tc>
        <w:tc>
          <w:tcPr>
            <w:tcW w:type="dxa" w:w="1600"/>
          </w:tcPr>
          <w:p>
            <w:r>
              <w:rPr>
                <w:sz w:val="22"/>
                <w:szCs w:val="22"/>
              </w:rPr>
              <w:t xml:space="preserve">Trinexapac-ethyl</w:t>
            </w:r>
          </w:p>
        </w:tc>
        <w:tc>
          <w:tcPr>
            <w:tcW w:type="dxa" w:w="900"/>
          </w:tcPr>
          <w:p>
            <w:pPr>
              <w:jc w:val="center"/>
            </w:pPr>
            <w:r>
              <w:rPr>
                <w:sz w:val="22"/>
                <w:szCs w:val="22"/>
              </w:rPr>
              <w:t xml:space="preserve">0.5 L/ha</w:t>
            </w:r>
          </w:p>
        </w:tc>
        <w:tc>
          <w:tcPr>
            <w:tcW w:type="dxa" w:w="800"/>
          </w:tcPr>
          <w:p>
            <w:pPr>
              <w:jc w:val="center"/>
            </w:pPr>
            <w:r>
              <w:rPr>
                <w:sz w:val="22"/>
                <w:szCs w:val="22"/>
              </w:rPr>
              <w:t xml:space="preserve">greens</w:t>
            </w:r>
          </w:p>
        </w:tc>
        <w:tc>
          <w:tcPr>
            <w:tcW w:type="dxa" w:w="1000"/>
          </w:tcPr>
          <w:p>
            <w:pPr>
              <w:jc w:val="center"/>
            </w:pPr>
            <w:r>
              <w:rPr>
                <w:sz w:val="22"/>
                <w:szCs w:val="22"/>
              </w:rPr>
            </w:r>
          </w:p>
        </w:tc>
      </w:tr>
      <w:tr>
        <w:tc>
          <w:tcPr>
            <w:tcW w:type="dxa" w:w="1200"/>
          </w:tcPr>
          <w:p>
            <w:r>
              <w:rPr>
                <w:sz w:val="22"/>
                <w:szCs w:val="22"/>
              </w:rPr>
              <w:t xml:space="preserve">23/06/2026</w:t>
            </w:r>
          </w:p>
        </w:tc>
        <w:tc>
          <w:tcPr>
            <w:tcW w:type="dxa" w:w="2200"/>
          </w:tcPr>
          <w:p>
            <w:r>
              <w:rPr>
                <w:sz w:val="22"/>
                <w:szCs w:val="22"/>
              </w:rPr>
              <w:t xml:space="preserve">Amigo 175</w:t>
            </w:r>
          </w:p>
        </w:tc>
        <w:tc>
          <w:tcPr>
            <w:tcW w:type="dxa" w:w="1600"/>
          </w:tcPr>
          <w:p>
            <w:r>
              <w:rPr>
                <w:sz w:val="22"/>
                <w:szCs w:val="22"/>
              </w:rPr>
              <w:t xml:space="preserve">Trinexapac-ethyl</w:t>
            </w:r>
          </w:p>
        </w:tc>
        <w:tc>
          <w:tcPr>
            <w:tcW w:type="dxa" w:w="900"/>
          </w:tcPr>
          <w:p>
            <w:pPr>
              <w:jc w:val="center"/>
            </w:pPr>
            <w:r>
              <w:rPr>
                <w:sz w:val="22"/>
                <w:szCs w:val="22"/>
              </w:rPr>
              <w:t xml:space="preserve">4 L/ha</w:t>
            </w:r>
          </w:p>
        </w:tc>
        <w:tc>
          <w:tcPr>
            <w:tcW w:type="dxa" w:w="800"/>
          </w:tcPr>
          <w:p>
            <w:pPr>
              <w:jc w:val="center"/>
            </w:pPr>
            <w:r>
              <w:rPr>
                <w:sz w:val="22"/>
                <w:szCs w:val="22"/>
              </w:rPr>
              <w:t xml:space="preserve">greens</w:t>
            </w:r>
          </w:p>
        </w:tc>
        <w:tc>
          <w:tcPr>
            <w:tcW w:type="dxa" w:w="1000"/>
          </w:tcPr>
          <w:p>
            <w:pPr>
              <w:jc w:val="center"/>
            </w:pPr>
            <w:r>
              <w:rPr>
                <w:sz w:val="22"/>
                <w:szCs w:val="22"/>
              </w:rPr>
            </w:r>
          </w:p>
        </w:tc>
      </w:tr>
    </w:tbl>
    <w:p/>
    <w:p>
      <w:r>
        <w:br w:type="page"/>
      </w:r>
    </w:p>
    <w:p>
      <w:pPr>
        <w:spacing w:after="100"/>
      </w:pPr>
      <w:r>
        <w:rPr>
          <w:b/>
          <w:bCs/>
          <w:color w:val="1F2937"/>
          <w:sz w:val="28"/>
          <w:szCs w:val="28"/>
        </w:rPr>
        <w:t xml:space="preserve">Russley Golf Club</w:t>
      </w:r>
      <w:r>
        <w:rPr>
          <w:color w:val="9CA3AF"/>
          <w:sz w:val="28"/>
          <w:szCs w:val="28"/>
        </w:rPr>
        <w:t xml:space="preserve"> ,  </w:t>
      </w:r>
      <w:r>
        <w:rPr>
          <w:b/>
          <w:bCs/>
          <w:color w:val="374151"/>
          <w:sz w:val="28"/>
          <w:szCs w:val="28"/>
        </w:rPr>
        <w:t xml:space="preserve">Green 13</w:t>
      </w:r>
    </w:p>
    <w:p>
      <w:pPr>
        <w:spacing w:after="200"/>
      </w:pPr>
      <w:r>
        <w:rPr>
          <w:color w:val="9CA3AF"/>
          <w:sz w:val="22"/>
          <w:szCs w:val="22"/>
        </w:rPr>
        <w:t xml:space="preserve">Report 3 of 3</w:t>
      </w:r>
    </w:p>
    <w:p>
      <w:pPr>
        <w:spacing w:after="200"/>
      </w:pPr>
      <w:r>
        <w:rPr>
          <w:i/>
          <w:iCs/>
          <w:color w:val="6B7280"/>
          <w:sz w:val="22"/>
          <w:szCs w:val="22"/>
        </w:rPr>
        <w:t xml:space="preserve">Recommendations based on sample: Green 13 (2026-07-06) (single sample for this zone, no trend history available).</w:t>
      </w:r>
    </w:p>
    <w:p>
      <w:pPr>
        <w:pStyle w:val="Heading1"/>
        <w:keepNext/>
      </w:pPr>
      <w:r>
        <w:t xml:space="preserve">Priority Actions</w:t>
      </w:r>
    </w:p>
    <w:p>
      <w:pPr>
        <w:pBdr>
          <w:left w:val="single" w:color="F59E0B" w:sz="24"/>
        </w:pBdr>
        <w:shd w:fill="FFFBEB" w:val="clear"/>
        <w:spacing w:before="100" w:after="50"/>
      </w:pPr>
      <w:r>
        <w:rPr>
          <w:b/>
          <w:bCs/>
          <w:color w:val="F59E0B"/>
          <w:sz w:val="22"/>
          <w:szCs w:val="22"/>
        </w:rPr>
        <w:t xml:space="preserve">SHORT-TERM (7-30 days)</w:t>
      </w:r>
    </w:p>
    <w:p>
      <w:pPr>
        <w:spacing w:before="50" w:after="50"/>
        <w:ind w:left="400"/>
      </w:pPr>
      <w:r>
        <w:rPr>
          <w:sz w:val="22"/>
          <w:szCs w:val="22"/>
        </w:rPr>
        <w:t xml:space="preserve">• Tissue N below Browntop Bent (Greens) sufficiency (3%) - increase N program or apply foliar N.</w:t>
      </w:r>
    </w:p>
    <w:p/>
    <w:p>
      <w:pPr>
        <w:spacing w:before="200" w:after="200"/>
      </w:pPr>
      <w:r>
        <w:rPr>
          <w:i/>
          <w:iCs/>
          <w:color w:val="4B5563"/>
          <w:sz w:val="22"/>
          <w:szCs w:val="22"/>
        </w:rPr>
        <w:t xml:space="preserve">Live disease pressure, irrigation status, and pre-emergent timing update against current weather in the GAIP Hub dashboard. This export captures soil chemistry and recommendations only.</w:t>
      </w:r>
    </w:p>
    <w:p>
      <w:pPr>
        <w:pStyle w:val="Heading1"/>
        <w:keepNext/>
      </w:pPr>
      <w:r>
        <w:t xml:space="preserve">Soil Nutrition (AMMONIUM_ACETATE), Green 13</w:t>
      </w:r>
    </w:p>
    <w:p>
      <w:pPr>
        <w:spacing w:after="60"/>
      </w:pPr>
      <w:r>
        <w:rPr>
          <w:i/>
          <w:iCs/>
          <w:color w:val="6B7280"/>
          <w:sz w:val="22"/>
          <w:szCs w:val="22"/>
        </w:rPr>
        <w:t xml:space="preserve">Sampled: 6 Jul 2026  •  Browntop Bent (Greens)</w:t>
      </w:r>
    </w:p>
    <w:p>
      <w:pPr>
        <w:spacing w:after="60"/>
      </w:pPr>
      <w:r>
        <w:rPr>
          <w:b/>
          <w:bCs/>
          <w:color w:val="6B7280"/>
          <w:sz w:val="22"/>
          <w:szCs w:val="22"/>
        </w:rPr>
        <w:t xml:space="preserve">Extraction Method: </w:t>
      </w:r>
      <w:r>
        <w:rPr>
          <w:color w:val="374151"/>
          <w:sz w:val="22"/>
          <w:szCs w:val="22"/>
        </w:rPr>
        <w:t xml:space="preserve">Hill Labs NZ Method – TURF Ryegrass, Sand (S277)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pH</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4.7</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Phosphorus (P)</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20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Potassium (K)</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117.3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Calcium (Ca)</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160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Magnesium (Mg)</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36.45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Organic Matter</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4.6%</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CEC</w:t>
            </w:r>
          </w:p>
        </w:tc>
        <w:tc>
          <w:tcPr>
            <w:tcW w:type="dxa" w:w="5860"/>
            <w:tcBorders>
              <w:top w:val="single" w:color="E5E7EB" w:sz="1"/>
              <w:left w:val="single" w:color="E5E7EB" w:sz="1"/>
              <w:bottom w:val="single" w:color="E5E7EB" w:sz="1"/>
              <w:right w:val="single" w:color="E5E7EB" w:sz="1"/>
            </w:tcBorders>
          </w:tcPr>
          <w:p>
            <w:r>
              <w:rPr>
                <w:color w:val="374151"/>
                <w:sz w:val="22"/>
                <w:szCs w:val="22"/>
              </w:rPr>
              <w:t xml:space="preserve">4 meq/100g</w:t>
            </w:r>
          </w:p>
        </w:tc>
      </w:tr>
    </w:tbl>
    <w:p>
      <w:pPr>
        <w:spacing w:before="300" w:after="100"/>
      </w:pPr>
      <w:r>
        <w:rPr>
          <w:b/>
          <w:bCs/>
          <w:sz w:val="22"/>
          <w:szCs w:val="22"/>
        </w:rPr>
        <w:t xml:space="preserve">Interpretation Framework Comparison</w:t>
      </w:r>
    </w:p>
    <w:p>
      <w:pPr>
        <w:spacing w:after="150"/>
      </w:pPr>
      <w:r>
        <w:rPr>
          <w:i/>
          <w:iCs/>
          <w:color w:val="4B5563"/>
          <w:sz w:val="22"/>
          <w:szCs w:val="22"/>
        </w:rPr>
        <w:t xml:space="preserve">This sample was extracted using the Ammonium Acetate (NH₄OAc pH 8.1) + Olsen P method (Hill Laboratories NZ). MLSN and SLAN guidelines are calibrated for Mehlich-3 extraction and cannot be directly applied to Ammonium Acetate results. The table below shows the three frameworks side by side so you can see how they differ in philosophy and threshold basis.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1400"/>
        <w:gridCol w:w="1600"/>
      </w:tblGrid>
      <w:tr>
        <w:trPr>
          <w:tblHeader/>
        </w:trPr>
        <w:tc>
          <w:tcPr>
            <w:tcW w:type="dxa" w:w="1800"/>
            <w:tcBorders>
              <w:top w:val="single" w:color="E5E7EB" w:sz="1"/>
              <w:left w:val="single" w:color="E5E7EB" w:sz="1"/>
              <w:bottom w:val="single" w:color="E5E7EB" w:sz="1"/>
              <w:right w:val="single" w:color="E5E7EB" w:sz="1"/>
            </w:tcBorders>
            <w:shd w:fill="F3F4F6" w:val="clear"/>
          </w:tcPr>
          <w:p>
            <w:r>
              <w:rPr>
                <w:b/>
                <w:bCs/>
                <w:sz w:val="22"/>
                <w:szCs w:val="22"/>
              </w:rPr>
              <w:t xml:space="preserve">Framework</w:t>
            </w:r>
          </w:p>
        </w:tc>
        <w:tc>
          <w:tcPr>
            <w:tcW w:type="dxa" w:w="2200"/>
            <w:tcBorders>
              <w:top w:val="single" w:color="E5E7EB" w:sz="1"/>
              <w:left w:val="single" w:color="E5E7EB" w:sz="1"/>
              <w:bottom w:val="single" w:color="E5E7EB" w:sz="1"/>
              <w:right w:val="single" w:color="E5E7EB" w:sz="1"/>
            </w:tcBorders>
            <w:shd w:fill="F3F4F6" w:val="clear"/>
          </w:tcPr>
          <w:p>
            <w:r>
              <w:rPr>
                <w:b/>
                <w:bCs/>
                <w:sz w:val="22"/>
                <w:szCs w:val="22"/>
              </w:rPr>
              <w:t xml:space="preserve">Extractant</w:t>
            </w:r>
          </w:p>
        </w:tc>
        <w:tc>
          <w:tcPr>
            <w:tcW w:type="dxa" w:w="2400"/>
            <w:tcBorders>
              <w:top w:val="single" w:color="E5E7EB" w:sz="1"/>
              <w:left w:val="single" w:color="E5E7EB" w:sz="1"/>
              <w:bottom w:val="single" w:color="E5E7EB" w:sz="1"/>
              <w:right w:val="single" w:color="E5E7EB" w:sz="1"/>
            </w:tcBorders>
            <w:shd w:fill="F3F4F6" w:val="clear"/>
          </w:tcPr>
          <w:p>
            <w:r>
              <w:rPr>
                <w:b/>
                <w:bCs/>
                <w:sz w:val="22"/>
                <w:szCs w:val="22"/>
              </w:rPr>
              <w:t xml:space="preserve">Philosophy</w:t>
            </w:r>
          </w:p>
        </w:tc>
        <w:tc>
          <w:tcPr>
            <w:tcW w:type="dxa" w:w="1400"/>
            <w:tcBorders>
              <w:top w:val="single" w:color="E5E7EB" w:sz="1"/>
              <w:left w:val="single" w:color="E5E7EB" w:sz="1"/>
              <w:bottom w:val="single" w:color="E5E7EB" w:sz="1"/>
              <w:right w:val="single" w:color="E5E7EB" w:sz="1"/>
            </w:tcBorders>
            <w:shd w:fill="F3F4F6" w:val="clear"/>
          </w:tcPr>
          <w:p>
            <w:r>
              <w:rPr>
                <w:b/>
                <w:bCs/>
                <w:sz w:val="22"/>
                <w:szCs w:val="22"/>
              </w:rPr>
              <w:t xml:space="preserve">AU/NZ/UK use</w:t>
            </w:r>
          </w:p>
        </w:tc>
        <w:tc>
          <w:tcPr>
            <w:tcW w:type="dxa" w:w="1600"/>
            <w:tcBorders>
              <w:top w:val="single" w:color="E5E7EB" w:sz="1"/>
              <w:left w:val="single" w:color="E5E7EB" w:sz="1"/>
              <w:bottom w:val="single" w:color="E5E7EB" w:sz="1"/>
              <w:right w:val="single" w:color="E5E7EB" w:sz="1"/>
            </w:tcBorders>
            <w:shd w:fill="F3F4F6" w:val="clear"/>
          </w:tcPr>
          <w:p>
            <w:r>
              <w:rPr>
                <w:b/>
                <w:bCs/>
                <w:sz w:val="22"/>
                <w:szCs w:val="22"/>
              </w:rPr>
              <w:t xml:space="preserve">Compatible with this sample?</w:t>
            </w:r>
          </w:p>
        </w:tc>
      </w:tr>
      <w:tr>
        <w:tc>
          <w:tcPr>
            <w:tcW w:type="dxa" w:w="1800"/>
            <w:tcBorders>
              <w:top w:val="single" w:color="E5E7EB" w:sz="1"/>
              <w:left w:val="single" w:color="E5E7EB" w:sz="1"/>
              <w:bottom w:val="single" w:color="E5E7EB" w:sz="1"/>
              <w:right w:val="single" w:color="E5E7EB" w:sz="1"/>
            </w:tcBorders>
            <w:shd w:fill="F0FDF4" w:val="clear"/>
          </w:tcPr>
          <w:p>
            <w:r>
              <w:rPr>
                <w:b/>
                <w:bCs/>
                <w:color w:val="166534"/>
                <w:sz w:val="22"/>
                <w:szCs w:val="22"/>
              </w:rPr>
              <w:t xml:space="preserve">Ammonium Acetate (Hill Labs NZ)</w:t>
            </w:r>
          </w:p>
        </w:tc>
        <w:tc>
          <w:tcPr>
            <w:tcW w:type="dxa" w:w="2200"/>
            <w:tcBorders>
              <w:top w:val="single" w:color="E5E7EB" w:sz="1"/>
              <w:left w:val="single" w:color="E5E7EB" w:sz="1"/>
              <w:bottom w:val="single" w:color="E5E7EB" w:sz="1"/>
              <w:right w:val="single" w:color="E5E7EB" w:sz="1"/>
            </w:tcBorders>
            <w:shd w:fill="F0FDF4" w:val="clear"/>
          </w:tcPr>
          <w:p>
            <w:r>
              <w:rPr>
                <w:sz w:val="22"/>
                <w:szCs w:val="22"/>
              </w:rPr>
              <w:t xml:space="preserve">NH₄OAc pH 8.1 (cations) + Olsen P (NaHCO₃)</w:t>
            </w:r>
          </w:p>
        </w:tc>
        <w:tc>
          <w:tcPr>
            <w:tcW w:type="dxa" w:w="2400"/>
            <w:tcBorders>
              <w:top w:val="single" w:color="E5E7EB" w:sz="1"/>
              <w:left w:val="single" w:color="E5E7EB" w:sz="1"/>
              <w:bottom w:val="single" w:color="E5E7EB" w:sz="1"/>
              <w:right w:val="single" w:color="E5E7EB" w:sz="1"/>
            </w:tcBorders>
            <w:shd w:fill="F0FDF4" w:val="clear"/>
          </w:tcPr>
          <w:p>
            <w:r>
              <w:rPr>
                <w:sz w:val="22"/>
                <w:szCs w:val="22"/>
              </w:rPr>
              <w:t xml:space="preserve">Exchangeable cation pool. Sufficiency ranges calibrated for NZ soils. Industry standard in NZ and widely used in Australia.</w:t>
            </w:r>
          </w:p>
        </w:tc>
        <w:tc>
          <w:tcPr>
            <w:tcW w:type="dxa" w:w="1400"/>
            <w:tcBorders>
              <w:top w:val="single" w:color="E5E7EB" w:sz="1"/>
              <w:left w:val="single" w:color="E5E7EB" w:sz="1"/>
              <w:bottom w:val="single" w:color="E5E7EB" w:sz="1"/>
              <w:right w:val="single" w:color="E5E7EB" w:sz="1"/>
            </w:tcBorders>
            <w:shd w:fill="F0FDF4" w:val="clear"/>
          </w:tcPr>
          <w:p>
            <w:r>
              <w:rPr>
                <w:sz w:val="22"/>
                <w:szCs w:val="22"/>
              </w:rPr>
              <w:t xml:space="preserve">Standard in NZ; common in AU</w:t>
            </w:r>
          </w:p>
        </w:tc>
        <w:tc>
          <w:tcPr>
            <w:tcW w:type="dxa" w:w="1600"/>
            <w:tcBorders>
              <w:top w:val="single" w:color="E5E7EB" w:sz="1"/>
              <w:left w:val="single" w:color="E5E7EB" w:sz="1"/>
              <w:bottom w:val="single" w:color="E5E7EB" w:sz="1"/>
              <w:right w:val="single" w:color="E5E7EB" w:sz="1"/>
            </w:tcBorders>
            <w:shd w:fill="F0FDF4" w:val="clear"/>
          </w:tcPr>
          <w:p>
            <w:r>
              <w:rPr>
                <w:b/>
                <w:bCs/>
                <w:sz w:val="22"/>
                <w:szCs w:val="22"/>
              </w:rPr>
              <w:t xml:space="preserve">✅ Yes, this report</w:t>
            </w:r>
          </w:p>
        </w:tc>
      </w:tr>
      <w:tr>
        <w:tc>
          <w:tcPr>
            <w:tcW w:type="dxa" w:w="1800"/>
            <w:tcBorders>
              <w:top w:val="single" w:color="E5E7EB" w:sz="1"/>
              <w:left w:val="single" w:color="E5E7EB" w:sz="1"/>
              <w:bottom w:val="single" w:color="E5E7EB" w:sz="1"/>
              <w:right w:val="single" w:color="E5E7EB" w:sz="1"/>
            </w:tcBorders>
            <w:shd w:fill="FEF2F2" w:val="clear"/>
          </w:tcPr>
          <w:p>
            <w:r>
              <w:rPr>
                <w:b/>
                <w:bCs/>
                <w:color w:val="DC2626"/>
                <w:sz w:val="22"/>
                <w:szCs w:val="22"/>
              </w:rPr>
              <w:t xml:space="preserve">MLSN (Woods et al. 2016)</w:t>
            </w:r>
          </w:p>
        </w:tc>
        <w:tc>
          <w:tcPr>
            <w:tcW w:type="dxa" w:w="2200"/>
            <w:tcBorders>
              <w:top w:val="single" w:color="E5E7EB" w:sz="1"/>
              <w:left w:val="single" w:color="E5E7EB" w:sz="1"/>
              <w:bottom w:val="single" w:color="E5E7EB" w:sz="1"/>
              <w:right w:val="single" w:color="E5E7EB" w:sz="1"/>
            </w:tcBorders>
            <w:shd w:fill="FEF2F2" w:val="clear"/>
          </w:tcPr>
          <w:p>
            <w:r>
              <w:rPr>
                <w:sz w:val="22"/>
                <w:szCs w:val="22"/>
              </w:rPr>
              <w:t xml:space="preserve">Mehlich-3</w:t>
            </w:r>
          </w:p>
        </w:tc>
        <w:tc>
          <w:tcPr>
            <w:tcW w:type="dxa" w:w="2400"/>
            <w:tcBorders>
              <w:top w:val="single" w:color="E5E7EB" w:sz="1"/>
              <w:left w:val="single" w:color="E5E7EB" w:sz="1"/>
              <w:bottom w:val="single" w:color="E5E7EB" w:sz="1"/>
              <w:right w:val="single" w:color="E5E7EB" w:sz="1"/>
            </w:tcBorders>
            <w:shd w:fill="FEF2F2" w:val="clear"/>
          </w:tcPr>
          <w:p>
            <w:r>
              <w:rPr>
                <w:sz w:val="22"/>
                <w:szCs w:val="22"/>
              </w:rPr>
              <w:t xml:space="preserve">Minimum threshold below which deficiency becomes likely. Conservative, avoids over-fertilisation. Used globally in precision turf management. First introduced 2012; canonical published guidelines Woods, Stowell &amp; Gelernter (2016) PeerJ Preprints 4:e2144v1.</w:t>
            </w:r>
          </w:p>
        </w:tc>
        <w:tc>
          <w:tcPr>
            <w:tcW w:type="dxa" w:w="1400"/>
            <w:tcBorders>
              <w:top w:val="single" w:color="E5E7EB" w:sz="1"/>
              <w:left w:val="single" w:color="E5E7EB" w:sz="1"/>
              <w:bottom w:val="single" w:color="E5E7EB" w:sz="1"/>
              <w:right w:val="single" w:color="E5E7EB" w:sz="1"/>
            </w:tcBorders>
            <w:shd w:fill="FEF2F2" w:val="clear"/>
          </w:tcPr>
          <w:p>
            <w:r>
              <w:rPr>
                <w:sz w:val="22"/>
                <w:szCs w:val="22"/>
              </w:rPr>
              <w:t xml:space="preserve">AU/NZ: values not directly applicable to AA data</w:t>
            </w:r>
          </w:p>
        </w:tc>
        <w:tc>
          <w:tcPr>
            <w:tcW w:type="dxa" w:w="1600"/>
            <w:tcBorders>
              <w:top w:val="single" w:color="E5E7EB" w:sz="1"/>
              <w:left w:val="single" w:color="E5E7EB" w:sz="1"/>
              <w:bottom w:val="single" w:color="E5E7EB" w:sz="1"/>
              <w:right w:val="single" w:color="E5E7EB" w:sz="1"/>
            </w:tcBorders>
            <w:shd w:fill="FEF2F2" w:val="clear"/>
          </w:tcPr>
          <w:p>
            <w:r>
              <w:rPr>
                <w:b/>
                <w:bCs/>
                <w:sz w:val="22"/>
                <w:szCs w:val="22"/>
              </w:rPr>
              <w:t xml:space="preserve">❌ No, extractant mismatch</w:t>
            </w:r>
          </w:p>
        </w:tc>
      </w:tr>
      <w:tr>
        <w:tc>
          <w:tcPr>
            <w:tcW w:type="dxa" w:w="1800"/>
            <w:tcBorders>
              <w:top w:val="single" w:color="E5E7EB" w:sz="1"/>
              <w:left w:val="single" w:color="E5E7EB" w:sz="1"/>
              <w:bottom w:val="single" w:color="E5E7EB" w:sz="1"/>
              <w:right w:val="single" w:color="E5E7EB" w:sz="1"/>
            </w:tcBorders>
            <w:shd w:fill="FFFBEB" w:val="clear"/>
          </w:tcPr>
          <w:p>
            <w:r>
              <w:rPr>
                <w:b/>
                <w:bCs/>
                <w:color w:val="92400E"/>
                <w:sz w:val="22"/>
                <w:szCs w:val="22"/>
              </w:rPr>
              <w:t xml:space="preserve">SLAN (Carrow et al. 2004)</w:t>
            </w:r>
          </w:p>
        </w:tc>
        <w:tc>
          <w:tcPr>
            <w:tcW w:type="dxa" w:w="2200"/>
            <w:tcBorders>
              <w:top w:val="single" w:color="E5E7EB" w:sz="1"/>
              <w:left w:val="single" w:color="E5E7EB" w:sz="1"/>
              <w:bottom w:val="single" w:color="E5E7EB" w:sz="1"/>
              <w:right w:val="single" w:color="E5E7EB" w:sz="1"/>
            </w:tcBorders>
            <w:shd w:fill="FFFBEB" w:val="clear"/>
          </w:tcPr>
          <w:p>
            <w:r>
              <w:rPr>
                <w:sz w:val="22"/>
                <w:szCs w:val="22"/>
              </w:rPr>
              <w:t xml:space="preserve">Mehlich-3</w:t>
            </w:r>
          </w:p>
        </w:tc>
        <w:tc>
          <w:tcPr>
            <w:tcW w:type="dxa" w:w="2400"/>
            <w:tcBorders>
              <w:top w:val="single" w:color="E5E7EB" w:sz="1"/>
              <w:left w:val="single" w:color="E5E7EB" w:sz="1"/>
              <w:bottom w:val="single" w:color="E5E7EB" w:sz="1"/>
              <w:right w:val="single" w:color="E5E7EB" w:sz="1"/>
            </w:tcBorders>
            <w:shd w:fill="FFFBEB" w:val="clear"/>
          </w:tcPr>
          <w:p>
            <w:r>
              <w:rPr>
                <w:sz w:val="22"/>
                <w:szCs w:val="22"/>
              </w:rPr>
              <w:t xml:space="preserve">Sufficiency range, target band above minimum. Higher thresholds than MLSN. Based on agronomic optimum rather than minimum viable level. Canonical published ranges Carrow, Stowell, Gelernter, Davis, Duncan &amp; Skorulski (2004) GCM 72(1):194-198.</w:t>
            </w:r>
          </w:p>
        </w:tc>
        <w:tc>
          <w:tcPr>
            <w:tcW w:type="dxa" w:w="1400"/>
            <w:tcBorders>
              <w:top w:val="single" w:color="E5E7EB" w:sz="1"/>
              <w:left w:val="single" w:color="E5E7EB" w:sz="1"/>
              <w:bottom w:val="single" w:color="E5E7EB" w:sz="1"/>
              <w:right w:val="single" w:color="E5E7EB" w:sz="1"/>
            </w:tcBorders>
            <w:shd w:fill="FFFBEB" w:val="clear"/>
          </w:tcPr>
          <w:p>
            <w:r>
              <w:rPr>
                <w:sz w:val="22"/>
                <w:szCs w:val="22"/>
              </w:rPr>
              <w:t xml:space="preserve">AU/NZ: values not directly applicable to AA data</w:t>
            </w:r>
          </w:p>
        </w:tc>
        <w:tc>
          <w:tcPr>
            <w:tcW w:type="dxa" w:w="1600"/>
            <w:tcBorders>
              <w:top w:val="single" w:color="E5E7EB" w:sz="1"/>
              <w:left w:val="single" w:color="E5E7EB" w:sz="1"/>
              <w:bottom w:val="single" w:color="E5E7EB" w:sz="1"/>
              <w:right w:val="single" w:color="E5E7EB" w:sz="1"/>
            </w:tcBorders>
            <w:shd w:fill="FFFBEB" w:val="clear"/>
          </w:tcPr>
          <w:p>
            <w:r>
              <w:rPr>
                <w:b/>
                <w:bCs/>
                <w:sz w:val="22"/>
                <w:szCs w:val="22"/>
              </w:rPr>
              <w:t xml:space="preserve">❌ No, extractant mismatch</w:t>
            </w:r>
          </w:p>
        </w:tc>
      </w:tr>
    </w:tbl>
    <w:p>
      <w:pPr>
        <w:spacing w:before="120" w:after="80"/>
      </w:pPr>
      <w:r>
        <w:rPr>
          <w:i/>
          <w:iCs/>
          <w:color w:val="6B7280"/>
          <w:sz w:val="20"/>
          <w:szCs w:val="20"/>
        </w:rPr>
        <w:t xml:space="preserve">Note: If Mehlich-3 results are available for this site, contact your agronomist to run the full MLSN/SLAN dual comparison. Approximate conversion factors exist (e.g. Mehlich-3 K ≈ 1.1× AA K) but introduce error and are not recommended for formal recommendations.</w:t>
      </w:r>
    </w:p>
    <w:p/>
    <w:p>
      <w:pPr>
        <w:spacing w:before="120" w:after="120"/>
        <w:jc w:val="center"/>
      </w:pPr>
      <w:r>
        <w:drawing>
          <wp:inline distT="0" distB="0" distL="0" distR="0">
            <wp:extent cx="5334000" cy="2133600"/>
            <wp:effectExtent t="0" r="0" b="0" l="0"/>
            <wp:docPr id="8" name="chart_soil_5" descr="GAIP soil analysis chart" title="soil 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5" cstate="none"/>
                    <a:srcRect/>
                    <a:stretch>
                      <a:fillRect/>
                    </a:stretch>
                  </pic:blipFill>
                  <pic:spPr bwMode="auto">
                    <a:xfrm>
                      <a:off x="0" y="0"/>
                      <a:ext cx="5334000" cy="2133600"/>
                    </a:xfrm>
                    <a:prstGeom prst="rect">
                      <a:avLst/>
                    </a:prstGeom>
                  </pic:spPr>
                </pic:pic>
              </a:graphicData>
            </a:graphic>
          </wp:inline>
        </w:drawing>
      </w:r>
    </w:p>
    <w:p>
      <w:pPr>
        <w:spacing w:before="200" w:after="100"/>
      </w:pPr>
      <w:r>
        <w:rPr>
          <w:b/>
          <w:bCs/>
          <w:sz w:val="22"/>
          <w:szCs w:val="22"/>
        </w:rPr>
        <w:t xml:space="preserve">pH and CEC Context</w:t>
      </w:r>
    </w:p>
    <w:p>
      <w:pPr>
        <w:spacing w:before="150" w:after="50"/>
      </w:pPr>
      <w:r>
        <w:rPr>
          <w:sz w:val="22"/>
          <w:szCs w:val="22"/>
        </w:rPr>
        <w:t xml:space="preserve">Soil pH: 4.7</w:t>
      </w:r>
    </w:p>
    <w:p>
      <w:pPr>
        <w:spacing w:after="80"/>
        <w:ind w:left="200"/>
      </w:pPr>
      <w:r>
        <w:rPr>
          <w:color w:val="374151"/>
          <w:sz w:val="22"/>
          <w:szCs w:val="22"/>
        </w:rPr>
        <w:t xml:space="preserve">Browntop Bent pH requirements: </w:t>
      </w:r>
      <w:r>
        <w:rPr>
          <w:color w:val="6B7280"/>
          <w:sz w:val="22"/>
          <w:szCs w:val="22"/>
        </w:rPr>
        <w:t xml:space="preserve">Optimal 5.5–6.5 | Tolerance 5–7</w:t>
      </w:r>
      <w:r>
        <w:rPr>
          <w:color w:val="059669"/>
          <w:sz w:val="22"/>
          <w:szCs w:val="22"/>
        </w:rPr>
        <w:t xml:space="preserve"> | Acid-tolerant</w:t>
      </w:r>
      <w:r/>
    </w:p>
    <w:p>
      <w:pPr>
        <w:spacing w:before="150" w:after="50"/>
      </w:pPr>
      <w:r>
        <w:rPr>
          <w:sz w:val="22"/>
          <w:szCs w:val="22"/>
        </w:rPr>
        <w:t xml:space="preserve">Cation Exchange Capacity: 4 meq/100g</w:t>
      </w:r>
    </w:p>
    <w:p>
      <w:pPr>
        <w:spacing w:after="100"/>
        <w:ind w:left="200"/>
      </w:pPr>
      <w:r>
        <w:rPr>
          <w:color w:val="4B5563"/>
          <w:sz w:val="22"/>
          <w:szCs w:val="22"/>
        </w:rPr>
        <w:t xml:space="preserve">Soil pH (4.7) is below the tolerance range for Browntop Bent (5–7). At this level, aluminium and manganese can become toxic to roots and phosphorus availability is severely restricted. Dolomite application (see Soil Nutrition recommendations) will correct pH while addressing Mg and Ca deficits simultaneously, retest in 6 months.</w:t>
      </w:r>
    </w:p>
    <w:p>
      <w:pPr>
        <w:spacing w:after="100"/>
        <w:ind w:left="200"/>
      </w:pPr>
      <w:r>
        <w:rPr>
          <w:color w:val="4B5563"/>
          <w:sz w:val="22"/>
          <w:szCs w:val="22"/>
        </w:rPr>
        <w:t xml:space="preserve">CEC is low (4 meq/100g), indicating a sandy soil with limited nutrient-holding capacity. Nutrients applied will leach more readily, requiring smaller, more frequent applications. The benefit is that any sodium accumulation will also leach more easily.</w:t>
      </w:r>
    </w:p>
    <w:p>
      <w:pPr>
        <w:spacing w:after="80"/>
        <w:ind w:left="200"/>
      </w:pPr>
      <w:r>
        <w:rPr>
          <w:color w:val="374151"/>
          <w:sz w:val="22"/>
          <w:szCs w:val="22"/>
        </w:rPr>
        <w:t xml:space="preserve">Apply fertilisers in split applications (little and often). Consider slow-release nitrogen sources.</w:t>
      </w:r>
    </w:p>
    <w:p>
      <w:pPr>
        <w:spacing w:before="200" w:after="100"/>
      </w:pPr>
      <w:r>
        <w:rPr>
          <w:b/>
          <w:bCs/>
          <w:color w:val="1F2937"/>
          <w:sz w:val="22"/>
          <w:szCs w:val="22"/>
        </w:rPr>
        <w:t xml:space="preserve">Interpretation</w:t>
      </w:r>
    </w:p>
    <w:p>
      <w:pPr>
        <w:spacing w:after="120"/>
      </w:pPr>
      <w:r>
        <w:rPr>
          <w:color w:val="4B5563"/>
          <w:sz w:val="22"/>
          <w:szCs w:val="22"/>
        </w:rPr>
        <w:t xml:space="preserve">Calcium is below Ammonium Acetate (Hill Labs) guidelines and requires attention.</w:t>
      </w:r>
    </w:p>
    <w:p>
      <w:pPr>
        <w:spacing w:after="120"/>
      </w:pPr>
      <w:r>
        <w:rPr>
          <w:color w:val="4B5563"/>
          <w:sz w:val="22"/>
          <w:szCs w:val="22"/>
        </w:rPr>
        <w:t xml:space="preserve">Magnesium is marginally below Ammonium Acetate (Hill Labs) guidelines but the gap is narrow (within measurement noise and seasonal uptake variation). Monitor at next routine soil test rather than amending now; see the Annual Soil Amendments table.</w:t>
      </w:r>
    </w:p>
    <w:p>
      <w:pPr>
        <w:spacing w:after="120"/>
      </w:pPr>
      <w:r>
        <w:rPr>
          <w:color w:val="4B5563"/>
          <w:sz w:val="22"/>
          <w:szCs w:val="22"/>
        </w:rPr>
        <w:t xml:space="preserve">Phosphorus, Potassium levels are adequate.</w:t>
      </w:r>
    </w:p>
    <w:p>
      <w:pPr>
        <w:spacing w:after="120"/>
      </w:pPr>
      <w:r>
        <w:rPr>
          <w:color w:val="4B5563"/>
          <w:sz w:val="22"/>
          <w:szCs w:val="22"/>
        </w:rPr>
      </w:r>
    </w:p>
    <w:p>
      <w:pPr>
        <w:spacing w:after="120"/>
      </w:pPr>
      <w:r>
        <w:rPr>
          <w:color w:val="4B5563"/>
          <w:sz w:val="22"/>
          <w:szCs w:val="22"/>
        </w:rPr>
        <w:t xml:space="preserve">Interpretation uses Hill Labs NZ extraction methods: Olsen phosphorus (sodium bicarbonate) and ammonium acetate (pH 8.1) for cations. Sufficiency ranges are calibrated for New Zealand soil conditions.</w:t>
      </w:r>
    </w:p>
    <w:p>
      <w:pPr>
        <w:spacing w:after="120"/>
      </w:pPr>
      <w:r>
        <w:rPr>
          <w:color w:val="4B5563"/>
          <w:sz w:val="22"/>
          <w:szCs w:val="22"/>
        </w:rPr>
        <w:t xml:space="preserve">Soil pH is very acidic (4.7). This severely limits phosphorus availability and may allow aluminium and manganese toxicity.</w:t>
      </w:r>
    </w:p>
    <w:p>
      <w:pPr>
        <w:spacing w:before="150" w:after="80"/>
      </w:pPr>
      <w:r>
        <w:rPr>
          <w:color w:val="1F2937"/>
          <w:sz w:val="22"/>
          <w:szCs w:val="22"/>
        </w:rPr>
        <w:t xml:space="preserve">Recommendations:</w:t>
      </w:r>
    </w:p>
    <w:p>
      <w:pPr>
        <w:spacing w:after="80"/>
        <w:ind w:left="360"/>
      </w:pPr>
      <w:r>
        <w:rPr>
          <w:color w:val="16A34A"/>
          <w:sz w:val="22"/>
          <w:szCs w:val="22"/>
        </w:rPr>
        <w:t xml:space="preserve">• </w:t>
      </w:r>
      <w:r>
        <w:rPr>
          <w:color w:val="374151"/>
          <w:sz w:val="22"/>
          <w:szCs w:val="22"/>
        </w:rPr>
        <w:t xml:space="preserve">Calcium deficit is addressed by dolomite (being recommended for Mg/pH). No standalone Ca amendment required.</w:t>
      </w:r>
    </w:p>
    <w:p>
      <w:pPr>
        <w:pStyle w:val="Heading2"/>
        <w:keepNext/>
        <w:spacing w:before="240" w:after="80"/>
      </w:pPr>
      <w:r>
        <w:rPr>
          <w:b/>
          <w:bCs/>
        </w:rPr>
        <w:t xml:space="preserve">Annual Soil Amendments</w:t>
      </w:r>
    </w:p>
    <w:p>
      <w:pPr>
        <w:spacing w:after="120"/>
      </w:pPr>
      <w:r>
        <w:rPr>
          <w:i/>
          <w:iCs/>
          <w:color w:val="6B7280"/>
          <w:sz w:val="22"/>
          <w:szCs w:val="22"/>
        </w:rPr>
        <w:t xml:space="preserve">Soil deficits are reconciled against the nutrition programme delivery before recommending standalone amendments. Where the programme already meets the deficit, the standalone product is suppressed; otherwise the rate is reduced to the residual.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950"/>
        <w:gridCol w:w="1100"/>
        <w:gridCol w:w="950"/>
        <w:gridCol w:w="1900"/>
        <w:gridCol w:w="1000"/>
        <w:gridCol w:w="1000"/>
        <w:gridCol w:w="1300"/>
      </w:tblGrid>
      <w:tr>
        <w:trPr>
          <w:cantSplit/>
          <w:tblHeader/>
        </w:trPr>
        <w:tc>
          <w:tcPr>
            <w:tcW w:type="dxa" w:w="1100"/>
            <w:tcBorders>
              <w:top w:val="single" w:color="D1D5DB" w:sz="1"/>
              <w:left w:val="single" w:color="D1D5DB" w:sz="1"/>
              <w:bottom w:val="single" w:color="D1D5DB" w:sz="1"/>
              <w:right w:val="single" w:color="D1D5DB" w:sz="1"/>
            </w:tcBorders>
            <w:shd w:fill="F3F4F6" w:val="clear"/>
          </w:tcPr>
          <w:p>
            <w:pPr>
              <w:jc w:val="center"/>
            </w:pPr>
            <w:r>
              <w:rPr>
                <w:b/>
                <w:bCs/>
                <w:sz w:val="22"/>
                <w:szCs w:val="22"/>
              </w:rPr>
              <w:t xml:space="preserve">Nutrient</w:t>
            </w:r>
          </w:p>
        </w:tc>
        <w:tc>
          <w:tcPr>
            <w:tcW w:type="dxa" w:w="950"/>
            <w:tcBorders>
              <w:top w:val="single" w:color="D1D5DB" w:sz="1"/>
              <w:left w:val="single" w:color="D1D5DB" w:sz="1"/>
              <w:bottom w:val="single" w:color="D1D5DB" w:sz="1"/>
              <w:right w:val="single" w:color="D1D5DB" w:sz="1"/>
            </w:tcBorders>
            <w:shd w:fill="F3F4F6" w:val="clear"/>
          </w:tcPr>
          <w:p>
            <w:pPr>
              <w:jc w:val="center"/>
            </w:pPr>
            <w:r>
              <w:rPr>
                <w:b/>
                <w:bCs/>
                <w:sz w:val="22"/>
                <w:szCs w:val="22"/>
              </w:rPr>
              <w:t xml:space="preserve">Soil deficit
(kg/ha)</w:t>
            </w:r>
          </w:p>
        </w:tc>
        <w:tc>
          <w:tcPr>
            <w:tcW w:type="dxa" w:w="1100"/>
            <w:tcBorders>
              <w:top w:val="single" w:color="D1D5DB" w:sz="1"/>
              <w:left w:val="single" w:color="D1D5DB" w:sz="1"/>
              <w:bottom w:val="single" w:color="D1D5DB" w:sz="1"/>
              <w:right w:val="single" w:color="D1D5DB" w:sz="1"/>
            </w:tcBorders>
            <w:shd w:fill="EFF6FF" w:val="clear"/>
          </w:tcPr>
          <w:p>
            <w:pPr>
              <w:jc w:val="center"/>
            </w:pPr>
            <w:r>
              <w:rPr>
                <w:b/>
                <w:bCs/>
                <w:sz w:val="22"/>
                <w:szCs w:val="22"/>
              </w:rPr>
              <w:t xml:space="preserve">Programme delivers
(kg/ha)</w:t>
            </w:r>
          </w:p>
        </w:tc>
        <w:tc>
          <w:tcPr>
            <w:tcW w:type="dxa" w:w="950"/>
            <w:tcBorders>
              <w:top w:val="single" w:color="D1D5DB" w:sz="1"/>
              <w:left w:val="single" w:color="D1D5DB" w:sz="1"/>
              <w:bottom w:val="single" w:color="D1D5DB" w:sz="1"/>
              <w:right w:val="single" w:color="D1D5DB" w:sz="1"/>
            </w:tcBorders>
            <w:shd w:fill="EFF6FF" w:val="clear"/>
          </w:tcPr>
          <w:p>
            <w:pPr>
              <w:jc w:val="center"/>
            </w:pPr>
            <w:r>
              <w:rPr>
                <w:b/>
                <w:bCs/>
                <w:sz w:val="22"/>
                <w:szCs w:val="22"/>
              </w:rPr>
              <w:t xml:space="preserve">Residual
(kg/ha)</w:t>
            </w:r>
          </w:p>
        </w:tc>
        <w:tc>
          <w:tcPr>
            <w:tcW w:type="dxa" w:w="1900"/>
            <w:tcBorders>
              <w:top w:val="single" w:color="D1D5DB" w:sz="1"/>
              <w:left w:val="single" w:color="D1D5DB" w:sz="1"/>
              <w:bottom w:val="single" w:color="D1D5DB" w:sz="1"/>
              <w:right w:val="single" w:color="D1D5DB" w:sz="1"/>
            </w:tcBorders>
            <w:shd w:fill="F3F4F6" w:val="clear"/>
          </w:tcPr>
          <w:p>
            <w:pPr>
              <w:jc w:val="center"/>
            </w:pPr>
            <w:r>
              <w:rPr>
                <w:b/>
                <w:bCs/>
                <w:sz w:val="22"/>
                <w:szCs w:val="22"/>
              </w:rPr>
              <w:t xml:space="preserve">Product</w:t>
            </w:r>
          </w:p>
        </w:tc>
        <w:tc>
          <w:tcPr>
            <w:tcW w:type="dxa" w:w="1000"/>
            <w:tcBorders>
              <w:top w:val="single" w:color="D1D5DB" w:sz="1"/>
              <w:left w:val="single" w:color="D1D5DB" w:sz="1"/>
              <w:bottom w:val="single" w:color="D1D5DB" w:sz="1"/>
              <w:right w:val="single" w:color="D1D5DB" w:sz="1"/>
            </w:tcBorders>
            <w:shd w:fill="FEF3C7" w:val="clear"/>
          </w:tcPr>
          <w:p>
            <w:pPr>
              <w:jc w:val="center"/>
            </w:pPr>
            <w:r>
              <w:rPr>
                <w:b/>
                <w:bCs/>
                <w:sz w:val="22"/>
                <w:szCs w:val="22"/>
              </w:rPr>
              <w:t xml:space="preserve">Theoretical
(kg/ha)</w:t>
            </w:r>
          </w:p>
        </w:tc>
        <w:tc>
          <w:tcPr>
            <w:tcW w:type="dxa" w:w="1000"/>
            <w:tcBorders>
              <w:top w:val="single" w:color="D1D5DB" w:sz="1"/>
              <w:left w:val="single" w:color="D1D5DB" w:sz="1"/>
              <w:bottom w:val="single" w:color="D1D5DB" w:sz="1"/>
              <w:right w:val="single" w:color="D1D5DB" w:sz="1"/>
            </w:tcBorders>
            <w:shd w:fill="DCFCE7" w:val="clear"/>
          </w:tcPr>
          <w:p>
            <w:pPr>
              <w:jc w:val="center"/>
            </w:pPr>
            <w:r>
              <w:rPr>
                <w:b/>
                <w:bCs/>
                <w:sz w:val="22"/>
                <w:szCs w:val="22"/>
              </w:rPr>
              <w:t xml:space="preserve">Practical
(kg/ha/yr)</w:t>
            </w:r>
          </w:p>
        </w:tc>
        <w:tc>
          <w:tcPr>
            <w:tcW w:type="dxa" w:w="1300"/>
            <w:tcBorders>
              <w:top w:val="single" w:color="D1D5DB" w:sz="1"/>
              <w:left w:val="single" w:color="D1D5DB" w:sz="1"/>
              <w:bottom w:val="single" w:color="D1D5DB" w:sz="1"/>
              <w:right w:val="single" w:color="D1D5DB" w:sz="1"/>
            </w:tcBorders>
            <w:shd w:fill="F3F4F6" w:val="clear"/>
          </w:tcPr>
          <w:p>
            <w:pPr>
              <w:jc w:val="center"/>
            </w:pPr>
            <w:r>
              <w:rPr>
                <w:b/>
                <w:bCs/>
                <w:sz w:val="22"/>
                <w:szCs w:val="22"/>
              </w:rPr>
              <w:t xml:space="preserve">Status</w:t>
            </w:r>
          </w:p>
        </w:tc>
      </w:tr>
      <w:tr>
        <w:trPr>
          <w:cantSplit/>
        </w:trPr>
        <w:tc>
          <w:tcPr>
            <w:tcW w:type="dxa" w:w="1100"/>
            <w:tcBorders>
              <w:top w:val="single" w:color="D1D5DB" w:sz="1"/>
              <w:left w:val="single" w:color="D1D5DB" w:sz="1"/>
              <w:bottom w:val="single" w:color="D1D5DB" w:sz="1"/>
              <w:right w:val="single" w:color="D1D5DB" w:sz="1"/>
            </w:tcBorders>
          </w:tcPr>
          <w:p>
            <w:pPr>
              <w:jc w:val="left"/>
            </w:pPr>
            <w:r>
              <w:rPr>
                <w:b/>
                <w:bCs/>
                <w:color w:val="1F2937"/>
                <w:sz w:val="20"/>
                <w:szCs w:val="20"/>
              </w:rPr>
              <w:t xml:space="preserve">Calcium (Ca)</w:t>
            </w:r>
          </w:p>
        </w:tc>
        <w:tc>
          <w:tcPr>
            <w:tcW w:type="dxa" w:w="950"/>
            <w:tcBorders>
              <w:top w:val="single" w:color="D1D5DB" w:sz="1"/>
              <w:left w:val="single" w:color="D1D5DB" w:sz="1"/>
              <w:bottom w:val="single" w:color="D1D5DB" w:sz="1"/>
              <w:right w:val="single" w:color="D1D5DB" w:sz="1"/>
            </w:tcBorders>
          </w:tcPr>
          <w:p>
            <w:pPr>
              <w:jc w:val="center"/>
            </w:pPr>
            <w:r>
              <w:rPr>
                <w:b w:val="false"/>
                <w:bCs w:val="false"/>
                <w:color w:val="1F2937"/>
                <w:sz w:val="20"/>
                <w:szCs w:val="20"/>
              </w:rPr>
              <w:t xml:space="preserve">336.0</w:t>
            </w:r>
          </w:p>
        </w:tc>
        <w:tc>
          <w:tcPr>
            <w:tcW w:type="dxa" w:w="1100"/>
            <w:tcBorders>
              <w:top w:val="single" w:color="D1D5DB" w:sz="1"/>
              <w:left w:val="single" w:color="D1D5DB" w:sz="1"/>
              <w:bottom w:val="single" w:color="D1D5DB" w:sz="1"/>
              <w:right w:val="single" w:color="D1D5DB" w:sz="1"/>
            </w:tcBorders>
            <w:shd w:fill="F8FAFC" w:val="clear"/>
          </w:tcPr>
          <w:p>
            <w:pPr>
              <w:jc w:val="center"/>
            </w:pPr>
            <w:r>
              <w:rPr>
                <w:b w:val="false"/>
                <w:bCs w:val="false"/>
                <w:color w:val="1F2937"/>
                <w:sz w:val="20"/>
                <w:szCs w:val="20"/>
              </w:rPr>
              <w:t xml:space="preserve">0.0</w:t>
            </w:r>
          </w:p>
        </w:tc>
        <w:tc>
          <w:tcPr>
            <w:tcW w:type="dxa" w:w="950"/>
            <w:tcBorders>
              <w:top w:val="single" w:color="D1D5DB" w:sz="1"/>
              <w:left w:val="single" w:color="D1D5DB" w:sz="1"/>
              <w:bottom w:val="single" w:color="D1D5DB" w:sz="1"/>
              <w:right w:val="single" w:color="D1D5DB" w:sz="1"/>
            </w:tcBorders>
            <w:shd w:fill="F8FAFC" w:val="clear"/>
          </w:tcPr>
          <w:p>
            <w:pPr>
              <w:jc w:val="center"/>
            </w:pPr>
            <w:r>
              <w:rPr>
                <w:b w:val="false"/>
                <w:bCs w:val="false"/>
                <w:color w:val="1F2937"/>
                <w:sz w:val="20"/>
                <w:szCs w:val="20"/>
              </w:rPr>
              <w:t xml:space="preserve">336.0</w:t>
            </w:r>
          </w:p>
        </w:tc>
        <w:tc>
          <w:tcPr>
            <w:tcW w:type="dxa" w:w="1900"/>
            <w:tcBorders>
              <w:top w:val="single" w:color="D1D5DB" w:sz="1"/>
              <w:left w:val="single" w:color="D1D5DB" w:sz="1"/>
              <w:bottom w:val="single" w:color="D1D5DB" w:sz="1"/>
              <w:right w:val="single" w:color="D1D5DB" w:sz="1"/>
            </w:tcBorders>
          </w:tcPr>
          <w:p>
            <w:pPr>
              <w:jc w:val="left"/>
            </w:pPr>
            <w:r>
              <w:rPr>
                <w:b w:val="false"/>
                <w:bCs w:val="false"/>
                <w:color w:val="1F2937"/>
                <w:sz w:val="20"/>
                <w:szCs w:val="20"/>
              </w:rPr>
              <w:t xml:space="preserve">-</w:t>
            </w:r>
          </w:p>
        </w:tc>
        <w:tc>
          <w:tcPr>
            <w:tcW w:type="dxa" w:w="1000"/>
            <w:tcBorders>
              <w:top w:val="single" w:color="D1D5DB" w:sz="1"/>
              <w:left w:val="single" w:color="D1D5DB" w:sz="1"/>
              <w:bottom w:val="single" w:color="D1D5DB" w:sz="1"/>
              <w:right w:val="single" w:color="D1D5DB" w:sz="1"/>
            </w:tcBorders>
            <w:shd w:fill="FEF3C7" w:val="clear"/>
          </w:tcPr>
          <w:p>
            <w:pPr>
              <w:jc w:val="center"/>
            </w:pPr>
            <w:r>
              <w:rPr>
                <w:b w:val="false"/>
                <w:bCs w:val="false"/>
                <w:color w:val="1F2937"/>
                <w:sz w:val="20"/>
                <w:szCs w:val="20"/>
              </w:rPr>
              <w:t xml:space="preserve">-</w:t>
            </w:r>
          </w:p>
        </w:tc>
        <w:tc>
          <w:tcPr>
            <w:tcW w:type="dxa" w:w="1000"/>
            <w:tcBorders>
              <w:top w:val="single" w:color="D1D5DB" w:sz="1"/>
              <w:left w:val="single" w:color="D1D5DB" w:sz="1"/>
              <w:bottom w:val="single" w:color="D1D5DB" w:sz="1"/>
              <w:right w:val="single" w:color="D1D5DB" w:sz="1"/>
            </w:tcBorders>
            <w:shd w:fill="DCFCE7" w:val="clear"/>
          </w:tcPr>
          <w:p>
            <w:pPr>
              <w:jc w:val="center"/>
            </w:pPr>
            <w:r>
              <w:rPr>
                <w:b w:val="false"/>
                <w:bCs w:val="false"/>
                <w:color w:val="1F2937"/>
                <w:sz w:val="20"/>
                <w:szCs w:val="20"/>
              </w:rPr>
              <w:t xml:space="preserve">-</w:t>
            </w:r>
          </w:p>
        </w:tc>
        <w:tc>
          <w:tcPr>
            <w:tcW w:type="dxa" w:w="1300"/>
            <w:tcBorders>
              <w:top w:val="single" w:color="D1D5DB" w:sz="1"/>
              <w:left w:val="single" w:color="D1D5DB" w:sz="1"/>
              <w:bottom w:val="single" w:color="D1D5DB" w:sz="1"/>
              <w:right w:val="single" w:color="D1D5DB" w:sz="1"/>
            </w:tcBorders>
            <w:shd w:fill="DCFCE7" w:val="clear"/>
          </w:tcPr>
          <w:p>
            <w:pPr>
              <w:jc w:val="center"/>
            </w:pPr>
            <w:r>
              <w:rPr>
                <w:b w:val="false"/>
                <w:bCs w:val="false"/>
                <w:color w:val="15803D"/>
                <w:sz w:val="20"/>
                <w:szCs w:val="20"/>
              </w:rPr>
              <w:t xml:space="preserve">Suppressed (dolomite covers)</w:t>
            </w:r>
          </w:p>
        </w:tc>
      </w:tr>
      <w:tr>
        <w:trPr>
          <w:cantSplit/>
        </w:trPr>
        <w:tc>
          <w:tcPr>
            <w:tcW w:type="dxa" w:w="1100"/>
            <w:tcBorders>
              <w:top w:val="single" w:color="D1D5DB" w:sz="1"/>
              <w:left w:val="single" w:color="D1D5DB" w:sz="1"/>
              <w:bottom w:val="single" w:color="D1D5DB" w:sz="1"/>
              <w:right w:val="single" w:color="D1D5DB" w:sz="1"/>
            </w:tcBorders>
          </w:tcPr>
          <w:p>
            <w:pPr>
              <w:jc w:val="left"/>
            </w:pPr>
            <w:r>
              <w:rPr>
                <w:b/>
                <w:bCs/>
                <w:color w:val="1F2937"/>
                <w:sz w:val="20"/>
                <w:szCs w:val="20"/>
              </w:rPr>
              <w:t xml:space="preserve">Magnesium (Mg)</w:t>
            </w:r>
          </w:p>
        </w:tc>
        <w:tc>
          <w:tcPr>
            <w:tcW w:type="dxa" w:w="950"/>
            <w:tcBorders>
              <w:top w:val="single" w:color="D1D5DB" w:sz="1"/>
              <w:left w:val="single" w:color="D1D5DB" w:sz="1"/>
              <w:bottom w:val="single" w:color="D1D5DB" w:sz="1"/>
              <w:right w:val="single" w:color="D1D5DB" w:sz="1"/>
            </w:tcBorders>
          </w:tcPr>
          <w:p>
            <w:pPr>
              <w:jc w:val="center"/>
            </w:pPr>
            <w:r>
              <w:rPr>
                <w:b w:val="false"/>
                <w:bCs w:val="false"/>
                <w:color w:val="1F2937"/>
                <w:sz w:val="20"/>
                <w:szCs w:val="20"/>
              </w:rPr>
              <w:t xml:space="preserve">0.2</w:t>
            </w:r>
          </w:p>
        </w:tc>
        <w:tc>
          <w:tcPr>
            <w:tcW w:type="dxa" w:w="1100"/>
            <w:tcBorders>
              <w:top w:val="single" w:color="D1D5DB" w:sz="1"/>
              <w:left w:val="single" w:color="D1D5DB" w:sz="1"/>
              <w:bottom w:val="single" w:color="D1D5DB" w:sz="1"/>
              <w:right w:val="single" w:color="D1D5DB" w:sz="1"/>
            </w:tcBorders>
            <w:shd w:fill="F8FAFC" w:val="clear"/>
          </w:tcPr>
          <w:p>
            <w:pPr>
              <w:jc w:val="center"/>
            </w:pPr>
            <w:r>
              <w:rPr>
                <w:b w:val="false"/>
                <w:bCs w:val="false"/>
                <w:color w:val="1F2937"/>
                <w:sz w:val="20"/>
                <w:szCs w:val="20"/>
              </w:rPr>
              <w:t xml:space="preserve">0.0</w:t>
            </w:r>
          </w:p>
        </w:tc>
        <w:tc>
          <w:tcPr>
            <w:tcW w:type="dxa" w:w="950"/>
            <w:tcBorders>
              <w:top w:val="single" w:color="D1D5DB" w:sz="1"/>
              <w:left w:val="single" w:color="D1D5DB" w:sz="1"/>
              <w:bottom w:val="single" w:color="D1D5DB" w:sz="1"/>
              <w:right w:val="single" w:color="D1D5DB" w:sz="1"/>
            </w:tcBorders>
            <w:shd w:fill="F8FAFC" w:val="clear"/>
          </w:tcPr>
          <w:p>
            <w:pPr>
              <w:jc w:val="center"/>
            </w:pPr>
            <w:r>
              <w:rPr>
                <w:b w:val="false"/>
                <w:bCs w:val="false"/>
                <w:color w:val="1F2937"/>
                <w:sz w:val="20"/>
                <w:szCs w:val="20"/>
              </w:rPr>
              <w:t xml:space="preserve">0.2</w:t>
            </w:r>
          </w:p>
        </w:tc>
        <w:tc>
          <w:tcPr>
            <w:tcW w:type="dxa" w:w="1900"/>
            <w:tcBorders>
              <w:top w:val="single" w:color="D1D5DB" w:sz="1"/>
              <w:left w:val="single" w:color="D1D5DB" w:sz="1"/>
              <w:bottom w:val="single" w:color="D1D5DB" w:sz="1"/>
              <w:right w:val="single" w:color="D1D5DB" w:sz="1"/>
            </w:tcBorders>
          </w:tcPr>
          <w:p>
            <w:pPr>
              <w:jc w:val="left"/>
            </w:pPr>
            <w:r>
              <w:rPr>
                <w:b w:val="false"/>
                <w:bCs w:val="false"/>
                <w:color w:val="1F2937"/>
                <w:sz w:val="20"/>
                <w:szCs w:val="20"/>
              </w:rPr>
              <w:t xml:space="preserve">-</w:t>
            </w:r>
          </w:p>
        </w:tc>
        <w:tc>
          <w:tcPr>
            <w:tcW w:type="dxa" w:w="1000"/>
            <w:tcBorders>
              <w:top w:val="single" w:color="D1D5DB" w:sz="1"/>
              <w:left w:val="single" w:color="D1D5DB" w:sz="1"/>
              <w:bottom w:val="single" w:color="D1D5DB" w:sz="1"/>
              <w:right w:val="single" w:color="D1D5DB" w:sz="1"/>
            </w:tcBorders>
            <w:shd w:fill="FEF3C7" w:val="clear"/>
          </w:tcPr>
          <w:p>
            <w:pPr>
              <w:jc w:val="center"/>
            </w:pPr>
            <w:r>
              <w:rPr>
                <w:b w:val="false"/>
                <w:bCs w:val="false"/>
                <w:color w:val="1F2937"/>
                <w:sz w:val="20"/>
                <w:szCs w:val="20"/>
              </w:rPr>
              <w:t xml:space="preserve">-</w:t>
            </w:r>
          </w:p>
        </w:tc>
        <w:tc>
          <w:tcPr>
            <w:tcW w:type="dxa" w:w="1000"/>
            <w:tcBorders>
              <w:top w:val="single" w:color="D1D5DB" w:sz="1"/>
              <w:left w:val="single" w:color="D1D5DB" w:sz="1"/>
              <w:bottom w:val="single" w:color="D1D5DB" w:sz="1"/>
              <w:right w:val="single" w:color="D1D5DB" w:sz="1"/>
            </w:tcBorders>
            <w:shd w:fill="DCFCE7" w:val="clear"/>
          </w:tcPr>
          <w:p>
            <w:pPr>
              <w:jc w:val="center"/>
            </w:pPr>
            <w:r>
              <w:rPr>
                <w:b w:val="false"/>
                <w:bCs w:val="false"/>
                <w:color w:val="1F2937"/>
                <w:sz w:val="20"/>
                <w:szCs w:val="20"/>
              </w:rPr>
              <w:t xml:space="preserve">-</w:t>
            </w:r>
          </w:p>
        </w:tc>
        <w:tc>
          <w:tcPr>
            <w:tcW w:type="dxa" w:w="1300"/>
            <w:tcBorders>
              <w:top w:val="single" w:color="D1D5DB" w:sz="1"/>
              <w:left w:val="single" w:color="D1D5DB" w:sz="1"/>
              <w:bottom w:val="single" w:color="D1D5DB" w:sz="1"/>
              <w:right w:val="single" w:color="D1D5DB" w:sz="1"/>
            </w:tcBorders>
            <w:shd w:fill="DBEAFE" w:val="clear"/>
          </w:tcPr>
          <w:p>
            <w:pPr>
              <w:jc w:val="center"/>
            </w:pPr>
            <w:r>
              <w:rPr>
                <w:b w:val="false"/>
                <w:bCs w:val="false"/>
                <w:color w:val="1D4ED8"/>
                <w:sz w:val="20"/>
                <w:szCs w:val="20"/>
              </w:rPr>
              <w:t xml:space="preserve">Monitor</w:t>
            </w:r>
          </w:p>
        </w:tc>
      </w:tr>
    </w:tbl>
    <w:p>
      <w:pPr>
        <w:spacing w:before="60" w:after="160"/>
      </w:pPr>
      <w:r>
        <w:rPr>
          <w:i/>
          <w:iCs/>
          <w:color w:val="9CA3AF"/>
          <w:sz w:val="20"/>
          <w:szCs w:val="20"/>
        </w:rPr>
        <w:t xml:space="preserve">Rates expressed as elemental kg/ha. Soil deficit = (threshold − measured) × 10 cm × 1.4 g/cm³ × 0.1. Programme delivery summed across annual applications.</w:t>
      </w:r>
    </w:p>
    <w:p>
      <w:pPr>
        <w:spacing w:before="300" w:after="120"/>
      </w:pPr>
      <w:r>
        <w:rPr>
          <w:b/>
          <w:bCs/>
          <w:color w:val="B45309"/>
          <w:sz w:val="24"/>
          <w:szCs w:val="24"/>
        </w:rPr>
        <w:t xml:space="preserve">Mulder's Nutrient Interactions</w:t>
      </w:r>
    </w:p>
    <w:p>
      <w:pPr>
        <w:spacing w:after="100"/>
      </w:pPr>
      <w:r>
        <w:rPr>
          <w:color w:val="6B7280"/>
          <w:sz w:val="22"/>
          <w:szCs w:val="22"/>
        </w:rPr>
        <w:t xml:space="preserve">The following antagonistic interactions were detected. These affect nutrient availability independently of absolute soil levels, a nutrient above its sufficiency threshold may still be functionally deficient if a competing element is elevated.</w:t>
      </w:r>
    </w:p>
    <w:p>
      <w:pPr>
        <w:shd w:fill="F9FAFB" w:val="clear"/>
        <w:spacing w:after="160"/>
      </w:pPr>
      <w:r>
        <w:rPr>
          <w:i/>
          <w:iCs/>
          <w:color w:val="6B7280"/>
          <w:sz w:val="20"/>
          <w:szCs w:val="20"/>
        </w:rPr>
        <w:t xml:space="preserve">Ratio checks assume all nutrients were extracted using the same method (Olsen P + NH₄OAc (pH 8.1)). Results from mixed-extractant panels will produce unreliable ratios.</w:t>
      </w:r>
    </w:p>
    <w:p>
      <w:pPr>
        <w:spacing w:before="160" w:after="60"/>
      </w:pPr>
      <w:r>
        <w:rPr>
          <w:b/>
          <w:bCs/>
          <w:color w:val="374151"/>
          <w:sz w:val="22"/>
          <w:szCs w:val="22"/>
        </w:rPr>
        <w:t xml:space="preserve">K suppresses Mg (K:Mg = 3.2, threshold: 2.5)</w:t>
      </w:r>
    </w:p>
    <w:p>
      <w:pPr>
        <w:spacing w:after="60"/>
      </w:pPr>
      <w:r>
        <w:rPr>
          <w:color w:val="1F2937"/>
          <w:sz w:val="22"/>
          <w:szCs w:val="22"/>
        </w:rPr>
        <w:t xml:space="preserve">Elevated K:Mg ratio, excess K competitively suppresses Mg uptake at root level.</w:t>
      </w:r>
    </w:p>
    <w:p>
      <w:pPr>
        <w:spacing w:after="60"/>
      </w:pPr>
      <w:r>
        <w:rPr>
          <w:color w:val="374151"/>
          <w:sz w:val="22"/>
          <w:szCs w:val="22"/>
        </w:rPr>
        <w:t xml:space="preserve">K and Mg share cation uptake carriers (high-affinity transport). K:Mg &gt;2.5 (mass ratio) reduces Mg absorption even when soil Mg is above sufficiency threshold. Common on sand profiles with high K fertiliser programs or calcareous irrigation water.</w:t>
      </w:r>
    </w:p>
    <w:p>
      <w:pPr>
        <w:spacing w:after="120"/>
      </w:pPr>
      <w:r>
        <w:rPr>
          <w:i/>
          <w:iCs/>
          <w:color w:val="9CA3AF"/>
          <w:sz w:val="20"/>
          <w:szCs w:val="20"/>
        </w:rPr>
        <w:t xml:space="preserve">Marschner 2012</w:t>
      </w:r>
    </w:p>
    <w:p>
      <w:pPr>
        <w:spacing w:before="160" w:after="60"/>
      </w:pPr>
      <w:r>
        <w:rPr>
          <w:b/>
          <w:bCs/>
          <w:color w:val="374151"/>
          <w:sz w:val="22"/>
          <w:szCs w:val="22"/>
        </w:rPr>
        <w:t xml:space="preserve">K suppresses Ca (K:Ca = 0.7, threshold: 0.5)</w:t>
      </w:r>
    </w:p>
    <w:p>
      <w:pPr>
        <w:spacing w:after="60"/>
      </w:pPr>
      <w:r>
        <w:rPr>
          <w:color w:val="1F2937"/>
          <w:sz w:val="22"/>
          <w:szCs w:val="22"/>
        </w:rPr>
        <w:t xml:space="preserve">Elevated K:Ca ratio, excess K can suppress Ca translocation to shoot tips.</w:t>
      </w:r>
    </w:p>
    <w:p>
      <w:pPr>
        <w:spacing w:after="60"/>
      </w:pPr>
      <w:r>
        <w:rPr>
          <w:color w:val="374151"/>
          <w:sz w:val="22"/>
          <w:szCs w:val="22"/>
        </w:rPr>
        <w:t xml:space="preserve">Ca mobility in the phloem is limited; excess K at root level reduces Ca uptake efficiency. Most significant under low-transpiration conditions (shade, dew periods).</w:t>
      </w:r>
    </w:p>
    <w:p>
      <w:pPr>
        <w:spacing w:after="120"/>
      </w:pPr>
      <w:r>
        <w:rPr>
          <w:i/>
          <w:iCs/>
          <w:color w:val="9CA3AF"/>
          <w:sz w:val="20"/>
          <w:szCs w:val="20"/>
        </w:rPr>
        <w:t xml:space="preserve">Marschner 2012</w:t>
      </w:r>
    </w:p>
    <w:p/>
    <w:p>
      <w:pPr>
        <w:pStyle w:val="Heading1"/>
        <w:keepNext/>
      </w:pPr>
      <w:r>
        <w:t xml:space="preserve">Cation Balance Analysis</w:t>
      </w:r>
    </w:p>
    <w:p>
      <w:pPr>
        <w:spacing w:before="100" w:after="50"/>
      </w:pPr>
      <w:r>
        <w:rPr>
          <w:b/>
          <w:bCs/>
          <w:sz w:val="22"/>
          <w:szCs w:val="22"/>
        </w:rPr>
        <w:t xml:space="preserve">Cation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Ca:Mg Ratio</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4.4:1 (Optimal)</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K:Mg Ratio (meq)</w:t>
            </w:r>
          </w:p>
        </w:tc>
        <w:tc>
          <w:tcPr>
            <w:tcW w:type="dxa" w:w="5860"/>
            <w:tcBorders>
              <w:top w:val="single" w:color="E5E7EB" w:sz="1"/>
              <w:left w:val="single" w:color="E5E7EB" w:sz="1"/>
              <w:bottom w:val="single" w:color="E5E7EB" w:sz="1"/>
              <w:right w:val="single" w:color="E5E7EB" w:sz="1"/>
            </w:tcBorders>
          </w:tcPr>
          <w:p>
            <w:r>
              <w:rPr>
                <w:color w:val="F59E0B"/>
                <w:sz w:val="22"/>
                <w:szCs w:val="22"/>
              </w:rPr>
              <w:t xml:space="preserve">1.00 (High K)</w:t>
            </w:r>
          </w:p>
        </w:tc>
      </w:tr>
    </w:tbl>
    <w:p>
      <w:pPr>
        <w:spacing w:before="200" w:after="100"/>
      </w:pPr>
      <w:r>
        <w:rPr>
          <w:b/>
          <w:bCs/>
          <w:color w:val="1F2937"/>
          <w:sz w:val="22"/>
          <w:szCs w:val="22"/>
        </w:rPr>
        <w:t xml:space="preserve">Interpretation</w:t>
      </w:r>
    </w:p>
    <w:p>
      <w:pPr>
        <w:spacing w:after="120"/>
      </w:pPr>
      <w:r>
        <w:rPr>
          <w:color w:val="4B5563"/>
          <w:sz w:val="22"/>
          <w:szCs w:val="22"/>
        </w:rPr>
        <w:t xml:space="preserve">K:Mg ratio (1.00) indicates potential K-induced Mg deficiency.</w:t>
      </w:r>
    </w:p>
    <w:p>
      <w:pPr>
        <w:spacing w:before="150" w:after="80"/>
      </w:pPr>
      <w:r>
        <w:rPr>
          <w:color w:val="1F2937"/>
          <w:sz w:val="22"/>
          <w:szCs w:val="22"/>
        </w:rPr>
        <w:t xml:space="preserve">Recommendations:</w:t>
      </w:r>
    </w:p>
    <w:p>
      <w:pPr>
        <w:spacing w:after="80"/>
        <w:ind w:left="360"/>
      </w:pPr>
      <w:r>
        <w:rPr>
          <w:color w:val="16A34A"/>
          <w:sz w:val="22"/>
          <w:szCs w:val="22"/>
        </w:rPr>
        <w:t xml:space="preserve">• </w:t>
      </w:r>
      <w:r>
        <w:rPr>
          <w:color w:val="374151"/>
          <w:sz w:val="22"/>
          <w:szCs w:val="22"/>
        </w:rPr>
        <w:t xml:space="preserve">Reduce potassium applications and supplement with foliar magnesium.</w:t>
      </w:r>
    </w:p>
    <w:p/>
    <w:p>
      <w:pPr>
        <w:pStyle w:val="Heading1"/>
        <w:keepNext/>
      </w:pPr>
      <w:r>
        <w:t xml:space="preserve">Tissue Analysis, Green 13</w:t>
      </w:r>
    </w:p>
    <w:p>
      <w:pPr>
        <w:spacing w:after="60"/>
      </w:pPr>
      <w:r>
        <w:rPr>
          <w:i/>
          <w:iCs/>
          <w:color w:val="6B7280"/>
          <w:sz w:val="22"/>
          <w:szCs w:val="22"/>
        </w:rPr>
        <w:t xml:space="preserve">Sampled: 6 Jul 2026  •  Browntop Bent (Greens)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Nitrogen (N)</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3%</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Phosphorus (P)</w:t>
            </w:r>
          </w:p>
        </w:tc>
        <w:tc>
          <w:tcPr>
            <w:tcW w:type="dxa" w:w="5860"/>
            <w:tcBorders>
              <w:top w:val="single" w:color="E5E7EB" w:sz="1"/>
              <w:left w:val="single" w:color="E5E7EB" w:sz="1"/>
              <w:bottom w:val="single" w:color="E5E7EB" w:sz="1"/>
              <w:right w:val="single" w:color="E5E7EB" w:sz="1"/>
            </w:tcBorders>
          </w:tcPr>
          <w:p>
            <w:r>
              <w:rPr>
                <w:color w:val="F59E0B"/>
                <w:sz w:val="22"/>
                <w:szCs w:val="22"/>
              </w:rPr>
              <w:t xml:space="preserve">1.4%</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Potassium (K)</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2.7%</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Calcium (Ca)</w:t>
            </w:r>
          </w:p>
        </w:tc>
        <w:tc>
          <w:tcPr>
            <w:tcW w:type="dxa" w:w="5860"/>
            <w:tcBorders>
              <w:top w:val="single" w:color="E5E7EB" w:sz="1"/>
              <w:left w:val="single" w:color="E5E7EB" w:sz="1"/>
              <w:bottom w:val="single" w:color="E5E7EB" w:sz="1"/>
              <w:right w:val="single" w:color="E5E7EB" w:sz="1"/>
            </w:tcBorders>
          </w:tcPr>
          <w:p>
            <w:r>
              <w:rPr>
                <w:color w:val="F59E0B"/>
                <w:sz w:val="22"/>
                <w:szCs w:val="22"/>
              </w:rPr>
              <w:t xml:space="preserve">2.4%</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Magnesium (Mg)</w:t>
            </w:r>
          </w:p>
        </w:tc>
        <w:tc>
          <w:tcPr>
            <w:tcW w:type="dxa" w:w="5860"/>
            <w:tcBorders>
              <w:top w:val="single" w:color="E5E7EB" w:sz="1"/>
              <w:left w:val="single" w:color="E5E7EB" w:sz="1"/>
              <w:bottom w:val="single" w:color="E5E7EB" w:sz="1"/>
              <w:right w:val="single" w:color="E5E7EB" w:sz="1"/>
            </w:tcBorders>
          </w:tcPr>
          <w:p>
            <w:r>
              <w:rPr>
                <w:color w:val="F59E0B"/>
                <w:sz w:val="22"/>
                <w:szCs w:val="22"/>
              </w:rPr>
              <w:t xml:space="preserve">0.67%</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Sulphur (S)</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0.2%</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Iron (Fe)</w:t>
            </w:r>
          </w:p>
        </w:tc>
        <w:tc>
          <w:tcPr>
            <w:tcW w:type="dxa" w:w="5860"/>
            <w:tcBorders>
              <w:top w:val="single" w:color="E5E7EB" w:sz="1"/>
              <w:left w:val="single" w:color="E5E7EB" w:sz="1"/>
              <w:bottom w:val="single" w:color="E5E7EB" w:sz="1"/>
              <w:right w:val="single" w:color="E5E7EB" w:sz="1"/>
            </w:tcBorders>
          </w:tcPr>
          <w:p>
            <w:r>
              <w:rPr>
                <w:color w:val="16A34A"/>
                <w:sz w:val="22"/>
                <w:szCs w:val="22"/>
              </w:rPr>
              <w:t xml:space="preserve">156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Manganese (Mn)</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23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Zinc (Zn)</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2.5 ppm</w:t>
            </w:r>
          </w:p>
        </w:tc>
      </w:tr>
      <w:tr>
        <w:trPr>
          <w:cantSplit/>
        </w:trPr>
        <w:tc>
          <w:tcPr>
            <w:tcW w:type="dxa" w:w="3500"/>
            <w:tcBorders>
              <w:top w:val="single" w:color="E5E7EB" w:sz="1"/>
              <w:left w:val="single" w:color="E5E7EB" w:sz="1"/>
              <w:bottom w:val="single" w:color="E5E7EB" w:sz="1"/>
              <w:right w:val="single" w:color="E5E7EB" w:sz="1"/>
            </w:tcBorders>
            <w:shd w:fill="F9FAFB" w:val="clear"/>
          </w:tcPr>
          <w:p>
            <w:r>
              <w:rPr>
                <w:b/>
                <w:bCs/>
                <w:sz w:val="22"/>
                <w:szCs w:val="22"/>
              </w:rPr>
              <w:t xml:space="preserve">Copper (Cu)</w:t>
            </w:r>
          </w:p>
        </w:tc>
        <w:tc>
          <w:tcPr>
            <w:tcW w:type="dxa" w:w="5860"/>
            <w:tcBorders>
              <w:top w:val="single" w:color="E5E7EB" w:sz="1"/>
              <w:left w:val="single" w:color="E5E7EB" w:sz="1"/>
              <w:bottom w:val="single" w:color="E5E7EB" w:sz="1"/>
              <w:right w:val="single" w:color="E5E7EB" w:sz="1"/>
            </w:tcBorders>
          </w:tcPr>
          <w:p>
            <w:r>
              <w:rPr>
                <w:color w:val="DC2626"/>
                <w:sz w:val="22"/>
                <w:szCs w:val="22"/>
              </w:rPr>
              <w:t xml:space="preserve">2 ppm</w:t>
            </w:r>
          </w:p>
        </w:tc>
      </w:tr>
    </w:tbl>
    <w:p/>
    <w:p>
      <w:pPr>
        <w:spacing w:before="120" w:after="120"/>
        <w:jc w:val="center"/>
      </w:pPr>
      <w:r>
        <w:drawing>
          <wp:inline distT="0" distB="0" distL="0" distR="0">
            <wp:extent cx="5334000" cy="2990850"/>
            <wp:effectExtent t="0" r="0" b="0" l="0"/>
            <wp:docPr id="9" name="chart_tissue_6" descr="GAIP tissue analysis chart" title="tissue Char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6" cstate="none"/>
                    <a:srcRect/>
                    <a:stretch>
                      <a:fillRect/>
                    </a:stretch>
                  </pic:blipFill>
                  <pic:spPr bwMode="auto">
                    <a:xfrm>
                      <a:off x="0" y="0"/>
                      <a:ext cx="5334000" cy="2990850"/>
                    </a:xfrm>
                    <a:prstGeom prst="rect">
                      <a:avLst/>
                    </a:prstGeom>
                  </pic:spPr>
                </pic:pic>
              </a:graphicData>
            </a:graphic>
          </wp:inline>
        </w:drawing>
      </w:r>
    </w:p>
    <w:p>
      <w:pPr>
        <w:spacing w:before="200" w:after="100"/>
      </w:pPr>
      <w:r>
        <w:rPr>
          <w:b/>
          <w:bCs/>
          <w:color w:val="1F2937"/>
          <w:sz w:val="22"/>
          <w:szCs w:val="22"/>
        </w:rPr>
        <w:t xml:space="preserve">Interpretation</w:t>
      </w:r>
    </w:p>
    <w:p>
      <w:pPr>
        <w:spacing w:after="120"/>
      </w:pPr>
      <w:r>
        <w:rPr>
          <w:color w:val="4B5563"/>
          <w:sz w:val="22"/>
          <w:szCs w:val="22"/>
        </w:rPr>
        <w:t xml:space="preserve">Nitrogen, Sulphur, Manganese, Zinc, Copper are below sufficiency levels, indicating potential deficiency.</w:t>
      </w:r>
    </w:p>
    <w:p>
      <w:pPr>
        <w:spacing w:after="120"/>
      </w:pPr>
      <w:r>
        <w:rPr>
          <w:color w:val="4B5563"/>
          <w:sz w:val="22"/>
          <w:szCs w:val="22"/>
        </w:rPr>
        <w:t xml:space="preserve">Phosphorus, Calcium, Magnesium are above optimal levels. This may indicate luxury consumption or potential antagonism with other nutrients.</w:t>
      </w:r>
    </w:p>
    <w:p>
      <w:pPr>
        <w:spacing w:before="150" w:after="80"/>
      </w:pPr>
      <w:r>
        <w:rPr>
          <w:color w:val="1F2937"/>
          <w:sz w:val="22"/>
          <w:szCs w:val="22"/>
        </w:rPr>
        <w:t xml:space="preserve">Recommendations:</w:t>
      </w:r>
    </w:p>
    <w:p>
      <w:pPr>
        <w:spacing w:after="80"/>
        <w:ind w:left="360"/>
      </w:pPr>
      <w:r>
        <w:rPr>
          <w:color w:val="16A34A"/>
          <w:sz w:val="22"/>
          <w:szCs w:val="22"/>
        </w:rPr>
        <w:t xml:space="preserve">• </w:t>
      </w:r>
      <w:r>
        <w:rPr>
          <w:color w:val="374151"/>
          <w:sz w:val="22"/>
          <w:szCs w:val="22"/>
        </w:rPr>
        <w:t xml:space="preserve">Increase nitrogen applications. Consider split applications of quick-release N for rapid response, followed by slow-release sources.</w:t>
      </w:r>
    </w:p>
    <w:p>
      <w:pPr>
        <w:spacing w:after="80"/>
        <w:ind w:left="360"/>
      </w:pPr>
      <w:r>
        <w:rPr>
          <w:color w:val="16A34A"/>
          <w:sz w:val="22"/>
          <w:szCs w:val="22"/>
        </w:rPr>
        <w:t xml:space="preserve">• </w:t>
      </w:r>
      <w:r>
        <w:rPr>
          <w:color w:val="374151"/>
          <w:sz w:val="22"/>
          <w:szCs w:val="22"/>
        </w:rPr>
        <w:t xml:space="preserve">Apply sulphur-containing fertiliser such as ammonium sulphate or potassium sulphate.</w:t>
      </w:r>
    </w:p>
    <w:p>
      <w:pPr>
        <w:spacing w:after="80"/>
        <w:ind w:left="360"/>
      </w:pPr>
      <w:r>
        <w:rPr>
          <w:color w:val="16A34A"/>
          <w:sz w:val="22"/>
          <w:szCs w:val="22"/>
        </w:rPr>
        <w:t xml:space="preserve">• </w:t>
      </w:r>
      <w:r>
        <w:rPr>
          <w:color w:val="374151"/>
          <w:sz w:val="22"/>
          <w:szCs w:val="22"/>
        </w:rPr>
        <w:t xml:space="preserve">Apply foliar manganese at label rates. Micronutrient deficiencies respond quickly to foliar applications.</w:t>
      </w:r>
    </w:p>
    <w:p>
      <w:pPr>
        <w:spacing w:after="80"/>
        <w:ind w:left="360"/>
      </w:pPr>
      <w:r>
        <w:rPr>
          <w:color w:val="16A34A"/>
          <w:sz w:val="22"/>
          <w:szCs w:val="22"/>
        </w:rPr>
        <w:t xml:space="preserve">• </w:t>
      </w:r>
      <w:r>
        <w:rPr>
          <w:color w:val="374151"/>
          <w:sz w:val="22"/>
          <w:szCs w:val="22"/>
        </w:rPr>
        <w:t xml:space="preserve">Apply foliar zinc at label rates. Micronutrient deficiencies respond quickly to foliar applications.</w:t>
      </w:r>
    </w:p>
    <w:p>
      <w:pPr>
        <w:spacing w:after="80"/>
        <w:ind w:left="360"/>
      </w:pPr>
      <w:r>
        <w:rPr>
          <w:color w:val="16A34A"/>
          <w:sz w:val="22"/>
          <w:szCs w:val="22"/>
        </w:rPr>
        <w:t xml:space="preserve">• </w:t>
      </w:r>
      <w:r>
        <w:rPr>
          <w:color w:val="374151"/>
          <w:sz w:val="22"/>
          <w:szCs w:val="22"/>
        </w:rPr>
        <w:t xml:space="preserve">Apply foliar copper at label rates. Micronutrient deficiencies respond quickly to foliar applications.</w:t>
      </w:r>
    </w:p>
    <w:p/>
    <w:p>
      <w:r>
        <w:br w:type="page"/>
      </w:r>
    </w:p>
    <w:p>
      <w:pPr>
        <w:pStyle w:val="Heading1"/>
        <w:keepNext/>
      </w:pPr>
      <w:r>
        <w:t xml:space="preserve">Spray Application Log</w:t>
      </w:r>
    </w:p>
    <w:p>
      <w:pPr>
        <w:spacing w:after="200"/>
      </w:pPr>
      <w:r>
        <w:rPr>
          <w:color w:val="4B5563"/>
          <w:sz w:val="22"/>
          <w:szCs w:val="22"/>
        </w:rPr>
        <w:t xml:space="preserve">Record of chemical and fertiliser applications for this site. 4 entries.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00"/>
        <w:gridCol w:w="900"/>
        <w:gridCol w:w="800"/>
        <w:gridCol w:w="1000"/>
      </w:tblGrid>
      <w:tr>
        <w:trPr>
          <w:tblHeader/>
        </w:trPr>
        <w:tc>
          <w:tcPr>
            <w:tcW w:type="dxa" w:w="1200"/>
            <w:shd w:fill="E5E7EB" w:val="clear"/>
          </w:tcPr>
          <w:p>
            <w:r>
              <w:rPr>
                <w:b/>
                <w:bCs/>
                <w:sz w:val="22"/>
                <w:szCs w:val="22"/>
              </w:rPr>
              <w:t xml:space="preserve">Date</w:t>
            </w:r>
          </w:p>
        </w:tc>
        <w:tc>
          <w:tcPr>
            <w:tcW w:type="dxa" w:w="2200"/>
            <w:shd w:fill="E5E7EB" w:val="clear"/>
          </w:tcPr>
          <w:p>
            <w:r>
              <w:rPr>
                <w:b/>
                <w:bCs/>
                <w:sz w:val="22"/>
                <w:szCs w:val="22"/>
              </w:rPr>
              <w:t xml:space="preserve">Product</w:t>
            </w:r>
          </w:p>
        </w:tc>
        <w:tc>
          <w:tcPr>
            <w:tcW w:type="dxa" w:w="1600"/>
            <w:shd w:fill="E5E7EB" w:val="clear"/>
          </w:tcPr>
          <w:p>
            <w:r>
              <w:rPr>
                <w:b/>
                <w:bCs/>
                <w:sz w:val="22"/>
                <w:szCs w:val="22"/>
              </w:rPr>
              <w:t xml:space="preserve">Active Ingredient</w:t>
            </w:r>
          </w:p>
        </w:tc>
        <w:tc>
          <w:tcPr>
            <w:tcW w:type="dxa" w:w="900"/>
            <w:shd w:fill="E5E7EB" w:val="clear"/>
          </w:tcPr>
          <w:p>
            <w:pPr>
              <w:jc w:val="center"/>
            </w:pPr>
            <w:r>
              <w:rPr>
                <w:b/>
                <w:bCs/>
                <w:sz w:val="22"/>
                <w:szCs w:val="22"/>
              </w:rPr>
              <w:t xml:space="preserve">Rate</w:t>
            </w:r>
          </w:p>
        </w:tc>
        <w:tc>
          <w:tcPr>
            <w:tcW w:type="dxa" w:w="800"/>
            <w:shd w:fill="E5E7EB" w:val="clear"/>
          </w:tcPr>
          <w:p>
            <w:pPr>
              <w:jc w:val="center"/>
            </w:pPr>
            <w:r>
              <w:rPr>
                <w:b/>
                <w:bCs/>
                <w:sz w:val="22"/>
                <w:szCs w:val="22"/>
              </w:rPr>
              <w:t xml:space="preserve">Zone</w:t>
            </w:r>
          </w:p>
        </w:tc>
        <w:tc>
          <w:tcPr>
            <w:tcW w:type="dxa" w:w="1000"/>
            <w:shd w:fill="E5E7EB" w:val="clear"/>
          </w:tcPr>
          <w:p>
            <w:pPr>
              <w:jc w:val="center"/>
            </w:pPr>
            <w:r>
              <w:rPr>
                <w:b/>
                <w:bCs/>
                <w:sz w:val="22"/>
                <w:szCs w:val="22"/>
              </w:rPr>
              <w:t xml:space="preserve">Category</w:t>
            </w:r>
          </w:p>
        </w:tc>
      </w:tr>
      <w:tr>
        <w:tc>
          <w:tcPr>
            <w:tcW w:type="dxa" w:w="1200"/>
          </w:tcPr>
          <w:p>
            <w:r>
              <w:rPr>
                <w:sz w:val="22"/>
                <w:szCs w:val="22"/>
              </w:rPr>
              <w:t xml:space="preserve">20/07/2026</w:t>
            </w:r>
          </w:p>
        </w:tc>
        <w:tc>
          <w:tcPr>
            <w:tcW w:type="dxa" w:w="2200"/>
          </w:tcPr>
          <w:p>
            <w:r>
              <w:rPr>
                <w:sz w:val="22"/>
                <w:szCs w:val="22"/>
              </w:rPr>
              <w:t xml:space="preserve">Amigo 175</w:t>
            </w:r>
          </w:p>
        </w:tc>
        <w:tc>
          <w:tcPr>
            <w:tcW w:type="dxa" w:w="1600"/>
          </w:tcPr>
          <w:p>
            <w:r>
              <w:rPr>
                <w:sz w:val="22"/>
                <w:szCs w:val="22"/>
              </w:rPr>
              <w:t xml:space="preserve">Trinexapac-ethyl</w:t>
            </w:r>
          </w:p>
        </w:tc>
        <w:tc>
          <w:tcPr>
            <w:tcW w:type="dxa" w:w="900"/>
          </w:tcPr>
          <w:p>
            <w:pPr>
              <w:jc w:val="center"/>
            </w:pPr>
            <w:r>
              <w:rPr>
                <w:sz w:val="22"/>
                <w:szCs w:val="22"/>
              </w:rPr>
              <w:t xml:space="preserve">0.5 L/ha</w:t>
            </w:r>
          </w:p>
        </w:tc>
        <w:tc>
          <w:tcPr>
            <w:tcW w:type="dxa" w:w="800"/>
          </w:tcPr>
          <w:p>
            <w:pPr>
              <w:jc w:val="center"/>
            </w:pPr>
            <w:r>
              <w:rPr>
                <w:sz w:val="22"/>
                <w:szCs w:val="22"/>
              </w:rPr>
              <w:t xml:space="preserve">greens</w:t>
            </w:r>
          </w:p>
        </w:tc>
        <w:tc>
          <w:tcPr>
            <w:tcW w:type="dxa" w:w="1000"/>
          </w:tcPr>
          <w:p>
            <w:pPr>
              <w:jc w:val="center"/>
            </w:pPr>
            <w:r>
              <w:rPr>
                <w:sz w:val="22"/>
                <w:szCs w:val="22"/>
              </w:rPr>
            </w:r>
          </w:p>
        </w:tc>
      </w:tr>
      <w:tr>
        <w:tc>
          <w:tcPr>
            <w:tcW w:type="dxa" w:w="1200"/>
          </w:tcPr>
          <w:p>
            <w:r>
              <w:rPr>
                <w:sz w:val="22"/>
                <w:szCs w:val="22"/>
              </w:rPr>
              <w:t xml:space="preserve">06/07/2026</w:t>
            </w:r>
          </w:p>
        </w:tc>
        <w:tc>
          <w:tcPr>
            <w:tcW w:type="dxa" w:w="2200"/>
          </w:tcPr>
          <w:p>
            <w:r>
              <w:rPr>
                <w:sz w:val="22"/>
                <w:szCs w:val="22"/>
              </w:rPr>
              <w:t xml:space="preserve">Daconil Weather Stik</w:t>
            </w:r>
          </w:p>
        </w:tc>
        <w:tc>
          <w:tcPr>
            <w:tcW w:type="dxa" w:w="1600"/>
          </w:tcPr>
          <w:p>
            <w:r>
              <w:rPr>
                <w:sz w:val="22"/>
                <w:szCs w:val="22"/>
              </w:rPr>
              <w:t xml:space="preserve">chlorotalonil</w:t>
            </w:r>
          </w:p>
        </w:tc>
        <w:tc>
          <w:tcPr>
            <w:tcW w:type="dxa" w:w="900"/>
          </w:tcPr>
          <w:p>
            <w:pPr>
              <w:jc w:val="center"/>
            </w:pPr>
            <w:r>
              <w:rPr>
                <w:sz w:val="22"/>
                <w:szCs w:val="22"/>
              </w:rPr>
              <w:t xml:space="preserve">18 L/ha</w:t>
            </w:r>
          </w:p>
        </w:tc>
        <w:tc>
          <w:tcPr>
            <w:tcW w:type="dxa" w:w="800"/>
          </w:tcPr>
          <w:p>
            <w:pPr>
              <w:jc w:val="center"/>
            </w:pPr>
            <w:r>
              <w:rPr>
                <w:sz w:val="22"/>
                <w:szCs w:val="22"/>
              </w:rPr>
              <w:t xml:space="preserve">greens</w:t>
            </w:r>
          </w:p>
        </w:tc>
        <w:tc>
          <w:tcPr>
            <w:tcW w:type="dxa" w:w="1000"/>
          </w:tcPr>
          <w:p>
            <w:pPr>
              <w:jc w:val="center"/>
            </w:pPr>
            <w:r>
              <w:rPr>
                <w:sz w:val="22"/>
                <w:szCs w:val="22"/>
              </w:rPr>
            </w:r>
          </w:p>
        </w:tc>
      </w:tr>
      <w:tr>
        <w:tc>
          <w:tcPr>
            <w:tcW w:type="dxa" w:w="1200"/>
          </w:tcPr>
          <w:p>
            <w:r>
              <w:rPr>
                <w:sz w:val="22"/>
                <w:szCs w:val="22"/>
              </w:rPr>
              <w:t xml:space="preserve">01/07/2026</w:t>
            </w:r>
          </w:p>
        </w:tc>
        <w:tc>
          <w:tcPr>
            <w:tcW w:type="dxa" w:w="2200"/>
          </w:tcPr>
          <w:p>
            <w:r>
              <w:rPr>
                <w:sz w:val="22"/>
                <w:szCs w:val="22"/>
              </w:rPr>
              <w:t xml:space="preserve">Amigo 175</w:t>
            </w:r>
          </w:p>
        </w:tc>
        <w:tc>
          <w:tcPr>
            <w:tcW w:type="dxa" w:w="1600"/>
          </w:tcPr>
          <w:p>
            <w:r>
              <w:rPr>
                <w:sz w:val="22"/>
                <w:szCs w:val="22"/>
              </w:rPr>
              <w:t xml:space="preserve">Trinexapac-ethyl</w:t>
            </w:r>
          </w:p>
        </w:tc>
        <w:tc>
          <w:tcPr>
            <w:tcW w:type="dxa" w:w="900"/>
          </w:tcPr>
          <w:p>
            <w:pPr>
              <w:jc w:val="center"/>
            </w:pPr>
            <w:r>
              <w:rPr>
                <w:sz w:val="22"/>
                <w:szCs w:val="22"/>
              </w:rPr>
              <w:t xml:space="preserve">0.5 L/ha</w:t>
            </w:r>
          </w:p>
        </w:tc>
        <w:tc>
          <w:tcPr>
            <w:tcW w:type="dxa" w:w="800"/>
          </w:tcPr>
          <w:p>
            <w:pPr>
              <w:jc w:val="center"/>
            </w:pPr>
            <w:r>
              <w:rPr>
                <w:sz w:val="22"/>
                <w:szCs w:val="22"/>
              </w:rPr>
              <w:t xml:space="preserve">greens</w:t>
            </w:r>
          </w:p>
        </w:tc>
        <w:tc>
          <w:tcPr>
            <w:tcW w:type="dxa" w:w="1000"/>
          </w:tcPr>
          <w:p>
            <w:pPr>
              <w:jc w:val="center"/>
            </w:pPr>
            <w:r>
              <w:rPr>
                <w:sz w:val="22"/>
                <w:szCs w:val="22"/>
              </w:rPr>
            </w:r>
          </w:p>
        </w:tc>
      </w:tr>
      <w:tr>
        <w:tc>
          <w:tcPr>
            <w:tcW w:type="dxa" w:w="1200"/>
          </w:tcPr>
          <w:p>
            <w:r>
              <w:rPr>
                <w:sz w:val="22"/>
                <w:szCs w:val="22"/>
              </w:rPr>
              <w:t xml:space="preserve">23/06/2026</w:t>
            </w:r>
          </w:p>
        </w:tc>
        <w:tc>
          <w:tcPr>
            <w:tcW w:type="dxa" w:w="2200"/>
          </w:tcPr>
          <w:p>
            <w:r>
              <w:rPr>
                <w:sz w:val="22"/>
                <w:szCs w:val="22"/>
              </w:rPr>
              <w:t xml:space="preserve">Amigo 175</w:t>
            </w:r>
          </w:p>
        </w:tc>
        <w:tc>
          <w:tcPr>
            <w:tcW w:type="dxa" w:w="1600"/>
          </w:tcPr>
          <w:p>
            <w:r>
              <w:rPr>
                <w:sz w:val="22"/>
                <w:szCs w:val="22"/>
              </w:rPr>
              <w:t xml:space="preserve">Trinexapac-ethyl</w:t>
            </w:r>
          </w:p>
        </w:tc>
        <w:tc>
          <w:tcPr>
            <w:tcW w:type="dxa" w:w="900"/>
          </w:tcPr>
          <w:p>
            <w:pPr>
              <w:jc w:val="center"/>
            </w:pPr>
            <w:r>
              <w:rPr>
                <w:sz w:val="22"/>
                <w:szCs w:val="22"/>
              </w:rPr>
              <w:t xml:space="preserve">4 L/ha</w:t>
            </w:r>
          </w:p>
        </w:tc>
        <w:tc>
          <w:tcPr>
            <w:tcW w:type="dxa" w:w="800"/>
          </w:tcPr>
          <w:p>
            <w:pPr>
              <w:jc w:val="center"/>
            </w:pPr>
            <w:r>
              <w:rPr>
                <w:sz w:val="22"/>
                <w:szCs w:val="22"/>
              </w:rPr>
              <w:t xml:space="preserve">greens</w:t>
            </w:r>
          </w:p>
        </w:tc>
        <w:tc>
          <w:tcPr>
            <w:tcW w:type="dxa" w:w="1000"/>
          </w:tcPr>
          <w:p>
            <w:pPr>
              <w:jc w:val="center"/>
            </w:pPr>
            <w:r>
              <w:rPr>
                <w:sz w:val="22"/>
                <w:szCs w:val="22"/>
              </w:rPr>
            </w:r>
          </w:p>
        </w:tc>
      </w:tr>
    </w:tbl>
    <w:p/>
    <w:p>
      <w:r>
        <w:br w:type="page"/>
      </w:r>
    </w:p>
    <w:p>
      <w:pPr>
        <w:pStyle w:val="Heading1"/>
        <w:keepNext/>
      </w:pPr>
      <w:r>
        <w:t xml:space="preserve">Annual Nutrient Requirements</w:t>
      </w:r>
    </w:p>
    <w:p>
      <w:pPr>
        <w:spacing w:before="50" w:after="160"/>
      </w:pPr>
      <w:r>
        <w:rPr>
          <w:i/>
          <w:iCs/>
          <w:color w:val="6B7280"/>
          <w:sz w:val="20"/>
          <w:szCs w:val="20"/>
        </w:rPr>
        <w:t xml:space="preserve">Hill Labs S277 sample-type sufficiency thresholds applied (TURF Ryegrass, Sand (S277)). Cation values converted from cert-native me/100g to ppm for amendment-math comparison; cation deficit-correction recommendations appear in the Soil Amendment table above. The figures below are annual removal-replacement estimates (clipping uptake), not deficit-closure rates. All rates kg/ha/yr.</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800"/>
        <w:gridCol w:w="900"/>
        <w:gridCol w:w="800"/>
        <w:gridCol w:w="900"/>
        <w:gridCol w:w="800"/>
        <w:gridCol w:w="900"/>
      </w:tblGrid>
      <w:tr>
        <w:tc>
          <w:tcPr>
            <w:tcW w:type="dxa" w:w="1800"/>
            <w:tcBorders>
              <w:top w:val="single" w:color="E5E7EB" w:sz="1"/>
              <w:left w:val="single" w:color="E5E7EB" w:sz="1"/>
              <w:bottom w:val="single" w:color="E5E7EB" w:sz="1"/>
              <w:right w:val="single" w:color="E5E7EB" w:sz="1"/>
            </w:tcBorders>
            <w:shd w:fill="1F2937" w:val="clear"/>
          </w:tcPr>
          <w:p>
            <w:pPr>
              <w:jc w:val="center"/>
            </w:pPr>
            <w:r>
              <w:rPr>
                <w:b/>
                <w:bCs/>
                <w:color w:val="FFFFFF"/>
                <w:sz w:val="20"/>
                <w:szCs w:val="20"/>
              </w:rPr>
              <w:t xml:space="preserve">Sample</w:t>
            </w:r>
          </w:p>
        </w:tc>
        <w:tc>
          <w:tcPr>
            <w:tcW w:type="dxa" w:w="700"/>
            <w:tcBorders>
              <w:top w:val="single" w:color="E5E7EB" w:sz="1"/>
              <w:left w:val="single" w:color="E5E7EB" w:sz="1"/>
              <w:bottom w:val="single" w:color="E5E7EB" w:sz="1"/>
              <w:right w:val="single" w:color="E5E7EB" w:sz="1"/>
            </w:tcBorders>
            <w:shd w:fill="1F2937" w:val="clear"/>
          </w:tcPr>
          <w:p>
            <w:pPr>
              <w:jc w:val="center"/>
            </w:pPr>
            <w:r>
              <w:rPr>
                <w:b/>
                <w:bCs/>
                <w:color w:val="FFFFFF"/>
                <w:sz w:val="20"/>
                <w:szCs w:val="20"/>
              </w:rPr>
              <w:t xml:space="preserve">N kg/ha</w:t>
            </w:r>
          </w:p>
        </w:tc>
        <w:tc>
          <w:tcPr>
            <w:tcW w:type="dxa" w:w="800"/>
            <w:tcBorders>
              <w:top w:val="single" w:color="E5E7EB" w:sz="1"/>
              <w:left w:val="single" w:color="E5E7EB" w:sz="1"/>
              <w:bottom w:val="single" w:color="E5E7EB" w:sz="1"/>
              <w:right w:val="single" w:color="E5E7EB" w:sz="1"/>
            </w:tcBorders>
            <w:shd w:fill="1F2937" w:val="clear"/>
          </w:tcPr>
          <w:p>
            <w:pPr>
              <w:jc w:val="center"/>
            </w:pPr>
            <w:r>
              <w:rPr>
                <w:b/>
                <w:bCs/>
                <w:color w:val="FFFFFF"/>
                <w:sz w:val="20"/>
                <w:szCs w:val="20"/>
              </w:rPr>
              <w:t xml:space="preserve">P ppm</w:t>
            </w:r>
          </w:p>
        </w:tc>
        <w:tc>
          <w:tcPr>
            <w:tcW w:type="dxa" w:w="900"/>
            <w:tcBorders>
              <w:top w:val="single" w:color="E5E7EB" w:sz="1"/>
              <w:left w:val="single" w:color="E5E7EB" w:sz="1"/>
              <w:bottom w:val="single" w:color="E5E7EB" w:sz="1"/>
              <w:right w:val="single" w:color="E5E7EB" w:sz="1"/>
            </w:tcBorders>
            <w:shd w:fill="1F2937" w:val="clear"/>
          </w:tcPr>
          <w:p>
            <w:pPr>
              <w:jc w:val="center"/>
            </w:pPr>
            <w:r>
              <w:rPr>
                <w:b/>
                <w:bCs/>
                <w:color w:val="FFFFFF"/>
                <w:sz w:val="20"/>
                <w:szCs w:val="20"/>
              </w:rPr>
              <w:t xml:space="preserve">P req</w:t>
            </w:r>
          </w:p>
        </w:tc>
        <w:tc>
          <w:tcPr>
            <w:tcW w:type="dxa" w:w="800"/>
            <w:tcBorders>
              <w:top w:val="single" w:color="E5E7EB" w:sz="1"/>
              <w:left w:val="single" w:color="E5E7EB" w:sz="1"/>
              <w:bottom w:val="single" w:color="E5E7EB" w:sz="1"/>
              <w:right w:val="single" w:color="E5E7EB" w:sz="1"/>
            </w:tcBorders>
            <w:shd w:fill="1F2937" w:val="clear"/>
          </w:tcPr>
          <w:p>
            <w:pPr>
              <w:jc w:val="center"/>
            </w:pPr>
            <w:r>
              <w:rPr>
                <w:b/>
                <w:bCs/>
                <w:color w:val="FFFFFF"/>
                <w:sz w:val="20"/>
                <w:szCs w:val="20"/>
              </w:rPr>
              <w:t xml:space="preserve">K ppm</w:t>
            </w:r>
          </w:p>
        </w:tc>
        <w:tc>
          <w:tcPr>
            <w:tcW w:type="dxa" w:w="900"/>
            <w:tcBorders>
              <w:top w:val="single" w:color="E5E7EB" w:sz="1"/>
              <w:left w:val="single" w:color="E5E7EB" w:sz="1"/>
              <w:bottom w:val="single" w:color="E5E7EB" w:sz="1"/>
              <w:right w:val="single" w:color="E5E7EB" w:sz="1"/>
            </w:tcBorders>
            <w:shd w:fill="1F2937" w:val="clear"/>
          </w:tcPr>
          <w:p>
            <w:pPr>
              <w:jc w:val="center"/>
            </w:pPr>
            <w:r>
              <w:rPr>
                <w:b/>
                <w:bCs/>
                <w:color w:val="FFFFFF"/>
                <w:sz w:val="20"/>
                <w:szCs w:val="20"/>
              </w:rPr>
              <w:t xml:space="preserve">K req</w:t>
            </w:r>
          </w:p>
        </w:tc>
        <w:tc>
          <w:tcPr>
            <w:tcW w:type="dxa" w:w="800"/>
            <w:tcBorders>
              <w:top w:val="single" w:color="E5E7EB" w:sz="1"/>
              <w:left w:val="single" w:color="E5E7EB" w:sz="1"/>
              <w:bottom w:val="single" w:color="E5E7EB" w:sz="1"/>
              <w:right w:val="single" w:color="E5E7EB" w:sz="1"/>
            </w:tcBorders>
            <w:shd w:fill="1F2937" w:val="clear"/>
          </w:tcPr>
          <w:p>
            <w:pPr>
              <w:jc w:val="center"/>
            </w:pPr>
            <w:r>
              <w:rPr>
                <w:b/>
                <w:bCs/>
                <w:color w:val="FFFFFF"/>
                <w:sz w:val="20"/>
                <w:szCs w:val="20"/>
              </w:rPr>
              <w:t xml:space="preserve">S ppm</w:t>
            </w:r>
          </w:p>
        </w:tc>
        <w:tc>
          <w:tcPr>
            <w:tcW w:type="dxa" w:w="900"/>
            <w:tcBorders>
              <w:top w:val="single" w:color="E5E7EB" w:sz="1"/>
              <w:left w:val="single" w:color="E5E7EB" w:sz="1"/>
              <w:bottom w:val="single" w:color="E5E7EB" w:sz="1"/>
              <w:right w:val="single" w:color="E5E7EB" w:sz="1"/>
            </w:tcBorders>
            <w:shd w:fill="1F2937" w:val="clear"/>
          </w:tcPr>
          <w:p>
            <w:pPr>
              <w:jc w:val="center"/>
            </w:pPr>
            <w:r>
              <w:rPr>
                <w:b/>
                <w:bCs/>
                <w:color w:val="FFFFFF"/>
                <w:sz w:val="20"/>
                <w:szCs w:val="20"/>
              </w:rPr>
              <w:t xml:space="preserve">S req</w:t>
            </w:r>
          </w:p>
        </w:tc>
      </w:tr>
      <w:tr>
        <w:tc>
          <w:tcPr>
            <w:tcW w:type="dxa" w:w="1800"/>
            <w:tcBorders>
              <w:top w:val="single" w:color="E5E7EB" w:sz="1"/>
              <w:left w:val="single" w:color="E5E7EB" w:sz="1"/>
              <w:bottom w:val="single" w:color="E5E7EB" w:sz="1"/>
              <w:right w:val="single" w:color="E5E7EB" w:sz="1"/>
            </w:tcBorders>
            <w:shd w:fill="FFFFFF" w:val="clear"/>
          </w:tcPr>
          <w:p>
            <w:pPr>
              <w:jc w:val="left"/>
            </w:pPr>
            <w:r>
              <w:rPr>
                <w:b/>
                <w:bCs/>
                <w:i w:val="false"/>
                <w:iCs w:val="false"/>
                <w:color w:val="111827"/>
                <w:sz w:val="20"/>
                <w:szCs w:val="20"/>
              </w:rPr>
              <w:t xml:space="preserve">Green 1</w:t>
            </w:r>
          </w:p>
        </w:tc>
        <w:tc>
          <w:tcPr>
            <w:tcW w:type="dxa" w:w="700"/>
            <w:tcBorders>
              <w:top w:val="single" w:color="E5E7EB" w:sz="1"/>
              <w:left w:val="single" w:color="E5E7EB" w:sz="1"/>
              <w:bottom w:val="single" w:color="E5E7EB" w:sz="1"/>
              <w:right w:val="single" w:color="E5E7EB" w:sz="1"/>
            </w:tcBorders>
            <w:shd w:fill="FFFFFF" w:val="clear"/>
          </w:tcPr>
          <w:p>
            <w:pPr>
              <w:jc w:val="center"/>
            </w:pPr>
            <w:r>
              <w:rPr>
                <w:b/>
                <w:bCs/>
                <w:i w:val="false"/>
                <w:iCs w:val="false"/>
                <w:color w:val="111827"/>
                <w:sz w:val="17"/>
                <w:szCs w:val="17"/>
              </w:rPr>
              <w:t xml:space="preserve">150</w:t>
            </w:r>
          </w:p>
        </w:tc>
        <w:tc>
          <w:tcPr>
            <w:tcW w:type="dxa" w:w="800"/>
            <w:tcBorders>
              <w:top w:val="single" w:color="E5E7EB" w:sz="1"/>
              <w:left w:val="single" w:color="E5E7EB" w:sz="1"/>
              <w:bottom w:val="single" w:color="E5E7EB" w:sz="1"/>
              <w:right w:val="single" w:color="E5E7EB" w:sz="1"/>
            </w:tcBorders>
            <w:shd w:fill="FFFFFF" w:val="clear"/>
          </w:tcPr>
          <w:p>
            <w:pPr>
              <w:jc w:val="center"/>
            </w:pPr>
            <w:r>
              <w:rPr>
                <w:b w:val="false"/>
                <w:bCs w:val="false"/>
                <w:i/>
                <w:iCs/>
                <w:color w:val="16A34A"/>
                <w:sz w:val="15"/>
                <w:szCs w:val="15"/>
              </w:rPr>
              <w:t xml:space="preserve">18</w:t>
            </w:r>
          </w:p>
        </w:tc>
        <w:tc>
          <w:tcPr>
            <w:tcW w:type="dxa" w:w="900"/>
            <w:tcBorders>
              <w:top w:val="single" w:color="E5E7EB" w:sz="1"/>
              <w:left w:val="single" w:color="E5E7EB" w:sz="1"/>
              <w:bottom w:val="single" w:color="E5E7EB" w:sz="1"/>
              <w:right w:val="single" w:color="E5E7EB" w:sz="1"/>
            </w:tcBorders>
            <w:shd w:fill="FFFFFF" w:val="clear"/>
          </w:tcPr>
          <w:p>
            <w:pPr>
              <w:jc w:val="center"/>
            </w:pPr>
            <w:r>
              <w:rPr>
                <w:b/>
                <w:bCs/>
                <w:i w:val="false"/>
                <w:iCs w:val="false"/>
                <w:color w:val="16A34A"/>
                <w:sz w:val="17"/>
                <w:szCs w:val="17"/>
              </w:rPr>
              <w:t xml:space="preserve">15.0</w:t>
            </w:r>
          </w:p>
        </w:tc>
        <w:tc>
          <w:tcPr>
            <w:tcW w:type="dxa" w:w="800"/>
            <w:tcBorders>
              <w:top w:val="single" w:color="E5E7EB" w:sz="1"/>
              <w:left w:val="single" w:color="E5E7EB" w:sz="1"/>
              <w:bottom w:val="single" w:color="E5E7EB" w:sz="1"/>
              <w:right w:val="single" w:color="E5E7EB" w:sz="1"/>
            </w:tcBorders>
            <w:shd w:fill="FFFFFF" w:val="clear"/>
          </w:tcPr>
          <w:p>
            <w:pPr>
              <w:jc w:val="center"/>
            </w:pPr>
            <w:r>
              <w:rPr>
                <w:b w:val="false"/>
                <w:bCs w:val="false"/>
                <w:i/>
                <w:iCs/>
                <w:color w:val="16A34A"/>
                <w:sz w:val="15"/>
                <w:szCs w:val="15"/>
              </w:rPr>
              <w:t xml:space="preserve">117</w:t>
            </w:r>
          </w:p>
        </w:tc>
        <w:tc>
          <w:tcPr>
            <w:tcW w:type="dxa" w:w="900"/>
            <w:tcBorders>
              <w:top w:val="single" w:color="E5E7EB" w:sz="1"/>
              <w:left w:val="single" w:color="E5E7EB" w:sz="1"/>
              <w:bottom w:val="single" w:color="E5E7EB" w:sz="1"/>
              <w:right w:val="single" w:color="E5E7EB" w:sz="1"/>
            </w:tcBorders>
            <w:shd w:fill="FFFFFF" w:val="clear"/>
          </w:tcPr>
          <w:p>
            <w:pPr>
              <w:jc w:val="center"/>
            </w:pPr>
            <w:r>
              <w:rPr>
                <w:b/>
                <w:bCs/>
                <w:i w:val="false"/>
                <w:iCs w:val="false"/>
                <w:color w:val="16A34A"/>
                <w:sz w:val="17"/>
                <w:szCs w:val="17"/>
              </w:rPr>
              <w:t xml:space="preserve">80.0</w:t>
            </w:r>
          </w:p>
        </w:tc>
        <w:tc>
          <w:tcPr>
            <w:tcW w:type="dxa" w:w="800"/>
            <w:tcBorders>
              <w:top w:val="single" w:color="E5E7EB" w:sz="1"/>
              <w:left w:val="single" w:color="E5E7EB" w:sz="1"/>
              <w:bottom w:val="single" w:color="E5E7EB" w:sz="1"/>
              <w:right w:val="single" w:color="E5E7EB" w:sz="1"/>
            </w:tcBorders>
            <w:shd w:fill="FFFFFF" w:val="clear"/>
          </w:tcPr>
          <w:p>
            <w:pPr>
              <w:jc w:val="center"/>
            </w:pPr>
            <w:r>
              <w:rPr>
                <w:b w:val="false"/>
                <w:bCs w:val="false"/>
                <w:i/>
                <w:iCs/>
                <w:color w:val="6B7280"/>
                <w:sz w:val="15"/>
                <w:szCs w:val="15"/>
              </w:rPr>
              <w:t xml:space="preserve">-</w:t>
            </w:r>
          </w:p>
        </w:tc>
        <w:tc>
          <w:tcPr>
            <w:tcW w:type="dxa" w:w="900"/>
            <w:tcBorders>
              <w:top w:val="single" w:color="E5E7EB" w:sz="1"/>
              <w:left w:val="single" w:color="E5E7EB" w:sz="1"/>
              <w:bottom w:val="single" w:color="E5E7EB" w:sz="1"/>
              <w:right w:val="single" w:color="E5E7EB" w:sz="1"/>
            </w:tcBorders>
            <w:shd w:fill="FFFFFF" w:val="clear"/>
          </w:tcPr>
          <w:p>
            <w:pPr>
              <w:jc w:val="center"/>
            </w:pPr>
            <w:r>
              <w:rPr>
                <w:b/>
                <w:bCs/>
                <w:i w:val="false"/>
                <w:iCs w:val="false"/>
                <w:color w:val="6B7280"/>
                <w:sz w:val="17"/>
                <w:szCs w:val="17"/>
              </w:rPr>
              <w:t xml:space="preserve">-</w:t>
            </w:r>
          </w:p>
        </w:tc>
      </w:tr>
      <w:tr>
        <w:tc>
          <w:tcPr>
            <w:tcW w:type="dxa" w:w="1800"/>
            <w:tcBorders>
              <w:top w:val="single" w:color="E5E7EB" w:sz="1"/>
              <w:left w:val="single" w:color="E5E7EB" w:sz="1"/>
              <w:bottom w:val="single" w:color="E5E7EB" w:sz="1"/>
              <w:right w:val="single" w:color="E5E7EB" w:sz="1"/>
            </w:tcBorders>
            <w:shd w:fill="F9FAFB" w:val="clear"/>
          </w:tcPr>
          <w:p>
            <w:pPr>
              <w:jc w:val="left"/>
            </w:pPr>
            <w:r>
              <w:rPr>
                <w:b/>
                <w:bCs/>
                <w:i w:val="false"/>
                <w:iCs w:val="false"/>
                <w:color w:val="111827"/>
                <w:sz w:val="20"/>
                <w:szCs w:val="20"/>
              </w:rPr>
              <w:t xml:space="preserve">Green 18</w:t>
            </w:r>
          </w:p>
        </w:tc>
        <w:tc>
          <w:tcPr>
            <w:tcW w:type="dxa" w:w="700"/>
            <w:tcBorders>
              <w:top w:val="single" w:color="E5E7EB" w:sz="1"/>
              <w:left w:val="single" w:color="E5E7EB" w:sz="1"/>
              <w:bottom w:val="single" w:color="E5E7EB" w:sz="1"/>
              <w:right w:val="single" w:color="E5E7EB" w:sz="1"/>
            </w:tcBorders>
            <w:shd w:fill="F9FAFB" w:val="clear"/>
          </w:tcPr>
          <w:p>
            <w:pPr>
              <w:jc w:val="center"/>
            </w:pPr>
            <w:r>
              <w:rPr>
                <w:b/>
                <w:bCs/>
                <w:i w:val="false"/>
                <w:iCs w:val="false"/>
                <w:color w:val="111827"/>
                <w:sz w:val="17"/>
                <w:szCs w:val="17"/>
              </w:rPr>
              <w:t xml:space="preserve">150</w:t>
            </w:r>
          </w:p>
        </w:tc>
        <w:tc>
          <w:tcPr>
            <w:tcW w:type="dxa" w:w="800"/>
            <w:tcBorders>
              <w:top w:val="single" w:color="E5E7EB" w:sz="1"/>
              <w:left w:val="single" w:color="E5E7EB" w:sz="1"/>
              <w:bottom w:val="single" w:color="E5E7EB" w:sz="1"/>
              <w:right w:val="single" w:color="E5E7EB" w:sz="1"/>
            </w:tcBorders>
            <w:shd w:fill="F9FAFB" w:val="clear"/>
          </w:tcPr>
          <w:p>
            <w:pPr>
              <w:jc w:val="center"/>
            </w:pPr>
            <w:r>
              <w:rPr>
                <w:b w:val="false"/>
                <w:bCs w:val="false"/>
                <w:i/>
                <w:iCs/>
                <w:color w:val="16A34A"/>
                <w:sz w:val="15"/>
                <w:szCs w:val="15"/>
              </w:rPr>
              <w:t xml:space="preserve">20</w:t>
            </w:r>
          </w:p>
        </w:tc>
        <w:tc>
          <w:tcPr>
            <w:tcW w:type="dxa" w:w="900"/>
            <w:tcBorders>
              <w:top w:val="single" w:color="E5E7EB" w:sz="1"/>
              <w:left w:val="single" w:color="E5E7EB" w:sz="1"/>
              <w:bottom w:val="single" w:color="E5E7EB" w:sz="1"/>
              <w:right w:val="single" w:color="E5E7EB" w:sz="1"/>
            </w:tcBorders>
            <w:shd w:fill="F9FAFB" w:val="clear"/>
          </w:tcPr>
          <w:p>
            <w:pPr>
              <w:jc w:val="center"/>
            </w:pPr>
            <w:r>
              <w:rPr>
                <w:b/>
                <w:bCs/>
                <w:i w:val="false"/>
                <w:iCs w:val="false"/>
                <w:color w:val="16A34A"/>
                <w:sz w:val="17"/>
                <w:szCs w:val="17"/>
              </w:rPr>
              <w:t xml:space="preserve">15.0</w:t>
            </w:r>
          </w:p>
        </w:tc>
        <w:tc>
          <w:tcPr>
            <w:tcW w:type="dxa" w:w="800"/>
            <w:tcBorders>
              <w:top w:val="single" w:color="E5E7EB" w:sz="1"/>
              <w:left w:val="single" w:color="E5E7EB" w:sz="1"/>
              <w:bottom w:val="single" w:color="E5E7EB" w:sz="1"/>
              <w:right w:val="single" w:color="E5E7EB" w:sz="1"/>
            </w:tcBorders>
            <w:shd w:fill="F9FAFB" w:val="clear"/>
          </w:tcPr>
          <w:p>
            <w:pPr>
              <w:jc w:val="center"/>
            </w:pPr>
            <w:r>
              <w:rPr>
                <w:b w:val="false"/>
                <w:bCs w:val="false"/>
                <w:i/>
                <w:iCs/>
                <w:color w:val="16A34A"/>
                <w:sz w:val="15"/>
                <w:szCs w:val="15"/>
              </w:rPr>
              <w:t xml:space="preserve">156</w:t>
            </w:r>
          </w:p>
        </w:tc>
        <w:tc>
          <w:tcPr>
            <w:tcW w:type="dxa" w:w="900"/>
            <w:tcBorders>
              <w:top w:val="single" w:color="E5E7EB" w:sz="1"/>
              <w:left w:val="single" w:color="E5E7EB" w:sz="1"/>
              <w:bottom w:val="single" w:color="E5E7EB" w:sz="1"/>
              <w:right w:val="single" w:color="E5E7EB" w:sz="1"/>
            </w:tcBorders>
            <w:shd w:fill="F9FAFB" w:val="clear"/>
          </w:tcPr>
          <w:p>
            <w:pPr>
              <w:jc w:val="center"/>
            </w:pPr>
            <w:r>
              <w:rPr>
                <w:b/>
                <w:bCs/>
                <w:i w:val="false"/>
                <w:iCs w:val="false"/>
                <w:color w:val="16A34A"/>
                <w:sz w:val="17"/>
                <w:szCs w:val="17"/>
              </w:rPr>
              <w:t xml:space="preserve">80.0</w:t>
            </w:r>
          </w:p>
        </w:tc>
        <w:tc>
          <w:tcPr>
            <w:tcW w:type="dxa" w:w="800"/>
            <w:tcBorders>
              <w:top w:val="single" w:color="E5E7EB" w:sz="1"/>
              <w:left w:val="single" w:color="E5E7EB" w:sz="1"/>
              <w:bottom w:val="single" w:color="E5E7EB" w:sz="1"/>
              <w:right w:val="single" w:color="E5E7EB" w:sz="1"/>
            </w:tcBorders>
            <w:shd w:fill="F9FAFB" w:val="clear"/>
          </w:tcPr>
          <w:p>
            <w:pPr>
              <w:jc w:val="center"/>
            </w:pPr>
            <w:r>
              <w:rPr>
                <w:b w:val="false"/>
                <w:bCs w:val="false"/>
                <w:i/>
                <w:iCs/>
                <w:color w:val="6B7280"/>
                <w:sz w:val="15"/>
                <w:szCs w:val="15"/>
              </w:rPr>
              <w:t xml:space="preserve">-</w:t>
            </w:r>
          </w:p>
        </w:tc>
        <w:tc>
          <w:tcPr>
            <w:tcW w:type="dxa" w:w="900"/>
            <w:tcBorders>
              <w:top w:val="single" w:color="E5E7EB" w:sz="1"/>
              <w:left w:val="single" w:color="E5E7EB" w:sz="1"/>
              <w:bottom w:val="single" w:color="E5E7EB" w:sz="1"/>
              <w:right w:val="single" w:color="E5E7EB" w:sz="1"/>
            </w:tcBorders>
            <w:shd w:fill="F9FAFB" w:val="clear"/>
          </w:tcPr>
          <w:p>
            <w:pPr>
              <w:jc w:val="center"/>
            </w:pPr>
            <w:r>
              <w:rPr>
                <w:b/>
                <w:bCs/>
                <w:i w:val="false"/>
                <w:iCs w:val="false"/>
                <w:color w:val="6B7280"/>
                <w:sz w:val="17"/>
                <w:szCs w:val="17"/>
              </w:rPr>
              <w:t xml:space="preserve">-</w:t>
            </w:r>
          </w:p>
        </w:tc>
      </w:tr>
      <w:tr>
        <w:tc>
          <w:tcPr>
            <w:tcW w:type="dxa" w:w="1800"/>
            <w:tcBorders>
              <w:top w:val="single" w:color="E5E7EB" w:sz="1"/>
              <w:left w:val="single" w:color="E5E7EB" w:sz="1"/>
              <w:bottom w:val="single" w:color="E5E7EB" w:sz="1"/>
              <w:right w:val="single" w:color="E5E7EB" w:sz="1"/>
            </w:tcBorders>
            <w:shd w:fill="FFFFFF" w:val="clear"/>
          </w:tcPr>
          <w:p>
            <w:pPr>
              <w:jc w:val="left"/>
            </w:pPr>
            <w:r>
              <w:rPr>
                <w:b/>
                <w:bCs/>
                <w:i w:val="false"/>
                <w:iCs w:val="false"/>
                <w:color w:val="111827"/>
                <w:sz w:val="20"/>
                <w:szCs w:val="20"/>
              </w:rPr>
              <w:t xml:space="preserve">Green 13</w:t>
            </w:r>
          </w:p>
        </w:tc>
        <w:tc>
          <w:tcPr>
            <w:tcW w:type="dxa" w:w="700"/>
            <w:tcBorders>
              <w:top w:val="single" w:color="E5E7EB" w:sz="1"/>
              <w:left w:val="single" w:color="E5E7EB" w:sz="1"/>
              <w:bottom w:val="single" w:color="E5E7EB" w:sz="1"/>
              <w:right w:val="single" w:color="E5E7EB" w:sz="1"/>
            </w:tcBorders>
            <w:shd w:fill="FFFFFF" w:val="clear"/>
          </w:tcPr>
          <w:p>
            <w:pPr>
              <w:jc w:val="center"/>
            </w:pPr>
            <w:r>
              <w:rPr>
                <w:b/>
                <w:bCs/>
                <w:i w:val="false"/>
                <w:iCs w:val="false"/>
                <w:color w:val="111827"/>
                <w:sz w:val="17"/>
                <w:szCs w:val="17"/>
              </w:rPr>
              <w:t xml:space="preserve">150</w:t>
            </w:r>
          </w:p>
        </w:tc>
        <w:tc>
          <w:tcPr>
            <w:tcW w:type="dxa" w:w="800"/>
            <w:tcBorders>
              <w:top w:val="single" w:color="E5E7EB" w:sz="1"/>
              <w:left w:val="single" w:color="E5E7EB" w:sz="1"/>
              <w:bottom w:val="single" w:color="E5E7EB" w:sz="1"/>
              <w:right w:val="single" w:color="E5E7EB" w:sz="1"/>
            </w:tcBorders>
            <w:shd w:fill="FFFFFF" w:val="clear"/>
          </w:tcPr>
          <w:p>
            <w:pPr>
              <w:jc w:val="center"/>
            </w:pPr>
            <w:r>
              <w:rPr>
                <w:b w:val="false"/>
                <w:bCs w:val="false"/>
                <w:i/>
                <w:iCs/>
                <w:color w:val="16A34A"/>
                <w:sz w:val="15"/>
                <w:szCs w:val="15"/>
              </w:rPr>
              <w:t xml:space="preserve">20</w:t>
            </w:r>
          </w:p>
        </w:tc>
        <w:tc>
          <w:tcPr>
            <w:tcW w:type="dxa" w:w="900"/>
            <w:tcBorders>
              <w:top w:val="single" w:color="E5E7EB" w:sz="1"/>
              <w:left w:val="single" w:color="E5E7EB" w:sz="1"/>
              <w:bottom w:val="single" w:color="E5E7EB" w:sz="1"/>
              <w:right w:val="single" w:color="E5E7EB" w:sz="1"/>
            </w:tcBorders>
            <w:shd w:fill="FFFFFF" w:val="clear"/>
          </w:tcPr>
          <w:p>
            <w:pPr>
              <w:jc w:val="center"/>
            </w:pPr>
            <w:r>
              <w:rPr>
                <w:b/>
                <w:bCs/>
                <w:i w:val="false"/>
                <w:iCs w:val="false"/>
                <w:color w:val="16A34A"/>
                <w:sz w:val="17"/>
                <w:szCs w:val="17"/>
              </w:rPr>
              <w:t xml:space="preserve">15.0</w:t>
            </w:r>
          </w:p>
        </w:tc>
        <w:tc>
          <w:tcPr>
            <w:tcW w:type="dxa" w:w="800"/>
            <w:tcBorders>
              <w:top w:val="single" w:color="E5E7EB" w:sz="1"/>
              <w:left w:val="single" w:color="E5E7EB" w:sz="1"/>
              <w:bottom w:val="single" w:color="E5E7EB" w:sz="1"/>
              <w:right w:val="single" w:color="E5E7EB" w:sz="1"/>
            </w:tcBorders>
            <w:shd w:fill="FFFFFF" w:val="clear"/>
          </w:tcPr>
          <w:p>
            <w:pPr>
              <w:jc w:val="center"/>
            </w:pPr>
            <w:r>
              <w:rPr>
                <w:b w:val="false"/>
                <w:bCs w:val="false"/>
                <w:i/>
                <w:iCs/>
                <w:color w:val="16A34A"/>
                <w:sz w:val="15"/>
                <w:szCs w:val="15"/>
              </w:rPr>
              <w:t xml:space="preserve">117</w:t>
            </w:r>
          </w:p>
        </w:tc>
        <w:tc>
          <w:tcPr>
            <w:tcW w:type="dxa" w:w="900"/>
            <w:tcBorders>
              <w:top w:val="single" w:color="E5E7EB" w:sz="1"/>
              <w:left w:val="single" w:color="E5E7EB" w:sz="1"/>
              <w:bottom w:val="single" w:color="E5E7EB" w:sz="1"/>
              <w:right w:val="single" w:color="E5E7EB" w:sz="1"/>
            </w:tcBorders>
            <w:shd w:fill="FFFFFF" w:val="clear"/>
          </w:tcPr>
          <w:p>
            <w:pPr>
              <w:jc w:val="center"/>
            </w:pPr>
            <w:r>
              <w:rPr>
                <w:b/>
                <w:bCs/>
                <w:i w:val="false"/>
                <w:iCs w:val="false"/>
                <w:color w:val="16A34A"/>
                <w:sz w:val="17"/>
                <w:szCs w:val="17"/>
              </w:rPr>
              <w:t xml:space="preserve">80.0</w:t>
            </w:r>
          </w:p>
        </w:tc>
        <w:tc>
          <w:tcPr>
            <w:tcW w:type="dxa" w:w="800"/>
            <w:tcBorders>
              <w:top w:val="single" w:color="E5E7EB" w:sz="1"/>
              <w:left w:val="single" w:color="E5E7EB" w:sz="1"/>
              <w:bottom w:val="single" w:color="E5E7EB" w:sz="1"/>
              <w:right w:val="single" w:color="E5E7EB" w:sz="1"/>
            </w:tcBorders>
            <w:shd w:fill="FFFFFF" w:val="clear"/>
          </w:tcPr>
          <w:p>
            <w:pPr>
              <w:jc w:val="center"/>
            </w:pPr>
            <w:r>
              <w:rPr>
                <w:b w:val="false"/>
                <w:bCs w:val="false"/>
                <w:i/>
                <w:iCs/>
                <w:color w:val="6B7280"/>
                <w:sz w:val="15"/>
                <w:szCs w:val="15"/>
              </w:rPr>
              <w:t xml:space="preserve">-</w:t>
            </w:r>
          </w:p>
        </w:tc>
        <w:tc>
          <w:tcPr>
            <w:tcW w:type="dxa" w:w="900"/>
            <w:tcBorders>
              <w:top w:val="single" w:color="E5E7EB" w:sz="1"/>
              <w:left w:val="single" w:color="E5E7EB" w:sz="1"/>
              <w:bottom w:val="single" w:color="E5E7EB" w:sz="1"/>
              <w:right w:val="single" w:color="E5E7EB" w:sz="1"/>
            </w:tcBorders>
            <w:shd w:fill="FFFFFF" w:val="clear"/>
          </w:tcPr>
          <w:p>
            <w:pPr>
              <w:jc w:val="center"/>
            </w:pPr>
            <w:r>
              <w:rPr>
                <w:b/>
                <w:bCs/>
                <w:i w:val="false"/>
                <w:iCs w:val="false"/>
                <w:color w:val="6B7280"/>
                <w:sz w:val="17"/>
                <w:szCs w:val="17"/>
              </w:rPr>
              <w:t xml:space="preserve">-</w:t>
            </w:r>
          </w:p>
        </w:tc>
      </w:tr>
    </w:tbl>
    <w:p>
      <w:pPr>
        <w:spacing w:before="120" w:after="100"/>
      </w:pPr>
      <w:r>
        <w:rPr>
          <w:i/>
          <w:iCs/>
          <w:color w:val="9CA3AF"/>
          <w:sz w:val="17"/>
          <w:szCs w:val="17"/>
        </w:rPr>
        <w:t xml:space="preserve">Note: K reconciliation omitted, no fertiliser programme found for this site. Add an N programme to enable per-sample K balance reporting.</w:t>
      </w:r>
    </w:p>
    <w:p>
      <w:pPr>
        <w:spacing w:before="200"/>
      </w:pPr>
      <w:r>
        <w:rPr>
          <w:b/>
          <w:bCs/>
          <w:sz w:val="24"/>
          <w:szCs w:val="24"/>
        </w:rPr>
        <w:t xml:space="preserve">Monthly N Distribution (GP-Weighted)</w:t>
      </w:r>
    </w:p>
    <w:p>
      <w:pPr>
        <w:spacing w:before="50" w:after="100"/>
      </w:pPr>
      <w:r>
        <w:rPr>
          <w:color w:val="6B7280"/>
          <w:sz w:val="20"/>
          <w:szCs w:val="20"/>
        </w:rPr>
        <w:t xml:space="preserve">Total: 150 kg N/ha/yr | 12 active growing months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50"/>
        <w:gridCol w:w="750"/>
        <w:gridCol w:w="750"/>
        <w:gridCol w:w="750"/>
        <w:gridCol w:w="750"/>
        <w:gridCol w:w="750"/>
        <w:gridCol w:w="750"/>
        <w:gridCol w:w="750"/>
        <w:gridCol w:w="750"/>
        <w:gridCol w:w="750"/>
        <w:gridCol w:w="750"/>
        <w:gridCol w:w="750"/>
      </w:tblGrid>
      <w:tr>
        <w:tc>
          <w:tcPr>
            <w:tcW w:type="dxa" w:w="750"/>
            <w:shd w:fill="F3F4F6"/>
          </w:tcPr>
          <w:p>
            <w:pPr>
              <w:jc w:val="center"/>
            </w:pPr>
            <w:r>
              <w:rPr>
                <w:b/>
                <w:bCs/>
                <w:sz w:val="22"/>
                <w:szCs w:val="22"/>
              </w:rPr>
              <w:t xml:space="preserve">Jan</w:t>
            </w:r>
          </w:p>
        </w:tc>
        <w:tc>
          <w:tcPr>
            <w:tcW w:type="dxa" w:w="750"/>
            <w:shd w:fill="F3F4F6"/>
          </w:tcPr>
          <w:p>
            <w:pPr>
              <w:jc w:val="center"/>
            </w:pPr>
            <w:r>
              <w:rPr>
                <w:b/>
                <w:bCs/>
                <w:sz w:val="22"/>
                <w:szCs w:val="22"/>
              </w:rPr>
              <w:t xml:space="preserve">Feb</w:t>
            </w:r>
          </w:p>
        </w:tc>
        <w:tc>
          <w:tcPr>
            <w:tcW w:type="dxa" w:w="750"/>
            <w:shd w:fill="F3F4F6"/>
          </w:tcPr>
          <w:p>
            <w:pPr>
              <w:jc w:val="center"/>
            </w:pPr>
            <w:r>
              <w:rPr>
                <w:b/>
                <w:bCs/>
                <w:sz w:val="22"/>
                <w:szCs w:val="22"/>
              </w:rPr>
              <w:t xml:space="preserve">Mar</w:t>
            </w:r>
          </w:p>
        </w:tc>
        <w:tc>
          <w:tcPr>
            <w:tcW w:type="dxa" w:w="750"/>
            <w:shd w:fill="F3F4F6"/>
          </w:tcPr>
          <w:p>
            <w:pPr>
              <w:jc w:val="center"/>
            </w:pPr>
            <w:r>
              <w:rPr>
                <w:b/>
                <w:bCs/>
                <w:sz w:val="22"/>
                <w:szCs w:val="22"/>
              </w:rPr>
              <w:t xml:space="preserve">Apr</w:t>
            </w:r>
          </w:p>
        </w:tc>
        <w:tc>
          <w:tcPr>
            <w:tcW w:type="dxa" w:w="750"/>
            <w:shd w:fill="F3F4F6"/>
          </w:tcPr>
          <w:p>
            <w:pPr>
              <w:jc w:val="center"/>
            </w:pPr>
            <w:r>
              <w:rPr>
                <w:b/>
                <w:bCs/>
                <w:sz w:val="22"/>
                <w:szCs w:val="22"/>
              </w:rPr>
              <w:t xml:space="preserve">May</w:t>
            </w:r>
          </w:p>
        </w:tc>
        <w:tc>
          <w:tcPr>
            <w:tcW w:type="dxa" w:w="750"/>
            <w:shd w:fill="F3F4F6"/>
          </w:tcPr>
          <w:p>
            <w:pPr>
              <w:jc w:val="center"/>
            </w:pPr>
            <w:r>
              <w:rPr>
                <w:b/>
                <w:bCs/>
                <w:sz w:val="22"/>
                <w:szCs w:val="22"/>
              </w:rPr>
              <w:t xml:space="preserve">Jun</w:t>
            </w:r>
          </w:p>
        </w:tc>
        <w:tc>
          <w:tcPr>
            <w:tcW w:type="dxa" w:w="750"/>
            <w:shd w:fill="F3F4F6"/>
          </w:tcPr>
          <w:p>
            <w:pPr>
              <w:jc w:val="center"/>
            </w:pPr>
            <w:r>
              <w:rPr>
                <w:b/>
                <w:bCs/>
                <w:sz w:val="22"/>
                <w:szCs w:val="22"/>
              </w:rPr>
              <w:t xml:space="preserve">Jul</w:t>
            </w:r>
          </w:p>
        </w:tc>
        <w:tc>
          <w:tcPr>
            <w:tcW w:type="dxa" w:w="750"/>
            <w:shd w:fill="F3F4F6"/>
          </w:tcPr>
          <w:p>
            <w:pPr>
              <w:jc w:val="center"/>
            </w:pPr>
            <w:r>
              <w:rPr>
                <w:b/>
                <w:bCs/>
                <w:sz w:val="22"/>
                <w:szCs w:val="22"/>
              </w:rPr>
              <w:t xml:space="preserve">Aug</w:t>
            </w:r>
          </w:p>
        </w:tc>
        <w:tc>
          <w:tcPr>
            <w:tcW w:type="dxa" w:w="750"/>
            <w:shd w:fill="F3F4F6"/>
          </w:tcPr>
          <w:p>
            <w:pPr>
              <w:jc w:val="center"/>
            </w:pPr>
            <w:r>
              <w:rPr>
                <w:b/>
                <w:bCs/>
                <w:sz w:val="22"/>
                <w:szCs w:val="22"/>
              </w:rPr>
              <w:t xml:space="preserve">Sep</w:t>
            </w:r>
          </w:p>
        </w:tc>
        <w:tc>
          <w:tcPr>
            <w:tcW w:type="dxa" w:w="750"/>
            <w:shd w:fill="F3F4F6"/>
          </w:tcPr>
          <w:p>
            <w:pPr>
              <w:jc w:val="center"/>
            </w:pPr>
            <w:r>
              <w:rPr>
                <w:b/>
                <w:bCs/>
                <w:sz w:val="22"/>
                <w:szCs w:val="22"/>
              </w:rPr>
              <w:t xml:space="preserve">Oct</w:t>
            </w:r>
          </w:p>
        </w:tc>
        <w:tc>
          <w:tcPr>
            <w:tcW w:type="dxa" w:w="750"/>
            <w:shd w:fill="F3F4F6"/>
          </w:tcPr>
          <w:p>
            <w:pPr>
              <w:jc w:val="center"/>
            </w:pPr>
            <w:r>
              <w:rPr>
                <w:b/>
                <w:bCs/>
                <w:sz w:val="22"/>
                <w:szCs w:val="22"/>
              </w:rPr>
              <w:t xml:space="preserve">Nov</w:t>
            </w:r>
          </w:p>
        </w:tc>
        <w:tc>
          <w:tcPr>
            <w:tcW w:type="dxa" w:w="750"/>
            <w:shd w:fill="F3F4F6"/>
          </w:tcPr>
          <w:p>
            <w:pPr>
              <w:jc w:val="center"/>
            </w:pPr>
            <w:r>
              <w:rPr>
                <w:b/>
                <w:bCs/>
                <w:sz w:val="22"/>
                <w:szCs w:val="22"/>
              </w:rPr>
              <w:t xml:space="preserve">Dec</w:t>
            </w:r>
          </w:p>
        </w:tc>
      </w:tr>
      <w:tr>
        <w:tc>
          <w:tcPr>
            <w:tcW w:type="dxa" w:w="750"/>
          </w:tcPr>
          <w:p>
            <w:pPr>
              <w:jc w:val="center"/>
            </w:pPr>
            <w:r>
              <w:rPr>
                <w:b/>
                <w:bCs/>
                <w:color w:val="65A30D"/>
                <w:sz w:val="22"/>
                <w:szCs w:val="22"/>
              </w:rPr>
              <w:t xml:space="preserve">13</w:t>
            </w:r>
            <w:r>
              <w:rPr>
                <w:color w:val="6B7280"/>
                <w:sz w:val="20"/>
                <w:szCs w:val="20"/>
              </w:rPr>
              <w:t xml:space="preserve">
GP 66%</w:t>
            </w:r>
          </w:p>
        </w:tc>
        <w:tc>
          <w:tcPr>
            <w:tcW w:type="dxa" w:w="750"/>
          </w:tcPr>
          <w:p>
            <w:pPr>
              <w:jc w:val="center"/>
            </w:pPr>
            <w:r>
              <w:rPr>
                <w:b/>
                <w:bCs/>
                <w:color w:val="65A30D"/>
                <w:sz w:val="22"/>
                <w:szCs w:val="22"/>
              </w:rPr>
              <w:t xml:space="preserve">13</w:t>
            </w:r>
            <w:r>
              <w:rPr>
                <w:color w:val="6B7280"/>
                <w:sz w:val="20"/>
                <w:szCs w:val="20"/>
              </w:rPr>
              <w:t xml:space="preserve">
GP 66%</w:t>
            </w:r>
          </w:p>
        </w:tc>
        <w:tc>
          <w:tcPr>
            <w:tcW w:type="dxa" w:w="750"/>
          </w:tcPr>
          <w:p>
            <w:pPr>
              <w:jc w:val="center"/>
            </w:pPr>
            <w:r>
              <w:rPr>
                <w:b/>
                <w:bCs/>
                <w:color w:val="16A34A"/>
                <w:sz w:val="22"/>
                <w:szCs w:val="22"/>
              </w:rPr>
              <w:t xml:space="preserve">18</w:t>
            </w:r>
            <w:r>
              <w:rPr>
                <w:color w:val="6B7280"/>
                <w:sz w:val="20"/>
                <w:szCs w:val="20"/>
              </w:rPr>
              <w:t xml:space="preserve">
GP 94%</w:t>
            </w:r>
          </w:p>
        </w:tc>
        <w:tc>
          <w:tcPr>
            <w:tcW w:type="dxa" w:w="750"/>
          </w:tcPr>
          <w:p>
            <w:pPr>
              <w:jc w:val="center"/>
            </w:pPr>
            <w:r>
              <w:rPr>
                <w:b/>
                <w:bCs/>
                <w:color w:val="16A34A"/>
                <w:sz w:val="22"/>
                <w:szCs w:val="22"/>
              </w:rPr>
              <w:t xml:space="preserve">18</w:t>
            </w:r>
            <w:r>
              <w:rPr>
                <w:color w:val="6B7280"/>
                <w:sz w:val="20"/>
                <w:szCs w:val="20"/>
              </w:rPr>
              <w:t xml:space="preserve">
GP 94%</w:t>
            </w:r>
          </w:p>
        </w:tc>
        <w:tc>
          <w:tcPr>
            <w:tcW w:type="dxa" w:w="750"/>
          </w:tcPr>
          <w:p>
            <w:pPr>
              <w:jc w:val="center"/>
            </w:pPr>
            <w:r>
              <w:rPr>
                <w:b/>
                <w:bCs/>
                <w:color w:val="65A30D"/>
                <w:sz w:val="22"/>
                <w:szCs w:val="22"/>
              </w:rPr>
              <w:t xml:space="preserve">10</w:t>
            </w:r>
            <w:r>
              <w:rPr>
                <w:color w:val="6B7280"/>
                <w:sz w:val="20"/>
                <w:szCs w:val="20"/>
              </w:rPr>
              <w:t xml:space="preserve">
GP 55%</w:t>
            </w:r>
          </w:p>
        </w:tc>
        <w:tc>
          <w:tcPr>
            <w:tcW w:type="dxa" w:w="750"/>
          </w:tcPr>
          <w:p>
            <w:pPr>
              <w:jc w:val="center"/>
            </w:pPr>
            <w:r>
              <w:rPr>
                <w:b/>
                <w:bCs/>
                <w:color w:val="9CA3AF"/>
                <w:sz w:val="22"/>
                <w:szCs w:val="22"/>
              </w:rPr>
              <w:t xml:space="preserve">5</w:t>
            </w:r>
            <w:r>
              <w:rPr>
                <w:color w:val="6B7280"/>
                <w:sz w:val="20"/>
                <w:szCs w:val="20"/>
              </w:rPr>
              <w:t xml:space="preserve">
GP 26%</w:t>
            </w:r>
          </w:p>
        </w:tc>
        <w:tc>
          <w:tcPr>
            <w:tcW w:type="dxa" w:w="750"/>
          </w:tcPr>
          <w:p>
            <w:pPr>
              <w:jc w:val="center"/>
            </w:pPr>
            <w:r>
              <w:rPr>
                <w:b/>
                <w:bCs/>
                <w:color w:val="9CA3AF"/>
                <w:sz w:val="22"/>
                <w:szCs w:val="22"/>
              </w:rPr>
              <w:t xml:space="preserve">4</w:t>
            </w:r>
            <w:r>
              <w:rPr>
                <w:color w:val="6B7280"/>
                <w:sz w:val="20"/>
                <w:szCs w:val="20"/>
              </w:rPr>
              <w:t xml:space="preserve">
GP 19%</w:t>
            </w:r>
          </w:p>
        </w:tc>
        <w:tc>
          <w:tcPr>
            <w:tcW w:type="dxa" w:w="750"/>
          </w:tcPr>
          <w:p>
            <w:pPr>
              <w:jc w:val="center"/>
            </w:pPr>
            <w:r>
              <w:rPr>
                <w:b/>
                <w:bCs/>
                <w:color w:val="F59E0B"/>
                <w:sz w:val="22"/>
                <w:szCs w:val="22"/>
              </w:rPr>
              <w:t xml:space="preserve">7</w:t>
            </w:r>
            <w:r>
              <w:rPr>
                <w:color w:val="6B7280"/>
                <w:sz w:val="20"/>
                <w:szCs w:val="20"/>
              </w:rPr>
              <w:t xml:space="preserve">
GP 35%</w:t>
            </w:r>
          </w:p>
        </w:tc>
        <w:tc>
          <w:tcPr>
            <w:tcW w:type="dxa" w:w="750"/>
          </w:tcPr>
          <w:p>
            <w:pPr>
              <w:jc w:val="center"/>
            </w:pPr>
            <w:r>
              <w:rPr>
                <w:b/>
                <w:bCs/>
                <w:color w:val="65A30D"/>
                <w:sz w:val="22"/>
                <w:szCs w:val="22"/>
              </w:rPr>
              <w:t xml:space="preserve">13</w:t>
            </w:r>
            <w:r>
              <w:rPr>
                <w:color w:val="6B7280"/>
                <w:sz w:val="20"/>
                <w:szCs w:val="20"/>
              </w:rPr>
              <w:t xml:space="preserve">
GP 66%</w:t>
            </w:r>
          </w:p>
        </w:tc>
        <w:tc>
          <w:tcPr>
            <w:tcW w:type="dxa" w:w="750"/>
          </w:tcPr>
          <w:p>
            <w:pPr>
              <w:jc w:val="center"/>
            </w:pPr>
            <w:r>
              <w:rPr>
                <w:b/>
                <w:bCs/>
                <w:color w:val="16A34A"/>
                <w:sz w:val="22"/>
                <w:szCs w:val="22"/>
              </w:rPr>
              <w:t xml:space="preserve">18</w:t>
            </w:r>
            <w:r>
              <w:rPr>
                <w:color w:val="6B7280"/>
                <w:sz w:val="20"/>
                <w:szCs w:val="20"/>
              </w:rPr>
              <w:t xml:space="preserve">
GP 94%</w:t>
            </w:r>
          </w:p>
        </w:tc>
        <w:tc>
          <w:tcPr>
            <w:tcW w:type="dxa" w:w="750"/>
          </w:tcPr>
          <w:p>
            <w:pPr>
              <w:jc w:val="center"/>
            </w:pPr>
            <w:r>
              <w:rPr>
                <w:b/>
                <w:bCs/>
                <w:color w:val="16A34A"/>
                <w:sz w:val="22"/>
                <w:szCs w:val="22"/>
              </w:rPr>
              <w:t xml:space="preserve">19</w:t>
            </w:r>
            <w:r>
              <w:rPr>
                <w:color w:val="6B7280"/>
                <w:sz w:val="20"/>
                <w:szCs w:val="20"/>
              </w:rPr>
              <w:t xml:space="preserve">
GP 98%</w:t>
            </w:r>
          </w:p>
        </w:tc>
        <w:tc>
          <w:tcPr>
            <w:tcW w:type="dxa" w:w="750"/>
          </w:tcPr>
          <w:p>
            <w:pPr>
              <w:jc w:val="center"/>
            </w:pPr>
            <w:r>
              <w:rPr>
                <w:b/>
                <w:bCs/>
                <w:color w:val="65A30D"/>
                <w:sz w:val="22"/>
                <w:szCs w:val="22"/>
              </w:rPr>
              <w:t xml:space="preserve">15</w:t>
            </w:r>
            <w:r>
              <w:rPr>
                <w:color w:val="6B7280"/>
                <w:sz w:val="20"/>
                <w:szCs w:val="20"/>
              </w:rPr>
              <w:t xml:space="preserve">
GP 77%</w:t>
            </w:r>
          </w:p>
        </w:tc>
      </w:tr>
    </w:tbl>
    <w:p>
      <w:pPr>
        <w:spacing w:before="80" w:after="120"/>
      </w:pPr>
      <w:r>
        <w:rPr>
          <w:i/>
          <w:iCs/>
          <w:color w:val="6B7280"/>
          <w:sz w:val="20"/>
          <w:szCs w:val="20"/>
        </w:rPr>
        <w:t xml:space="preserve">Distribution is site-uniform, annual N target, monthly growth potential, and distribution strategy are all site-level inputs. Per-sample differentiation appears in P/K/S requirements above.</w:t>
      </w:r>
    </w:p>
    <w:p/>
    <w:p>
      <w:r>
        <w:br w:type="page"/>
      </w:r>
    </w:p>
    <w:p>
      <w:pPr>
        <w:pStyle w:val="Heading1"/>
        <w:keepNext/>
      </w:pPr>
      <w:r>
        <w:t xml:space="preserve">References &amp; Methodology</w:t>
      </w:r>
    </w:p>
    <w:p>
      <w:pPr>
        <w:spacing w:after="200"/>
      </w:pPr>
      <w:r>
        <w:rPr>
          <w:color w:val="4B5563"/>
          <w:sz w:val="22"/>
          <w:szCs w:val="22"/>
        </w:rPr>
        <w:t xml:space="preserve">This report represents a point-in-time analysis based on the soil, tissue, and water quality data provided. Turf conditions are dynamic, and the relationships identified in this report may change as environmental conditions, management practices, and plant development progress. For comprehensive trend analysis and to track the effectiveness of management interventions, periodic re-testing is recommended, with soil analysis annually, tissue testing during active growth periods, and water quality assessment when source conditions change.</w:t>
      </w:r>
    </w:p>
    <w:p>
      <w:pPr>
        <w:spacing w:after="120"/>
      </w:pPr>
      <w:r>
        <w:rPr>
          <w:color w:val="4B5563"/>
          <w:sz w:val="22"/>
          <w:szCs w:val="22"/>
        </w:rPr>
        <w:t xml:space="preserve">The analysis and recommendations in this report are based on peer-reviewed methodologies and evidence-based guidelines. The following sources underpin the interpretations provided:</w:t>
      </w:r>
    </w:p>
    <w:p>
      <w:pPr>
        <w:spacing w:before="150" w:after="60"/>
      </w:pPr>
      <w:r>
        <w:rPr>
          <w:b/>
          <w:bCs/>
          <w:color w:val="374151"/>
          <w:sz w:val="22"/>
          <w:szCs w:val="22"/>
        </w:rPr>
        <w:t xml:space="preserve">Soil Nutrition</w:t>
      </w:r>
    </w:p>
    <w:p>
      <w:pPr>
        <w:spacing w:after="40"/>
        <w:ind w:left="360"/>
      </w:pPr>
      <w:r>
        <w:rPr>
          <w:color w:val="6B7280"/>
          <w:sz w:val="22"/>
          <w:szCs w:val="22"/>
        </w:rPr>
        <w:t xml:space="preserve">• Woods, M.S., Stowell, L.J. &amp; Gelernter, W.D. (2014). Minimum Levels for Sustainable Nutrition (MLSN) guidelines. PACE Turf.</w:t>
      </w:r>
    </w:p>
    <w:p>
      <w:pPr>
        <w:spacing w:after="40"/>
        <w:ind w:left="360"/>
      </w:pPr>
      <w:r>
        <w:rPr>
          <w:color w:val="6B7280"/>
          <w:sz w:val="22"/>
          <w:szCs w:val="22"/>
        </w:rPr>
        <w:t xml:space="preserve">• Carrow, R.N., Waddington, D.V. &amp; Rieke, P.E. (2001). Turfgrass Soil Fertility and Chemical Problems: Assessment and Management. John Wiley &amp; Sons.</w:t>
      </w:r>
    </w:p>
    <w:p>
      <w:pPr>
        <w:spacing w:after="40"/>
        <w:ind w:left="360"/>
      </w:pPr>
      <w:r>
        <w:rPr>
          <w:color w:val="6B7280"/>
          <w:sz w:val="22"/>
          <w:szCs w:val="22"/>
        </w:rPr>
        <w:t xml:space="preserve">• Kreuser, W.C. (2015). Sufficiency Level of Available Nutrients (SLAN) guidelines for turfgrass. University of Nebraska-Lincoln.</w:t>
      </w:r>
    </w:p>
    <w:p>
      <w:pPr>
        <w:spacing w:before="150" w:after="60"/>
      </w:pPr>
      <w:r>
        <w:rPr>
          <w:b/>
          <w:bCs/>
          <w:color w:val="374151"/>
          <w:sz w:val="22"/>
          <w:szCs w:val="22"/>
        </w:rPr>
        <w:t xml:space="preserve">Tissue Analysis</w:t>
      </w:r>
    </w:p>
    <w:p>
      <w:pPr>
        <w:spacing w:after="40"/>
        <w:ind w:left="360"/>
      </w:pPr>
      <w:r>
        <w:rPr>
          <w:color w:val="6B7280"/>
          <w:sz w:val="22"/>
          <w:szCs w:val="22"/>
        </w:rPr>
        <w:t xml:space="preserve">• Jones, J.B., Wolf, B. &amp; Mills, H.A. (1991). Plant Analysis Handbook. Micro-Macro Publishing.</w:t>
      </w:r>
    </w:p>
    <w:p>
      <w:pPr>
        <w:spacing w:after="40"/>
        <w:ind w:left="360"/>
      </w:pPr>
      <w:r>
        <w:rPr>
          <w:color w:val="6B7280"/>
          <w:sz w:val="22"/>
          <w:szCs w:val="22"/>
        </w:rPr>
        <w:t xml:space="preserve">• Turner, T.R. &amp; Hummel, N.W. (1992). Nutritional requirements and fertilisation. In: Waddington et al. (eds) Turfgrass. ASA-CSSA-SSSA.</w:t>
      </w:r>
    </w:p>
    <w:p>
      <w:pPr>
        <w:spacing w:after="40"/>
        <w:ind w:left="360"/>
      </w:pPr>
      <w:r>
        <w:rPr>
          <w:color w:val="6B7280"/>
          <w:sz w:val="22"/>
          <w:szCs w:val="22"/>
        </w:rPr>
        <w:t xml:space="preserve">• Christians, N.E., Patton, A.J. &amp; Law, Q.D. (2016). Fundamentals of Turfgrass Management, 5th ed. John Wiley &amp; Sons.</w:t>
      </w:r>
    </w:p>
    <w:p>
      <w:pPr>
        <w:spacing w:before="150" w:after="60"/>
      </w:pPr>
      <w:r>
        <w:rPr>
          <w:b/>
          <w:bCs/>
          <w:color w:val="374151"/>
          <w:sz w:val="22"/>
          <w:szCs w:val="22"/>
        </w:rPr>
        <w:t xml:space="preserve">Water Quality</w:t>
      </w:r>
    </w:p>
    <w:p>
      <w:pPr>
        <w:spacing w:after="40"/>
        <w:ind w:left="360"/>
      </w:pPr>
      <w:r>
        <w:rPr>
          <w:color w:val="6B7280"/>
          <w:sz w:val="22"/>
          <w:szCs w:val="22"/>
        </w:rPr>
        <w:t xml:space="preserve">• Ayers, R.S. &amp; Westcot, D.W. (1985). Water Quality for Agriculture. FAO Irrigation and Drainage Paper 29.</w:t>
      </w:r>
    </w:p>
    <w:p>
      <w:pPr>
        <w:spacing w:after="40"/>
        <w:ind w:left="360"/>
      </w:pPr>
      <w:r>
        <w:rPr>
          <w:color w:val="6B7280"/>
          <w:sz w:val="22"/>
          <w:szCs w:val="22"/>
        </w:rPr>
        <w:t xml:space="preserve">• Carrow, R.N. &amp; Duncan, R.R. (2012). Best Management Practices for Saline and Sodic Turfgrass Soils. CRC Press.</w:t>
      </w:r>
    </w:p>
    <w:p>
      <w:pPr>
        <w:spacing w:after="40"/>
        <w:ind w:left="360"/>
      </w:pPr>
      <w:r>
        <w:rPr>
          <w:color w:val="6B7280"/>
          <w:sz w:val="22"/>
          <w:szCs w:val="22"/>
        </w:rPr>
        <w:t xml:space="preserve">• Harivandi, M.A. (1999). Interpreting Turfgrass Irrigation Water Test Results. University of California ANR Publication 8009.</w:t>
      </w:r>
    </w:p>
    <w:p>
      <w:pPr>
        <w:spacing w:before="150" w:after="60"/>
      </w:pPr>
      <w:r>
        <w:rPr>
          <w:b/>
          <w:bCs/>
          <w:color w:val="374151"/>
          <w:sz w:val="22"/>
          <w:szCs w:val="22"/>
        </w:rPr>
        <w:t xml:space="preserve">Growth Potential &amp; Climate</w:t>
      </w:r>
    </w:p>
    <w:p>
      <w:pPr>
        <w:spacing w:after="40"/>
        <w:ind w:left="360"/>
      </w:pPr>
      <w:r>
        <w:rPr>
          <w:color w:val="6B7280"/>
          <w:sz w:val="22"/>
          <w:szCs w:val="22"/>
        </w:rPr>
        <w:t xml:space="preserve">• Kreuser, W.C. &amp; Soldat, D.J. (2011). A growing degree day model to schedule trinexapac-ethyl applications on Agrostis stolonifera golf putting greens. Crop Science 51:2228-2236.</w:t>
      </w:r>
    </w:p>
    <w:p>
      <w:pPr>
        <w:spacing w:after="40"/>
        <w:ind w:left="360"/>
      </w:pPr>
      <w:r>
        <w:rPr>
          <w:color w:val="6B7280"/>
          <w:sz w:val="22"/>
          <w:szCs w:val="22"/>
        </w:rPr>
        <w:t xml:space="preserve">• Beard, J.B. (1973). Turfgrass: Science and Culture. Prentice-Hall.</w:t>
      </w:r>
    </w:p>
    <w:p>
      <w:pPr>
        <w:spacing w:before="150" w:after="60"/>
      </w:pPr>
      <w:r>
        <w:rPr>
          <w:b/>
          <w:bCs/>
          <w:color w:val="374151"/>
          <w:sz w:val="22"/>
          <w:szCs w:val="22"/>
        </w:rPr>
        <w:t xml:space="preserve">Disease Risk</w:t>
      </w:r>
    </w:p>
    <w:p>
      <w:pPr>
        <w:spacing w:after="40"/>
        <w:ind w:left="360"/>
      </w:pPr>
      <w:r>
        <w:rPr>
          <w:color w:val="6B7280"/>
          <w:sz w:val="22"/>
          <w:szCs w:val="22"/>
        </w:rPr>
        <w:t xml:space="preserve">• Smiley, R.W., Dernoeden, P.H. &amp; Clarke, B.B. (2005). Compendium of Turfgrass Diseases, 3rd ed. APS Press.</w:t>
      </w:r>
    </w:p>
    <w:p>
      <w:pPr>
        <w:spacing w:after="40"/>
        <w:ind w:left="360"/>
      </w:pPr>
      <w:r>
        <w:rPr>
          <w:color w:val="6B7280"/>
          <w:sz w:val="22"/>
          <w:szCs w:val="22"/>
        </w:rPr>
        <w:t xml:space="preserve">• Fidanza, M.A. &amp; Dernoeden, P.H. (1996). Brown patch and dollar spot model development. HortScience 31:1006-1009.</w:t>
      </w:r>
    </w:p>
    <w:p>
      <w:pPr>
        <w:spacing w:after="40"/>
        <w:ind w:left="360"/>
      </w:pPr>
      <w:r>
        <w:rPr>
          <w:color w:val="6B7280"/>
          <w:sz w:val="22"/>
          <w:szCs w:val="22"/>
        </w:rPr>
        <w:t xml:space="preserve">• Smith, J.D., Jackson, N. &amp; Woolhouse, A.R. (1989). Fungal Diseases of Amenity Turf Grasses. E. &amp; F.N. Spon.</w:t>
      </w:r>
    </w:p>
    <w:p>
      <w:pPr>
        <w:spacing w:before="150" w:after="60"/>
      </w:pPr>
      <w:r>
        <w:rPr>
          <w:b/>
          <w:bCs/>
          <w:color w:val="374151"/>
          <w:sz w:val="22"/>
          <w:szCs w:val="22"/>
        </w:rPr>
        <w:t xml:space="preserve">Variety Traits &amp; Performance</w:t>
      </w:r>
    </w:p>
    <w:p>
      <w:pPr>
        <w:spacing w:after="40"/>
        <w:ind w:left="360"/>
      </w:pPr>
      <w:r>
        <w:rPr>
          <w:color w:val="6B7280"/>
          <w:sz w:val="22"/>
          <w:szCs w:val="22"/>
        </w:rPr>
        <w:t xml:space="preserve">• National Turfgrass Evaluation Program (NTEP). Multi-year variety trial data. ntep.org.</w:t>
      </w:r>
    </w:p>
    <w:p>
      <w:pPr>
        <w:spacing w:after="40"/>
        <w:ind w:left="360"/>
      </w:pPr>
      <w:r>
        <w:rPr>
          <w:color w:val="6B7280"/>
          <w:sz w:val="22"/>
          <w:szCs w:val="22"/>
        </w:rPr>
        <w:t xml:space="preserve">• Wu, Y., Taliaferro, C.M. &amp; Martin, D.L. (2011). Bermudagrass shade tolerance research. Oklahoma State University.</w:t>
      </w:r>
    </w:p>
    <w:p>
      <w:pPr>
        <w:spacing w:after="40"/>
        <w:ind w:left="360"/>
      </w:pPr>
      <w:r>
        <w:rPr>
          <w:color w:val="6B7280"/>
          <w:sz w:val="22"/>
          <w:szCs w:val="22"/>
        </w:rPr>
        <w:t xml:space="preserve">• Amgain, N.R. et al. (2018). Evapotranspiration rates of bermudagrass cultivars. Crop Science 58:1409-1421.</w:t>
      </w:r>
    </w:p>
    <w:p>
      <w:pPr>
        <w:spacing w:before="150" w:after="60"/>
      </w:pPr>
      <w:r>
        <w:rPr>
          <w:b/>
          <w:bCs/>
          <w:color w:val="374151"/>
          <w:sz w:val="22"/>
          <w:szCs w:val="22"/>
        </w:rPr>
        <w:t xml:space="preserve">Salinity &amp; Stress Interactions</w:t>
      </w:r>
    </w:p>
    <w:p>
      <w:pPr>
        <w:spacing w:after="40"/>
        <w:ind w:left="360"/>
      </w:pPr>
      <w:r>
        <w:rPr>
          <w:color w:val="6B7280"/>
          <w:sz w:val="22"/>
          <w:szCs w:val="22"/>
        </w:rPr>
        <w:t xml:space="preserve">• Maas, E.V. &amp; Hoffman, G.J. (1977). Crop salt tolerance - current assessment. J. Irrig. Drain. Div. 103:115-134.</w:t>
      </w:r>
    </w:p>
    <w:p>
      <w:pPr>
        <w:spacing w:after="40"/>
        <w:ind w:left="360"/>
      </w:pPr>
      <w:r>
        <w:rPr>
          <w:color w:val="6B7280"/>
          <w:sz w:val="22"/>
          <w:szCs w:val="22"/>
        </w:rPr>
        <w:t xml:space="preserve">• Harivandi, M.A. et al. (1992). Turfgrass salinity tolerance. California Turfgrass Culture 42:1-4.</w:t>
      </w:r>
    </w:p>
    <w:p>
      <w:pPr>
        <w:spacing w:after="40"/>
        <w:ind w:left="360"/>
      </w:pPr>
      <w:r>
        <w:rPr>
          <w:color w:val="6B7280"/>
          <w:sz w:val="22"/>
          <w:szCs w:val="22"/>
        </w:rPr>
        <w:t xml:space="preserve">• Carrow, R.N. &amp; Duncan, R.R. (1998). Salt-affected turfgrass sites: Assessment and management. Ann Arbor Press.</w:t>
      </w:r>
    </w:p>
    <w:p/>
    <w:p>
      <w:r>
        <w:br w:type="page"/>
      </w:r>
    </w:p>
    <w:p>
      <w:pPr>
        <w:spacing w:before="400" w:after="200"/>
      </w:pPr>
      <w:r>
        <w:rPr>
          <w:b/>
          <w:bCs/>
          <w:color w:val="374151"/>
          <w:sz w:val="24"/>
          <w:szCs w:val="24"/>
        </w:rPr>
        <w:t xml:space="preserve">Report Metadata</w:t>
      </w:r>
    </w:p>
    <w:p>
      <w:pPr>
        <w:spacing w:after="100"/>
      </w:pPr>
      <w:r>
        <w:rPr>
          <w:color w:val="6B7280"/>
          <w:sz w:val="18"/>
          <w:szCs w:val="18"/>
        </w:rPr>
        <w:t xml:space="preserve">Generated: 28/7/2026, 3:06:49 PM</w:t>
      </w:r>
    </w:p>
    <w:p>
      <w:pPr>
        <w:spacing w:after="100"/>
      </w:pPr>
      <w:r>
        <w:rPr>
          <w:color w:val="6B7280"/>
          <w:sz w:val="18"/>
          <w:szCs w:val="18"/>
        </w:rPr>
        <w:t xml:space="preserve">Hub Version: unknown</w:t>
      </w:r>
    </w:p>
    <w:p>
      <w:pPr>
        <w:spacing w:after="200"/>
      </w:pPr>
      <w:r>
        <w:rPr>
          <w:color w:val="374151"/>
          <w:sz w:val="18"/>
          <w:szCs w:val="18"/>
        </w:rPr>
        <w:t xml:space="preserve">Data Quality: </w:t>
      </w:r>
      <w:r>
        <w:rPr>
          <w:b/>
          <w:bCs/>
          <w:color w:val="D97706"/>
          <w:sz w:val="18"/>
          <w:szCs w:val="18"/>
        </w:rPr>
        <w:t xml:space="preserve">MEDIUM (60%)</w:t>
      </w:r>
    </w:p>
    <w:p>
      <w:pPr>
        <w:spacing w:after="100"/>
      </w:pPr>
      <w:r>
        <w:rPr>
          <w:b/>
          <w:bCs/>
          <w:color w:val="374151"/>
          <w:sz w:val="18"/>
          <w:szCs w:val="18"/>
        </w:rPr>
        <w:t xml:space="preserve">Data Notes:</w:t>
      </w:r>
    </w:p>
    <w:p>
      <w:pPr>
        <w:spacing w:after="50"/>
      </w:pPr>
      <w:r>
        <w:rPr>
          <w:color w:val="6B7280"/>
          <w:sz w:val="16"/>
          <w:szCs w:val="16"/>
        </w:rPr>
        <w:t xml:space="preserve">• No water quality data - irrigation impacts not assessed</w:t>
      </w:r>
    </w:p>
    <w:p>
      <w:pPr>
        <w:spacing w:after="50"/>
      </w:pPr>
      <w:r>
        <w:rPr>
          <w:color w:val="6B7280"/>
          <w:sz w:val="16"/>
          <w:szCs w:val="16"/>
        </w:rPr>
        <w:t xml:space="preserve">• Confidence capped by Dew Prediction (50%)</w:t>
      </w:r>
    </w:p>
    <w:p>
      <w:pPr>
        <w:spacing w:before="200" w:after="100"/>
      </w:pPr>
      <w:r>
        <w:rPr>
          <w:b/>
          <w:bCs/>
          <w:color w:val="374151"/>
          <w:sz w:val="18"/>
          <w:szCs w:val="18"/>
        </w:rPr>
        <w:t xml:space="preserve">Methodology References:</w:t>
      </w:r>
    </w:p>
    <w:p>
      <w:pPr>
        <w:spacing w:after="50"/>
      </w:pPr>
      <w:r>
        <w:rPr>
          <w:color w:val="6B7280"/>
          <w:sz w:val="16"/>
          <w:szCs w:val="16"/>
        </w:rPr>
        <w:t xml:space="preserve">• PACE Turf MLSN</w:t>
      </w:r>
      <w:r>
        <w:rPr>
          <w:color w:val="9CA3AF"/>
          <w:sz w:val="16"/>
          <w:szCs w:val="16"/>
        </w:rPr>
        <w:t xml:space="preserve"> (2014)</w:t>
      </w:r>
    </w:p>
    <w:p>
      <w:pPr>
        <w:spacing w:after="50"/>
      </w:pPr>
      <w:r>
        <w:rPr>
          <w:color w:val="6B7280"/>
          <w:sz w:val="16"/>
          <w:szCs w:val="16"/>
        </w:rPr>
        <w:t xml:space="preserve">• Kussow et al. 2012</w:t>
      </w:r>
      <w:r>
        <w:rPr>
          <w:color w:val="9CA3AF"/>
          <w:sz w:val="16"/>
          <w:szCs w:val="16"/>
        </w:rPr>
        <w:t xml:space="preserve"> (2012)</w:t>
      </w:r>
    </w:p>
    <w:p>
      <w:pPr>
        <w:spacing w:after="50"/>
      </w:pPr>
      <w:r>
        <w:rPr>
          <w:color w:val="6B7280"/>
          <w:sz w:val="16"/>
          <w:szCs w:val="16"/>
        </w:rPr>
        <w:t xml:space="preserve">• ATC ClipVol</w:t>
      </w:r>
      <w:r>
        <w:rPr>
          <w:color w:val="9CA3AF"/>
          <w:sz w:val="16"/>
          <w:szCs w:val="16"/>
        </w:rPr>
        <w:t xml:space="preserve"> (2018)</w:t>
      </w:r>
    </w:p>
    <w:p>
      <w:pPr>
        <w:spacing w:after="50"/>
      </w:pPr>
      <w:r>
        <w:rPr>
          <w:color w:val="6B7280"/>
          <w:sz w:val="16"/>
          <w:szCs w:val="16"/>
        </w:rPr>
        <w:t xml:space="preserve">• Ayers &amp; Westcot 1985</w:t>
      </w:r>
      <w:r>
        <w:rPr>
          <w:color w:val="9CA3AF"/>
          <w:sz w:val="16"/>
          <w:szCs w:val="16"/>
        </w:rPr>
        <w:t xml:space="preserve"> (1985)</w:t>
      </w:r>
    </w:p>
    <w:p>
      <w:pPr>
        <w:spacing w:after="50"/>
      </w:pPr>
      <w:r>
        <w:rPr>
          <w:color w:val="6B7280"/>
          <w:sz w:val="16"/>
          <w:szCs w:val="16"/>
        </w:rPr>
        <w:t xml:space="preserve">• PACE Growth Potential</w:t>
      </w:r>
      <w:r>
        <w:rPr>
          <w:color w:val="9CA3AF"/>
          <w:sz w:val="16"/>
          <w:szCs w:val="16"/>
        </w:rPr>
        <w:t xml:space="preserve"> (2005)</w:t>
      </w:r>
    </w:p>
    <w:p>
      <w:pPr>
        <w:spacing w:after="50"/>
      </w:pPr>
      <w:r>
        <w:rPr>
          <w:color w:val="6B7280"/>
          <w:sz w:val="16"/>
          <w:szCs w:val="16"/>
        </w:rPr>
        <w:t xml:space="preserve">• Smith &amp; Kerns 2018</w:t>
      </w:r>
      <w:r>
        <w:rPr>
          <w:color w:val="9CA3AF"/>
          <w:sz w:val="16"/>
          <w:szCs w:val="16"/>
        </w:rPr>
        <w:t xml:space="preserve"> (2018)</w:t>
      </w:r>
    </w:p>
    <w:p>
      <w:pPr>
        <w:spacing w:after="50"/>
      </w:pPr>
      <w:r>
        <w:rPr>
          <w:color w:val="6B7280"/>
          <w:sz w:val="16"/>
          <w:szCs w:val="16"/>
        </w:rPr>
        <w:t xml:space="preserve">• Fidanza &amp; Dernoeden 1996</w:t>
      </w:r>
      <w:r>
        <w:rPr>
          <w:color w:val="9CA3AF"/>
          <w:sz w:val="16"/>
          <w:szCs w:val="16"/>
        </w:rPr>
        <w:t xml:space="preserve"> (1996)</w:t>
      </w:r>
    </w:p>
    <w:p>
      <w:pPr>
        <w:spacing w:after="50"/>
      </w:pPr>
      <w:r>
        <w:rPr>
          <w:color w:val="6B7280"/>
          <w:sz w:val="16"/>
          <w:szCs w:val="16"/>
        </w:rPr>
        <w:t xml:space="preserve">• Nutter et al. 1983</w:t>
      </w:r>
      <w:r>
        <w:rPr>
          <w:color w:val="9CA3AF"/>
          <w:sz w:val="16"/>
          <w:szCs w:val="16"/>
        </w:rPr>
        <w:t xml:space="preserve"> (1983)</w:t>
      </w:r>
    </w:p>
    <w:p>
      <w:pPr>
        <w:spacing w:after="50"/>
      </w:pPr>
      <w:r>
        <w:rPr>
          <w:color w:val="6B7280"/>
          <w:sz w:val="16"/>
          <w:szCs w:val="16"/>
        </w:rPr>
        <w:t xml:space="preserve">• Kreuser &amp; Soldat 2011</w:t>
      </w:r>
      <w:r>
        <w:rPr>
          <w:color w:val="9CA3AF"/>
          <w:sz w:val="16"/>
          <w:szCs w:val="16"/>
        </w:rPr>
        <w:t xml:space="preserve"> (2011)</w:t>
      </w:r>
    </w:p>
    <w:p>
      <w:pPr>
        <w:spacing w:after="50"/>
      </w:pPr>
      <w:r>
        <w:rPr>
          <w:color w:val="6B7280"/>
          <w:sz w:val="16"/>
          <w:szCs w:val="16"/>
        </w:rPr>
        <w:t xml:space="preserve">• GreenKeeper Sinewave</w:t>
      </w:r>
      <w:r>
        <w:rPr>
          <w:color w:val="9CA3AF"/>
          <w:sz w:val="16"/>
          <w:szCs w:val="16"/>
        </w:rPr>
        <w:t xml:space="preserve"> (2020)</w:t>
      </w:r>
    </w:p>
    <w:p>
      <w:pPr>
        <w:spacing w:after="50"/>
      </w:pPr>
      <w:r>
        <w:rPr>
          <w:color w:val="6B7280"/>
          <w:sz w:val="16"/>
          <w:szCs w:val="16"/>
        </w:rPr>
        <w:t xml:space="preserve">• FAO-56</w:t>
      </w:r>
      <w:r>
        <w:rPr>
          <w:color w:val="9CA3AF"/>
          <w:sz w:val="16"/>
          <w:szCs w:val="16"/>
        </w:rPr>
        <w:t xml:space="preserve"> (1998)</w:t>
      </w:r>
    </w:p>
    <w:p>
      <w:pPr>
        <w:spacing w:after="50"/>
      </w:pPr>
      <w:r>
        <w:rPr>
          <w:color w:val="6B7280"/>
          <w:sz w:val="16"/>
          <w:szCs w:val="16"/>
        </w:rPr>
        <w:t xml:space="preserve">• Landschoot 2024 (PSU Extension)</w:t>
      </w:r>
      <w:r>
        <w:rPr>
          <w:color w:val="9CA3AF"/>
          <w:sz w:val="16"/>
          <w:szCs w:val="16"/>
        </w:rPr>
        <w:t xml:space="preserve"> (2024)</w:t>
      </w:r>
    </w:p>
    <w:p>
      <w:pPr>
        <w:spacing w:after="50"/>
      </w:pPr>
      <w:r>
        <w:rPr>
          <w:color w:val="6B7280"/>
          <w:sz w:val="16"/>
          <w:szCs w:val="16"/>
        </w:rPr>
        <w:t xml:space="preserve">• UMass Extension Turf</w:t>
      </w:r>
    </w:p>
    <w:p>
      <w:pPr>
        <w:spacing w:after="50"/>
      </w:pPr>
      <w:r>
        <w:rPr>
          <w:color w:val="6B7280"/>
          <w:sz w:val="16"/>
          <w:szCs w:val="16"/>
        </w:rPr>
        <w:t xml:space="preserve">• Brecht et al. 2007</w:t>
      </w:r>
      <w:r>
        <w:rPr>
          <w:color w:val="9CA3AF"/>
          <w:sz w:val="16"/>
          <w:szCs w:val="16"/>
        </w:rPr>
        <w:t xml:space="preserve"> (2007)</w:t>
      </w:r>
    </w:p>
    <w:p>
      <w:pPr>
        <w:spacing w:before="300" w:after="200"/>
      </w:pPr>
      <w:r>
        <w:rPr>
          <w:i/>
          <w:iCs/>
          <w:color w:val="6B7280"/>
          <w:sz w:val="16"/>
          <w:szCs w:val="16"/>
        </w:rPr>
        <w:t xml:space="preserve">DISCLAIMER: This report was generated by the Gilba Agronomic Intelligence Hub. Recommendations are based on peer-reviewed research methodologies and should be validated against local conditions and professional judgment. Confidence scores are advisory indicators, not validation gates. Gilba Solutions accepts no liability for agronomic outcomes.</w:t>
      </w:r>
    </w:p>
    <w:p/>
    <w:p>
      <w:r>
        <w:br w:type="page"/>
      </w:r>
    </w:p>
    <w:p>
      <w:pPr>
        <w:pStyle w:val="Heading1"/>
        <w:keepNext/>
      </w:pPr>
      <w:r>
        <w:t xml:space="preserve">Glossary of Terms</w:t>
      </w:r>
    </w:p>
    <w:p>
      <w:pPr>
        <w:spacing w:before="100" w:after="200"/>
      </w:pPr>
      <w:r>
        <w:rPr>
          <w:i/>
          <w:iCs/>
          <w:color w:val="6B7280"/>
          <w:sz w:val="22"/>
          <w:szCs w:val="22"/>
        </w:rPr>
        <w:t xml:space="preserve">Reference definitions for technical terms used in this report.</w:t>
      </w:r>
    </w:p>
    <w:p>
      <w:pPr>
        <w:spacing w:before="120" w:after="40"/>
      </w:pPr>
      <w:r>
        <w:rPr>
          <w:b/>
          <w:bCs/>
          <w:color w:val="1F2937"/>
          <w:sz w:val="22"/>
          <w:szCs w:val="22"/>
        </w:rPr>
        <w:t xml:space="preserve">Bicarbonate (HCO₃)</w:t>
      </w:r>
    </w:p>
    <w:p>
      <w:pPr>
        <w:spacing w:after="80"/>
        <w:ind w:left="200"/>
      </w:pPr>
      <w:r>
        <w:rPr>
          <w:color w:val="4B5563"/>
          <w:sz w:val="22"/>
          <w:szCs w:val="22"/>
        </w:rPr>
        <w:t xml:space="preserve">A naturally occurring ion in water that affects calcium availability. High bicarbonate causes calcium to precipitate as lime in the soil, reducing its ability to counteract sodium. Measured in mg/L or meq/L.</w:t>
      </w:r>
    </w:p>
    <w:p>
      <w:pPr>
        <w:spacing w:before="120" w:after="40"/>
      </w:pPr>
      <w:r>
        <w:rPr>
          <w:b/>
          <w:bCs/>
          <w:color w:val="1F2937"/>
          <w:sz w:val="22"/>
          <w:szCs w:val="22"/>
        </w:rPr>
        <w:t xml:space="preserve">Cation Exchange Capacity (CEC)</w:t>
      </w:r>
    </w:p>
    <w:p>
      <w:pPr>
        <w:spacing w:after="80"/>
        <w:ind w:left="200"/>
      </w:pPr>
      <w:r>
        <w:rPr>
          <w:color w:val="4B5563"/>
          <w:sz w:val="22"/>
          <w:szCs w:val="22"/>
        </w:rPr>
        <w:t xml:space="preserve">A measure of the soil's ability to hold and release positively charged nutrients (cations) such as calcium, magnesium, potassium, and sodium. Expressed in meq/100g or cmol/kg. Higher CEC soils retain nutrients better but may also hold sodium more tightly.</w:t>
      </w:r>
    </w:p>
    <w:p>
      <w:pPr>
        <w:spacing w:before="120" w:after="40"/>
      </w:pPr>
      <w:r>
        <w:rPr>
          <w:b/>
          <w:bCs/>
          <w:color w:val="1F2937"/>
          <w:sz w:val="22"/>
          <w:szCs w:val="22"/>
        </w:rPr>
        <w:t xml:space="preserve">Ammonium Acetate Extraction</w:t>
      </w:r>
    </w:p>
    <w:p>
      <w:pPr>
        <w:spacing w:after="80"/>
        <w:ind w:left="200"/>
      </w:pPr>
      <w:r>
        <w:rPr>
          <w:color w:val="4B5563"/>
          <w:sz w:val="22"/>
          <w:szCs w:val="22"/>
        </w:rPr>
        <w:t xml:space="preserve">A soil testing method using neutral ammonium acetate (NH₄OAc at pH 7 or pH 8.1) to extract exchangeable cations (K, Ca, Mg, Na). Combined with Olsen phosphorus extraction, this is the standard method used by Hill Laboratories in New Zealand. The pH 8.1 variant is particularly suited to soils with higher pH. Sufficiency ranges differ from Mehlich III extractions used for MLSN/SLAN.</w:t>
      </w:r>
    </w:p>
    <w:p>
      <w:pPr>
        <w:spacing w:before="120" w:after="40"/>
      </w:pPr>
      <w:r>
        <w:rPr>
          <w:b/>
          <w:bCs/>
          <w:color w:val="1F2937"/>
          <w:sz w:val="22"/>
          <w:szCs w:val="22"/>
        </w:rPr>
        <w:t xml:space="preserve">Deficient</w:t>
      </w:r>
    </w:p>
    <w:p>
      <w:pPr>
        <w:spacing w:after="80"/>
        <w:ind w:left="200"/>
      </w:pPr>
      <w:r>
        <w:rPr>
          <w:color w:val="4B5563"/>
          <w:sz w:val="22"/>
          <w:szCs w:val="22"/>
        </w:rPr>
        <w:t xml:space="preserve">Nutrient level below the threshold required for healthy plant function. Deficiency typically produces visible symptoms and reduced turf performance.</w:t>
      </w:r>
    </w:p>
    <w:p>
      <w:pPr>
        <w:spacing w:before="120" w:after="40"/>
      </w:pPr>
      <w:r>
        <w:rPr>
          <w:b/>
          <w:bCs/>
          <w:color w:val="1F2937"/>
          <w:sz w:val="22"/>
          <w:szCs w:val="22"/>
        </w:rPr>
        <w:t xml:space="preserve">Electrical Conductivity (EC)</w:t>
      </w:r>
    </w:p>
    <w:p>
      <w:pPr>
        <w:spacing w:after="80"/>
        <w:ind w:left="200"/>
      </w:pPr>
      <w:r>
        <w:rPr>
          <w:color w:val="4B5563"/>
          <w:sz w:val="22"/>
          <w:szCs w:val="22"/>
        </w:rPr>
        <w:t xml:space="preserve">A measure of total dissolved salts in water or soil solution. Higher EC indicates higher salinity. Measured in dS/m (deciSiemens per metre) or mS/cm. Turf irrigation water should generally be below 1.5 dS/m.</w:t>
      </w:r>
    </w:p>
    <w:p>
      <w:pPr>
        <w:spacing w:before="120" w:after="40"/>
      </w:pPr>
      <w:r>
        <w:rPr>
          <w:b/>
          <w:bCs/>
          <w:color w:val="1F2937"/>
          <w:sz w:val="22"/>
          <w:szCs w:val="22"/>
        </w:rPr>
        <w:t xml:space="preserve">Exchangeable Sodium Percentage (ESP)</w:t>
      </w:r>
    </w:p>
    <w:p>
      <w:pPr>
        <w:spacing w:after="80"/>
        <w:ind w:left="200"/>
      </w:pPr>
      <w:r>
        <w:rPr>
          <w:color w:val="4B5563"/>
          <w:sz w:val="22"/>
          <w:szCs w:val="22"/>
        </w:rPr>
        <w:t xml:space="preserve">The proportion of the soil's cation exchange sites occupied by sodium, expressed as a percentage. ESP above 6% indicates sodic conditions that may impair soil structure and drainage.</w:t>
      </w:r>
    </w:p>
    <w:p>
      <w:pPr>
        <w:spacing w:before="120" w:after="40"/>
      </w:pPr>
      <w:r>
        <w:rPr>
          <w:b/>
          <w:bCs/>
          <w:color w:val="1F2937"/>
          <w:sz w:val="22"/>
          <w:szCs w:val="22"/>
        </w:rPr>
        <w:t xml:space="preserve">Foliar Application</w:t>
      </w:r>
    </w:p>
    <w:p>
      <w:pPr>
        <w:spacing w:after="80"/>
        <w:ind w:left="200"/>
      </w:pPr>
      <w:r>
        <w:rPr>
          <w:color w:val="4B5563"/>
          <w:sz w:val="22"/>
          <w:szCs w:val="22"/>
        </w:rPr>
        <w:t xml:space="preserve">Fertiliser applied as a liquid spray directly to leaf surfaces, where nutrients are absorbed through the cuticle and stomata. Useful for rapid correction of deficiencies or when soil chemistry limits root uptake.</w:t>
      </w:r>
    </w:p>
    <w:p>
      <w:pPr>
        <w:spacing w:before="120" w:after="40"/>
      </w:pPr>
      <w:r>
        <w:rPr>
          <w:b/>
          <w:bCs/>
          <w:color w:val="1F2937"/>
          <w:sz w:val="22"/>
          <w:szCs w:val="22"/>
        </w:rPr>
        <w:t xml:space="preserve">Granular Application</w:t>
      </w:r>
    </w:p>
    <w:p>
      <w:pPr>
        <w:spacing w:after="80"/>
        <w:ind w:left="200"/>
      </w:pPr>
      <w:r>
        <w:rPr>
          <w:color w:val="4B5563"/>
          <w:sz w:val="22"/>
          <w:szCs w:val="22"/>
        </w:rPr>
        <w:t xml:space="preserve">Fertiliser applied as dry particles to the soil surface, where nutrients dissolve and move into the root zone. Provides slower, longer-lasting nutrition than foliar methods.</w:t>
      </w:r>
    </w:p>
    <w:p>
      <w:pPr>
        <w:spacing w:before="120" w:after="40"/>
      </w:pPr>
      <w:r>
        <w:rPr>
          <w:b/>
          <w:bCs/>
          <w:color w:val="1F2937"/>
          <w:sz w:val="22"/>
          <w:szCs w:val="22"/>
        </w:rPr>
        <w:t xml:space="preserve">Gypsum</w:t>
      </w:r>
    </w:p>
    <w:p>
      <w:pPr>
        <w:spacing w:after="80"/>
        <w:ind w:left="200"/>
      </w:pPr>
      <w:r>
        <w:rPr>
          <w:color w:val="4B5563"/>
          <w:sz w:val="22"/>
          <w:szCs w:val="22"/>
        </w:rPr>
        <w:t xml:space="preserve">Calcium sulphate (CaSO₄), applied to sodic soils to displace sodium and improve structure. Also supplies calcium and sulphur as nutrients.</w:t>
      </w:r>
    </w:p>
    <w:p>
      <w:pPr>
        <w:spacing w:before="120" w:after="40"/>
      </w:pPr>
      <w:r>
        <w:rPr>
          <w:b/>
          <w:bCs/>
          <w:color w:val="1F2937"/>
          <w:sz w:val="22"/>
          <w:szCs w:val="22"/>
        </w:rPr>
        <w:t xml:space="preserve">Leaching</w:t>
      </w:r>
    </w:p>
    <w:p>
      <w:pPr>
        <w:spacing w:after="80"/>
        <w:ind w:left="200"/>
      </w:pPr>
      <w:r>
        <w:rPr>
          <w:color w:val="4B5563"/>
          <w:sz w:val="22"/>
          <w:szCs w:val="22"/>
        </w:rPr>
        <w:t xml:space="preserve">The movement of water through the soil profile, carrying dissolved substances downward. Deliberate leaching irrigation is used to flush accumulated salts below the root zone.</w:t>
      </w:r>
    </w:p>
    <w:p>
      <w:pPr>
        <w:spacing w:before="120" w:after="40"/>
      </w:pPr>
      <w:r>
        <w:rPr>
          <w:b/>
          <w:bCs/>
          <w:color w:val="1F2937"/>
          <w:sz w:val="22"/>
          <w:szCs w:val="22"/>
        </w:rPr>
        <w:t xml:space="preserve">Macronutrient</w:t>
      </w:r>
    </w:p>
    <w:p>
      <w:pPr>
        <w:spacing w:after="80"/>
        <w:ind w:left="200"/>
      </w:pPr>
      <w:r>
        <w:rPr>
          <w:color w:val="4B5563"/>
          <w:sz w:val="22"/>
          <w:szCs w:val="22"/>
        </w:rPr>
        <w:t xml:space="preserve">Nutrients required by plants in relatively large quantities: nitrogen (N), phosphorus (P), potassium (K), calcium (Ca), magnesium (Mg), and sulphur (S).</w:t>
      </w:r>
    </w:p>
    <w:p>
      <w:pPr>
        <w:spacing w:before="120" w:after="40"/>
      </w:pPr>
      <w:r>
        <w:rPr>
          <w:b/>
          <w:bCs/>
          <w:color w:val="1F2937"/>
          <w:sz w:val="22"/>
          <w:szCs w:val="22"/>
        </w:rPr>
        <w:t xml:space="preserve">meq/L</w:t>
      </w:r>
    </w:p>
    <w:p>
      <w:pPr>
        <w:spacing w:after="80"/>
        <w:ind w:left="200"/>
      </w:pPr>
      <w:r>
        <w:rPr>
          <w:color w:val="4B5563"/>
          <w:sz w:val="22"/>
          <w:szCs w:val="22"/>
        </w:rPr>
        <w:t xml:space="preserve">Milliequivalents per litre, a unit expressing ion concentration that accounts for electrical charge. Used in water quality analysis and SAR calculations.</w:t>
      </w:r>
    </w:p>
    <w:p>
      <w:pPr>
        <w:spacing w:before="120" w:after="40"/>
      </w:pPr>
      <w:r>
        <w:rPr>
          <w:b/>
          <w:bCs/>
          <w:color w:val="1F2937"/>
          <w:sz w:val="22"/>
          <w:szCs w:val="22"/>
        </w:rPr>
        <w:t xml:space="preserve">MLSN (Minimum Level for Sustainable Nutrition)</w:t>
      </w:r>
    </w:p>
    <w:p>
      <w:pPr>
        <w:spacing w:after="80"/>
        <w:ind w:left="200"/>
      </w:pPr>
      <w:r>
        <w:rPr>
          <w:color w:val="4B5563"/>
          <w:sz w:val="22"/>
          <w:szCs w:val="22"/>
        </w:rPr>
        <w:t xml:space="preserve">A soil nutrient interpretation method developed specifically for turfgrass by the Asian Turfgrass Center. MLSN establishes minimum threshold values based on analysis of soil samples from high-performing turf worldwide. Nutrient levels above the minimum are considered sustainable; no upper "excess" limits are defined for most nutrients. MLSN typically results in lower fertiliser inputs compared to traditional methods.</w:t>
      </w:r>
    </w:p>
    <w:p>
      <w:pPr>
        <w:spacing w:before="120" w:after="40"/>
      </w:pPr>
      <w:r>
        <w:rPr>
          <w:b/>
          <w:bCs/>
          <w:color w:val="1F2937"/>
          <w:sz w:val="22"/>
          <w:szCs w:val="22"/>
        </w:rPr>
        <w:t xml:space="preserve">Muriate of Potash</w:t>
      </w:r>
    </w:p>
    <w:p>
      <w:pPr>
        <w:spacing w:after="80"/>
        <w:ind w:left="200"/>
      </w:pPr>
      <w:r>
        <w:rPr>
          <w:color w:val="4B5563"/>
          <w:sz w:val="22"/>
          <w:szCs w:val="22"/>
        </w:rPr>
        <w:t xml:space="preserve">Potassium chloride (KCl), a potassium fertiliser. The chloride content makes it less suitable where salt accumulation is a concern.</w:t>
      </w:r>
    </w:p>
    <w:p>
      <w:pPr>
        <w:spacing w:before="120" w:after="40"/>
      </w:pPr>
      <w:r>
        <w:rPr>
          <w:b/>
          <w:bCs/>
          <w:color w:val="1F2937"/>
          <w:sz w:val="22"/>
          <w:szCs w:val="22"/>
        </w:rPr>
        <w:t xml:space="preserve">Olsen Phosphorus</w:t>
      </w:r>
    </w:p>
    <w:p>
      <w:pPr>
        <w:spacing w:after="80"/>
        <w:ind w:left="200"/>
      </w:pPr>
      <w:r>
        <w:rPr>
          <w:color w:val="4B5563"/>
          <w:sz w:val="22"/>
          <w:szCs w:val="22"/>
        </w:rPr>
        <w:t xml:space="preserve">A soil phosphorus extraction method using sodium bicarbonate (NaHCO₃) at pH 8.5. Developed for calcareous soils but widely used in New Zealand and Australia. Results are typically reported in mg/L. Olsen P extracts less phosphorus than Mehlich III, so sufficiency ranges are lower. A typical adequate range for turf is 12-28 mg/L.</w:t>
      </w:r>
    </w:p>
    <w:p>
      <w:pPr>
        <w:spacing w:before="120" w:after="40"/>
      </w:pPr>
      <w:r>
        <w:rPr>
          <w:b/>
          <w:bCs/>
          <w:color w:val="1F2937"/>
          <w:sz w:val="22"/>
          <w:szCs w:val="22"/>
        </w:rPr>
        <w:t xml:space="preserve">Potassium Sulphate</w:t>
      </w:r>
    </w:p>
    <w:p>
      <w:pPr>
        <w:spacing w:after="80"/>
        <w:ind w:left="200"/>
      </w:pPr>
      <w:r>
        <w:rPr>
          <w:color w:val="4B5563"/>
          <w:sz w:val="22"/>
          <w:szCs w:val="22"/>
        </w:rPr>
        <w:t xml:space="preserve">K₂SO₄, a potassium fertiliser without chloride, preferred where salt accumulation is a concern or for chloride-sensitive turf.</w:t>
      </w:r>
    </w:p>
    <w:p>
      <w:pPr>
        <w:spacing w:before="120" w:after="40"/>
      </w:pPr>
      <w:r>
        <w:rPr>
          <w:b/>
          <w:bCs/>
          <w:color w:val="1F2937"/>
          <w:sz w:val="22"/>
          <w:szCs w:val="22"/>
        </w:rPr>
        <w:t xml:space="preserve">ppm (Parts Per Million)</w:t>
      </w:r>
    </w:p>
    <w:p>
      <w:pPr>
        <w:spacing w:after="80"/>
        <w:ind w:left="200"/>
      </w:pPr>
      <w:r>
        <w:rPr>
          <w:color w:val="4B5563"/>
          <w:sz w:val="22"/>
          <w:szCs w:val="22"/>
        </w:rPr>
        <w:t xml:space="preserve">A unit of concentration equivalent to mg/kg for solids or mg/L for liquids. Used to express nutrient concentrations in soil and water tests.</w:t>
      </w:r>
    </w:p>
    <w:p>
      <w:pPr>
        <w:spacing w:before="120" w:after="40"/>
      </w:pPr>
      <w:r>
        <w:rPr>
          <w:b/>
          <w:bCs/>
          <w:color w:val="1F2937"/>
          <w:sz w:val="22"/>
          <w:szCs w:val="22"/>
        </w:rPr>
        <w:t xml:space="preserve">SAR (Sodium Adsorption Ratio)</w:t>
      </w:r>
    </w:p>
    <w:p>
      <w:pPr>
        <w:spacing w:after="80"/>
        <w:ind w:left="200"/>
      </w:pPr>
      <w:r>
        <w:rPr>
          <w:color w:val="4B5563"/>
          <w:sz w:val="22"/>
          <w:szCs w:val="22"/>
        </w:rPr>
        <w:t xml:space="preserve">A calculated value that predicts the risk of sodium accumulating in soil and degrading structure. SAR compares sodium concentration to calcium and magnesium concentrations in irrigation water. Values below 6 are generally safe; values above 9 pose significant risk.</w:t>
      </w:r>
    </w:p>
    <w:p>
      <w:pPr>
        <w:spacing w:before="120" w:after="40"/>
      </w:pPr>
      <w:r>
        <w:rPr>
          <w:b/>
          <w:bCs/>
          <w:color w:val="1F2937"/>
          <w:sz w:val="22"/>
          <w:szCs w:val="22"/>
        </w:rPr>
        <w:t xml:space="preserve">SARadj (Adjusted SAR)</w:t>
      </w:r>
    </w:p>
    <w:p>
      <w:pPr>
        <w:spacing w:after="80"/>
        <w:ind w:left="200"/>
      </w:pPr>
      <w:r>
        <w:rPr>
          <w:color w:val="4B5563"/>
          <w:sz w:val="22"/>
          <w:szCs w:val="22"/>
        </w:rPr>
        <w:t xml:space="preserve">A modified SAR calculation that accounts for the effect of bicarbonates on calcium availability. When bicarbonate levels are high, calcium precipitates as lime in the soil, leaving less calcium to counteract sodium. SARadj provides a more accurate assessment of sodium hazard in high-bicarbonate waters.</w:t>
      </w:r>
    </w:p>
    <w:p>
      <w:pPr>
        <w:spacing w:before="120" w:after="40"/>
      </w:pPr>
      <w:r>
        <w:rPr>
          <w:b/>
          <w:bCs/>
          <w:color w:val="1F2937"/>
          <w:sz w:val="22"/>
          <w:szCs w:val="22"/>
        </w:rPr>
        <w:t xml:space="preserve">SLAN (Sufficiency Level of Available Nutrients)</w:t>
      </w:r>
    </w:p>
    <w:p>
      <w:pPr>
        <w:spacing w:after="80"/>
        <w:ind w:left="200"/>
      </w:pPr>
      <w:r>
        <w:rPr>
          <w:color w:val="4B5563"/>
          <w:sz w:val="22"/>
          <w:szCs w:val="22"/>
        </w:rPr>
        <w:t xml:space="preserve">A traditional soil nutrient interpretation method derived from agricultural crop research. SLAN defines an optimal sufficiency range for each nutrient. Values below the range are deficient; values above may indicate excessive accumulation. SLAN typically recommends higher nutrient levels than MLSN.</w:t>
      </w:r>
    </w:p>
    <w:p>
      <w:pPr>
        <w:spacing w:before="120" w:after="40"/>
      </w:pPr>
      <w:r>
        <w:rPr>
          <w:b/>
          <w:bCs/>
          <w:color w:val="1F2937"/>
          <w:sz w:val="22"/>
          <w:szCs w:val="22"/>
        </w:rPr>
        <w:t xml:space="preserve">Sodicity</w:t>
      </w:r>
    </w:p>
    <w:p>
      <w:pPr>
        <w:spacing w:after="80"/>
        <w:ind w:left="200"/>
      </w:pPr>
      <w:r>
        <w:rPr>
          <w:color w:val="4B5563"/>
          <w:sz w:val="22"/>
          <w:szCs w:val="22"/>
        </w:rPr>
        <w:t xml:space="preserve">A soil condition caused by excessive sodium accumulation. Sodic soils have poor structure, reduced infiltration, and impaired drainage. Identified by ESP above 6% or SAR above 6 in soil solution.</w:t>
      </w:r>
    </w:p>
    <w:p>
      <w:pPr>
        <w:spacing w:before="120" w:after="40"/>
      </w:pPr>
      <w:r>
        <w:rPr>
          <w:b/>
          <w:bCs/>
          <w:color w:val="1F2937"/>
          <w:sz w:val="22"/>
          <w:szCs w:val="22"/>
        </w:rPr>
        <w:t xml:space="preserve">Soil Structure</w:t>
      </w:r>
    </w:p>
    <w:p>
      <w:pPr>
        <w:spacing w:after="80"/>
        <w:ind w:left="200"/>
      </w:pPr>
      <w:r>
        <w:rPr>
          <w:color w:val="4B5563"/>
          <w:sz w:val="22"/>
          <w:szCs w:val="22"/>
        </w:rPr>
        <w:t xml:space="preserve">The arrangement of soil particles into aggregates. Good structure creates pore spaces for air and water movement. Sodium disrupts structure by dispersing clay particles, causing compaction and sealing.</w:t>
      </w:r>
    </w:p>
    <w:p>
      <w:pPr>
        <w:spacing w:before="120" w:after="40"/>
      </w:pPr>
      <w:r>
        <w:rPr>
          <w:b/>
          <w:bCs/>
          <w:color w:val="1F2937"/>
          <w:sz w:val="22"/>
          <w:szCs w:val="22"/>
        </w:rPr>
        <w:t xml:space="preserve">Sufficiency Range</w:t>
      </w:r>
    </w:p>
    <w:p>
      <w:pPr>
        <w:spacing w:after="80"/>
        <w:ind w:left="200"/>
      </w:pPr>
      <w:r>
        <w:rPr>
          <w:color w:val="4B5563"/>
          <w:sz w:val="22"/>
          <w:szCs w:val="22"/>
        </w:rPr>
        <w:t xml:space="preserve">The range of nutrient concentrations considered adequate for healthy plant growth under the SLAN interpretation method. Values below the range require amendment; values above may indicate luxury consumption or potential toxicity.</w:t>
      </w:r>
    </w:p>
    <w:p>
      <w:pPr>
        <w:spacing w:before="120" w:after="40"/>
      </w:pPr>
      <w:r>
        <w:rPr>
          <w:b/>
          <w:bCs/>
          <w:color w:val="1F2937"/>
          <w:sz w:val="22"/>
          <w:szCs w:val="22"/>
        </w:rPr>
        <w:t xml:space="preserve">Tissue Testing</w:t>
      </w:r>
    </w:p>
    <w:p>
      <w:pPr>
        <w:spacing w:after="80"/>
        <w:ind w:left="200"/>
      </w:pPr>
      <w:r>
        <w:rPr>
          <w:color w:val="4B5563"/>
          <w:sz w:val="22"/>
          <w:szCs w:val="22"/>
        </w:rPr>
        <w:t xml:space="preserve">Laboratory analysis of plant material (typically leaf clippings) to determine nutrient concentrations within the plant. Tissue testing reveals what the plant has actually taken up, complementing soil testing which shows what is available.</w:t>
      </w:r>
    </w:p>
    <w:p>
      <w:pPr>
        <w:spacing w:before="120" w:after="40"/>
      </w:pPr>
      <w:r>
        <w:rPr>
          <w:b/>
          <w:bCs/>
          <w:color w:val="1F2937"/>
          <w:sz w:val="22"/>
          <w:szCs w:val="22"/>
        </w:rPr>
        <w:t xml:space="preserve">Trace Element</w:t>
      </w:r>
    </w:p>
    <w:p>
      <w:pPr>
        <w:spacing w:after="80"/>
        <w:ind w:left="200"/>
      </w:pPr>
      <w:r>
        <w:rPr>
          <w:color w:val="4B5563"/>
          <w:sz w:val="22"/>
          <w:szCs w:val="22"/>
        </w:rPr>
        <w:t xml:space="preserve">Nutrients required by plants in small quantities but essential for healthy function: iron (Fe), manganese (Mn), zinc (Zn), copper (Cu), boron (B), molybdenum (Mo), and chlorine (Cl).</w:t>
      </w:r>
    </w:p>
    <w:p>
      <w:pPr>
        <w:spacing w:before="400"/>
      </w:pPr>
      <w:r>
        <w:rPr>
          <w:i/>
          <w:iCs/>
          <w:color w:val="9CA3AF"/>
          <w:sz w:val="22"/>
          <w:szCs w:val="22"/>
        </w:rPr>
        <w:t xml:space="preserve">Generated by Gilba Agronomic Intelligence Hub • 28/7/2026, 3:07:03 PM</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22"/>
        <w:szCs w:val="22"/>
      </w:rPr>
      <w:t xml:space="preserve">Page </w:t>
    </w:r>
    <w:r>
      <w:rPr>
        <w:color w:val="9CA3AF"/>
        <w:sz w:val="22"/>
        <w:szCs w:val="22"/>
      </w:rPr>
      <w:fldChar w:fldCharType="begin"/>
      <w:instrText xml:space="preserve">PAGE</w:instrText>
      <w:fldChar w:fldCharType="separate"/>
      <w:fldChar w:fldCharType="end"/>
    </w:r>
    <w:r>
      <w:rPr>
        <w:color w:val="9CA3AF"/>
        <w:sz w:val="22"/>
        <w:szCs w:val="22"/>
      </w:rPr>
      <w:t xml:space="preserve"> of </w:t>
    </w:r>
    <w:r>
      <w:rPr>
        <w:color w:val="9CA3AF"/>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22"/>
        <w:szCs w:val="22"/>
      </w:rPr>
      <w:t xml:space="preserve">GAIP Combined Report  •  Hub v11.3.10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0"/>
    </w:pPr>
    <w:rPr>
      <w:sz w:val="22"/>
      <w:szCs w:val="22"/>
      <w:rFonts w:ascii="Times New Roman" w:cs="Times New Roman" w:eastAsia="Times New Roman" w:hAnsi="Times New Roman"/>
    </w:rPr>
  </w:style>
  <w:style w:type="paragraph" w:styleId="Title">
    <w:name w:val="Title"/>
    <w:basedOn w:val="Normal"/>
    <w:pPr>
      <w:spacing w:before="0" w:after="60"/>
      <w:jc w:val="center"/>
    </w:pPr>
    <w:rPr>
      <w:b/>
      <w:bCs/>
      <w:color w:val="1F2937"/>
      <w:sz w:val="48"/>
      <w:szCs w:val="48"/>
      <w:rFonts w:ascii="Times New Roman" w:cs="Times New Roman" w:eastAsia="Times New Roman" w:hAnsi="Times New Roman"/>
    </w:rPr>
  </w:style>
  <w:style w:type="paragraph" w:styleId="Heading1">
    <w:name w:val="Heading 1"/>
    <w:basedOn w:val="Normal"/>
    <w:next w:val="Normal"/>
    <w:qFormat/>
    <w:pPr>
      <w:spacing w:before="300" w:after="120"/>
      <w:outlineLvl w:val="0"/>
    </w:pPr>
    <w:rPr>
      <w:b/>
      <w:bCs/>
      <w:color w:val="1F2937"/>
      <w:sz w:val="28"/>
      <w:szCs w:val="28"/>
      <w:rFonts w:ascii="Times New Roman" w:cs="Times New Roman" w:eastAsia="Times New Roman" w:hAnsi="Times New Roman"/>
    </w:rPr>
  </w:style>
  <w:style w:type="paragraph" w:styleId="Heading2">
    <w:name w:val="Heading 2"/>
    <w:basedOn w:val="Normal"/>
    <w:next w:val="Normal"/>
    <w:qFormat/>
    <w:pPr>
      <w:spacing w:before="200" w:after="100"/>
      <w:outlineLvl w:val="1"/>
    </w:pPr>
    <w:rPr>
      <w:b/>
      <w:bCs/>
      <w:color w:val="374151"/>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hnwz20f-wiqs49q0t8wi.png"/><Relationship Id="rId9" Type="http://schemas.openxmlformats.org/officeDocument/2006/relationships/image" Target="media/-cqdearuxgpw6hztv121d.png"/><Relationship Id="rId10" Type="http://schemas.openxmlformats.org/officeDocument/2006/relationships/image" Target="media/dbncktyhymyagqywpgxyx.png"/><Relationship Id="rId11" Type="http://schemas.openxmlformats.org/officeDocument/2006/relationships/image" Target="media/hrduedkq_55_mnbsceja2.png"/><Relationship Id="rId12" Type="http://schemas.openxmlformats.org/officeDocument/2006/relationships/image" Target="media/dy6dahgti7xxd2mmc0e3u.png"/><Relationship Id="rId13" Type="http://schemas.openxmlformats.org/officeDocument/2006/relationships/image" Target="media/srwr7sd1ywpfo1sdpov8j.png"/><Relationship Id="rId14" Type="http://schemas.openxmlformats.org/officeDocument/2006/relationships/image" Target="media/qks_bar-a6wfab_ekd10x.png"/><Relationship Id="rId15" Type="http://schemas.openxmlformats.org/officeDocument/2006/relationships/image" Target="media/cwiybn1ot8cgxvfwirawe.png"/><Relationship Id="rId16" Type="http://schemas.openxmlformats.org/officeDocument/2006/relationships/image" Target="media/1cvdxhdfxsfyox3_46w0w.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2026-07-28T08:07:05.740Z</dcterms:created>
  <dcterms:modified xsi:type="dcterms:W3CDTF">2026-07-28T08:07:05.740Z</dcterms:modified>
</cp:coreProperties>
</file>

<file path=docProps/custom.xml><?xml version="1.0" encoding="utf-8"?>
<Properties xmlns="http://schemas.openxmlformats.org/officeDocument/2006/custom-properties" xmlns:vt="http://schemas.openxmlformats.org/officeDocument/2006/docPropsVTypes"/>
</file>