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C2" w:rsidRPr="00D244F6" w:rsidRDefault="00C17FC2" w:rsidP="00C17FC2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bookmarkStart w:id="0" w:name="_GoBack"/>
      <w:r w:rsidRPr="00D244F6">
        <w:rPr>
          <w:rFonts w:ascii="Times New Roman" w:hAnsi="Times New Roman" w:cs="Times New Roman"/>
          <w:b/>
          <w:sz w:val="24"/>
          <w:szCs w:val="24"/>
          <w:lang w:val="en-CA"/>
        </w:rPr>
        <w:t>S1</w:t>
      </w:r>
      <w:r w:rsidR="00D244F6" w:rsidRPr="00D244F6">
        <w:rPr>
          <w:rFonts w:ascii="Times New Roman" w:hAnsi="Times New Roman" w:cs="Times New Roman"/>
          <w:b/>
          <w:sz w:val="24"/>
          <w:szCs w:val="24"/>
          <w:lang w:val="en-CA"/>
        </w:rPr>
        <w:t xml:space="preserve"> Table.</w:t>
      </w:r>
      <w:r w:rsidRPr="00D244F6">
        <w:rPr>
          <w:rFonts w:ascii="Times New Roman" w:hAnsi="Times New Roman" w:cs="Times New Roman"/>
          <w:b/>
          <w:sz w:val="24"/>
          <w:szCs w:val="24"/>
          <w:lang w:val="en-CA"/>
        </w:rPr>
        <w:t xml:space="preserve"> Measurement units for all selected criteria</w:t>
      </w:r>
    </w:p>
    <w:bookmarkEnd w:id="0"/>
    <w:p w:rsidR="00C17FC2" w:rsidRDefault="00C17FC2" w:rsidP="00C17FC2">
      <w:pPr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W w:w="14165" w:type="dxa"/>
        <w:jc w:val="center"/>
        <w:tblInd w:w="-1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0" w:type="dxa"/>
        </w:tblCellMar>
        <w:tblLook w:val="00A0" w:firstRow="1" w:lastRow="0" w:firstColumn="1" w:lastColumn="0" w:noHBand="0" w:noVBand="0"/>
      </w:tblPr>
      <w:tblGrid>
        <w:gridCol w:w="4365"/>
        <w:gridCol w:w="9800"/>
      </w:tblGrid>
      <w:tr w:rsidR="00C17FC2" w:rsidRPr="00D244F6" w:rsidTr="00C17FC2">
        <w:trPr>
          <w:trHeight w:val="373"/>
          <w:jc w:val="center"/>
        </w:trPr>
        <w:tc>
          <w:tcPr>
            <w:tcW w:w="4365" w:type="dxa"/>
            <w:vMerge w:val="restart"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C17FC2" w:rsidRPr="00C17FC2" w:rsidRDefault="00C17FC2" w:rsidP="005E1BFD">
            <w:pPr>
              <w:jc w:val="center"/>
              <w:rPr>
                <w:rFonts w:ascii="Times New Roman" w:hAnsi="Times New Roman" w:cs="Times New Roman"/>
                <w:b/>
                <w:bCs/>
                <w:lang w:val="en-CA"/>
              </w:rPr>
            </w:pPr>
            <w:r w:rsidRPr="00C17FC2">
              <w:rPr>
                <w:rFonts w:ascii="Times New Roman" w:hAnsi="Times New Roman" w:cs="Times New Roman"/>
                <w:b/>
                <w:bCs/>
                <w:lang w:val="en-CA"/>
              </w:rPr>
              <w:t>Criteria</w:t>
            </w:r>
          </w:p>
        </w:tc>
        <w:tc>
          <w:tcPr>
            <w:tcW w:w="9800" w:type="dxa"/>
            <w:vMerge w:val="restart"/>
            <w:vAlign w:val="center"/>
          </w:tcPr>
          <w:p w:rsidR="00C17FC2" w:rsidRPr="00C17FC2" w:rsidRDefault="00C17FC2" w:rsidP="005E1BFD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C17FC2">
              <w:rPr>
                <w:rFonts w:ascii="Times New Roman" w:hAnsi="Times New Roman" w:cs="Times New Roman"/>
                <w:b/>
                <w:lang w:val="en-CA"/>
              </w:rPr>
              <w:t>Measurement units</w:t>
            </w:r>
          </w:p>
        </w:tc>
      </w:tr>
      <w:tr w:rsidR="00C17FC2" w:rsidRPr="00D244F6" w:rsidTr="00C17FC2">
        <w:trPr>
          <w:trHeight w:val="253"/>
          <w:jc w:val="center"/>
        </w:trPr>
        <w:tc>
          <w:tcPr>
            <w:tcW w:w="4365" w:type="dxa"/>
            <w:vMerge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9800" w:type="dxa"/>
            <w:vMerge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C17FC2" w:rsidRPr="00D244F6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PHC1 </w:t>
            </w:r>
            <w:r w:rsidRPr="00C17FC2">
              <w:rPr>
                <w:rFonts w:ascii="Times New Roman" w:hAnsi="Times New Roman" w:cs="Times New Roman"/>
                <w:lang w:val="en-CA"/>
              </w:rPr>
              <w:t>Reduction in incidence of human cases</w:t>
            </w: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 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0: Nil; 1: Low; 2: Moderate; 3: High</w:t>
            </w:r>
          </w:p>
        </w:tc>
      </w:tr>
      <w:tr w:rsidR="00C17FC2" w:rsidRPr="00C17FC2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PHC2 </w:t>
            </w:r>
            <w:r w:rsidRPr="00C17FC2">
              <w:rPr>
                <w:rFonts w:ascii="Times New Roman" w:hAnsi="Times New Roman" w:cs="Times New Roman"/>
                <w:lang w:val="en-CA"/>
              </w:rPr>
              <w:t>Reduction in entomological risk</w:t>
            </w: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 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0: Nil; 1: Low; 2: Moderate; 3: High</w:t>
            </w:r>
          </w:p>
        </w:tc>
      </w:tr>
      <w:tr w:rsidR="00C17FC2" w:rsidRPr="00D244F6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PHC3 </w:t>
            </w:r>
            <w:r w:rsidRPr="00C17FC2">
              <w:rPr>
                <w:rFonts w:ascii="Times New Roman" w:hAnsi="Times New Roman" w:cs="Times New Roman"/>
                <w:lang w:val="en-CA"/>
              </w:rPr>
              <w:t>Impacts of adverse health effects</w:t>
            </w: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 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0: Nil; 1: Indirect effects on mental or social health; 2: Direct effects on physical health</w:t>
            </w:r>
          </w:p>
        </w:tc>
      </w:tr>
      <w:tr w:rsidR="00C17FC2" w:rsidRPr="00D244F6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bCs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PHC4 </w:t>
            </w:r>
            <w:r w:rsidRPr="00C17FC2">
              <w:rPr>
                <w:rFonts w:ascii="Times New Roman" w:eastAsia="Calibri" w:hAnsi="Times New Roman" w:cs="Times New Roman"/>
                <w:lang w:val="en-CA"/>
              </w:rPr>
              <w:t xml:space="preserve">Reduction in incidence of disseminated LD human cases 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0: Nil; 1: Reduction of LD cases in general; 2: Reduction of disseminated cases specifically</w:t>
            </w:r>
          </w:p>
        </w:tc>
      </w:tr>
      <w:tr w:rsidR="00C17FC2" w:rsidRPr="00D244F6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AEC 1 </w:t>
            </w:r>
            <w:r w:rsidRPr="00C17FC2">
              <w:rPr>
                <w:rFonts w:ascii="Times New Roman" w:hAnsi="Times New Roman" w:cs="Times New Roman"/>
                <w:lang w:val="en-CA"/>
              </w:rPr>
              <w:t>Impact on habitat</w:t>
            </w: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 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vertAlign w:val="superscript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Surface*Sensitivity*Intensity</w:t>
            </w:r>
            <w:r w:rsidRPr="00C17FC2">
              <w:rPr>
                <w:rFonts w:ascii="Times New Roman" w:hAnsi="Times New Roman" w:cs="Times New Roman"/>
                <w:vertAlign w:val="superscript"/>
                <w:lang w:val="en-CA"/>
              </w:rPr>
              <w:t>1</w:t>
            </w:r>
          </w:p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Surface : 1: Nil; 2: Small scale; 3: Large scale</w:t>
            </w:r>
          </w:p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Sensitivity: 1: Nil; 2: Land ; 3: Water ; 4: Land and water</w:t>
            </w:r>
          </w:p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 xml:space="preserve">Intensity: 1: Nil; 2: Fences; 3: Mowing; 4: </w:t>
            </w:r>
            <w:proofErr w:type="spellStart"/>
            <w:r w:rsidRPr="00C17FC2">
              <w:rPr>
                <w:rFonts w:ascii="Times New Roman" w:hAnsi="Times New Roman" w:cs="Times New Roman"/>
                <w:lang w:val="en-CA"/>
              </w:rPr>
              <w:t>Acaricides</w:t>
            </w:r>
            <w:proofErr w:type="spellEnd"/>
            <w:r w:rsidRPr="00C17FC2">
              <w:rPr>
                <w:rFonts w:ascii="Times New Roman" w:hAnsi="Times New Roman" w:cs="Times New Roman"/>
                <w:lang w:val="en-CA"/>
              </w:rPr>
              <w:t>; 5: Removal of vegetation or burning</w:t>
            </w:r>
          </w:p>
        </w:tc>
      </w:tr>
      <w:tr w:rsidR="00C17FC2" w:rsidRPr="00D244F6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>AEC 2</w:t>
            </w:r>
            <w:r w:rsidRPr="00C17FC2">
              <w:rPr>
                <w:rFonts w:ascii="Times New Roman" w:hAnsi="Times New Roman" w:cs="Times New Roman"/>
                <w:lang w:val="en-CA"/>
              </w:rPr>
              <w:t xml:space="preserve"> Impact on wildlife</w:t>
            </w: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 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tabs>
                <w:tab w:val="left" w:pos="728"/>
              </w:tabs>
              <w:rPr>
                <w:rFonts w:ascii="Times New Roman" w:hAnsi="Times New Roman" w:cs="Times New Roman"/>
                <w:vertAlign w:val="superscript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Number*Species*Intensity</w:t>
            </w:r>
            <w:r w:rsidRPr="00C17FC2">
              <w:rPr>
                <w:rFonts w:ascii="Times New Roman" w:hAnsi="Times New Roman" w:cs="Times New Roman"/>
                <w:vertAlign w:val="superscript"/>
                <w:lang w:val="en-CA"/>
              </w:rPr>
              <w:t>2</w:t>
            </w:r>
          </w:p>
          <w:p w:rsidR="00C17FC2" w:rsidRPr="00C17FC2" w:rsidRDefault="00C17FC2" w:rsidP="005E1BFD">
            <w:pPr>
              <w:tabs>
                <w:tab w:val="left" w:pos="728"/>
              </w:tabs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Number : 1 : Nil; 2 : effect on specific species; 3 : Effect on several species</w:t>
            </w:r>
          </w:p>
          <w:p w:rsidR="00C17FC2" w:rsidRPr="00C17FC2" w:rsidRDefault="00C17FC2" w:rsidP="005E1BFD">
            <w:pPr>
              <w:tabs>
                <w:tab w:val="left" w:pos="728"/>
              </w:tabs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Species: 1: Nil. 2: low valued species; 3: Highly valued species</w:t>
            </w:r>
          </w:p>
          <w:p w:rsidR="00C17FC2" w:rsidRPr="00C17FC2" w:rsidRDefault="00C17FC2" w:rsidP="005E1BFD">
            <w:pPr>
              <w:tabs>
                <w:tab w:val="left" w:pos="728"/>
              </w:tabs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Intensity: 1: No effect; 2: Morbidity; 3: Mortality</w:t>
            </w:r>
          </w:p>
        </w:tc>
      </w:tr>
      <w:tr w:rsidR="00C17FC2" w:rsidRPr="00C17FC2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SIC 1 </w:t>
            </w:r>
            <w:r w:rsidRPr="00C17FC2">
              <w:rPr>
                <w:rFonts w:ascii="Times New Roman" w:hAnsi="Times New Roman" w:cs="Times New Roman"/>
                <w:lang w:val="en-CA"/>
              </w:rPr>
              <w:t>Level of public acceptance</w:t>
            </w: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 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1: Nil; 2: Low; 3: Moderate; 4: High</w:t>
            </w:r>
          </w:p>
        </w:tc>
      </w:tr>
      <w:tr w:rsidR="00C17FC2" w:rsidRPr="00C17FC2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SIC 2 </w:t>
            </w:r>
            <w:r w:rsidRPr="00C17FC2">
              <w:rPr>
                <w:rFonts w:ascii="Times New Roman" w:hAnsi="Times New Roman" w:cs="Times New Roman"/>
                <w:lang w:val="en-CA"/>
              </w:rPr>
              <w:t>Proportion of population benefitting from intervention</w:t>
            </w: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 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1 : &lt;25%; 2 : 25-50%; 3 : 50-75%; 4 : &gt;75%</w:t>
            </w:r>
          </w:p>
        </w:tc>
      </w:tr>
      <w:tr w:rsidR="00C17FC2" w:rsidRPr="00D244F6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bCs/>
                <w:lang w:val="en-CA"/>
              </w:rPr>
            </w:pPr>
            <w:r w:rsidRPr="00C17FC2">
              <w:rPr>
                <w:rFonts w:ascii="Times New Roman" w:eastAsia="Calibri" w:hAnsi="Times New Roman" w:cs="Times New Roman"/>
                <w:lang w:val="en-CA"/>
              </w:rPr>
              <w:t>SIC3 Level of public awareness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 xml:space="preserve">0: Nil. The intervention targets the reduction in tick density; 1: Low. The intervention targets human populations but does not have the objective to raise the awareness; 2: Moderate. The intervention has the objective to raise awareness in a passive way; 3: High. The intervention has the objective to raise awareness in an active way. </w:t>
            </w:r>
          </w:p>
        </w:tc>
      </w:tr>
      <w:tr w:rsidR="00C17FC2" w:rsidRPr="00C17FC2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SEC1 </w:t>
            </w:r>
            <w:r w:rsidRPr="00C17FC2">
              <w:rPr>
                <w:rFonts w:ascii="Times New Roman" w:hAnsi="Times New Roman" w:cs="Times New Roman"/>
                <w:lang w:val="en-CA"/>
              </w:rPr>
              <w:t>Cost to the public sector</w:t>
            </w: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 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0: Nil; 1: Low; 2: Moderate; 3: High</w:t>
            </w:r>
          </w:p>
        </w:tc>
      </w:tr>
      <w:tr w:rsidR="00C17FC2" w:rsidRPr="00C17FC2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>SEC2</w:t>
            </w:r>
            <w:r w:rsidRPr="00C17FC2">
              <w:rPr>
                <w:rFonts w:ascii="Times New Roman" w:hAnsi="Times New Roman" w:cs="Times New Roman"/>
                <w:lang w:val="en-CA"/>
              </w:rPr>
              <w:t xml:space="preserve"> Cost to the private sector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0: Nil; 1: Low; 2: Moderate; 3: High</w:t>
            </w:r>
          </w:p>
        </w:tc>
      </w:tr>
      <w:tr w:rsidR="00C17FC2" w:rsidRPr="00C17FC2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>SEC3</w:t>
            </w:r>
            <w:r w:rsidRPr="00C17FC2">
              <w:rPr>
                <w:rFonts w:ascii="Times New Roman" w:hAnsi="Times New Roman" w:cs="Times New Roman"/>
                <w:lang w:val="en-CA"/>
              </w:rPr>
              <w:t xml:space="preserve"> Delay before results</w:t>
            </w: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 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1: Days; 2: Weeks; 3: Months; 4 : Years</w:t>
            </w:r>
          </w:p>
        </w:tc>
      </w:tr>
      <w:tr w:rsidR="00C17FC2" w:rsidRPr="00D244F6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>SEC4</w:t>
            </w:r>
            <w:r w:rsidRPr="00C17FC2">
              <w:rPr>
                <w:rFonts w:ascii="Times New Roman" w:hAnsi="Times New Roman" w:cs="Times New Roman"/>
                <w:lang w:val="en-CA"/>
              </w:rPr>
              <w:t xml:space="preserve"> Complexity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1: Simple (Minor institutional changes); 2:Intermediate (necessitates new hires); 3: Moderate Necessitates new work teams in one sector of intervention; 4: Complex (requires inter-sectoral/inter-institutional changes); 5: Very complex (necessitates creation of new structures or organisations)</w:t>
            </w:r>
          </w:p>
        </w:tc>
      </w:tr>
      <w:tr w:rsidR="00C17FC2" w:rsidRPr="00C17FC2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bCs/>
                <w:lang w:val="en-CA"/>
              </w:rPr>
              <w:t>SEC5</w:t>
            </w:r>
            <w:r w:rsidRPr="00C17FC2">
              <w:rPr>
                <w:rFonts w:ascii="Times New Roman" w:hAnsi="Times New Roman" w:cs="Times New Roman"/>
                <w:lang w:val="en-CA"/>
              </w:rPr>
              <w:t xml:space="preserve"> Impact on organisation’s credibility</w:t>
            </w:r>
            <w:r w:rsidRPr="00C17FC2">
              <w:rPr>
                <w:rFonts w:ascii="Times New Roman" w:hAnsi="Times New Roman" w:cs="Times New Roman"/>
                <w:bCs/>
                <w:lang w:val="en-CA"/>
              </w:rPr>
              <w:t xml:space="preserve"> 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0: Nil; 1: Low; 2: Moderate; 3: High</w:t>
            </w:r>
          </w:p>
        </w:tc>
      </w:tr>
      <w:tr w:rsidR="00C17FC2" w:rsidRPr="00D244F6" w:rsidTr="00C17FC2">
        <w:trPr>
          <w:trHeight w:val="347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</w:tcPr>
          <w:p w:rsidR="00C17FC2" w:rsidRPr="00C17FC2" w:rsidRDefault="00C17FC2" w:rsidP="005E1BFD">
            <w:pPr>
              <w:rPr>
                <w:rFonts w:ascii="Times New Roman" w:eastAsia="Calibri" w:hAnsi="Times New Roman" w:cs="Times New Roman"/>
                <w:lang w:val="en-CA"/>
              </w:rPr>
            </w:pPr>
            <w:r w:rsidRPr="00C17FC2">
              <w:rPr>
                <w:rFonts w:ascii="Times New Roman" w:eastAsia="Calibri" w:hAnsi="Times New Roman" w:cs="Times New Roman"/>
                <w:lang w:val="en-CA"/>
              </w:rPr>
              <w:t>SEC6 Sustainability of effect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1: Low. The intervention must be re-applied for a long-term effect; 2: Moderate. The intervention must be maintained for a time before the appearance of an effect, but the effect lasts for a long time; 3: High. The effect lasts for a long time without the need to re-apply the intervention.</w:t>
            </w:r>
          </w:p>
        </w:tc>
      </w:tr>
      <w:tr w:rsidR="00C17FC2" w:rsidRPr="00D244F6" w:rsidTr="00C17FC2">
        <w:trPr>
          <w:trHeight w:val="113"/>
          <w:jc w:val="center"/>
        </w:trPr>
        <w:tc>
          <w:tcPr>
            <w:tcW w:w="4365" w:type="dxa"/>
            <w:tcMar>
              <w:top w:w="18" w:type="dxa"/>
              <w:left w:w="209" w:type="dxa"/>
              <w:bottom w:w="0" w:type="dxa"/>
              <w:right w:w="70" w:type="dxa"/>
            </w:tcMar>
          </w:tcPr>
          <w:p w:rsidR="00C17FC2" w:rsidRPr="00C17FC2" w:rsidRDefault="00C17FC2" w:rsidP="005E1BFD">
            <w:pPr>
              <w:rPr>
                <w:rFonts w:ascii="Times New Roman" w:eastAsia="Calibri" w:hAnsi="Times New Roman" w:cs="Times New Roman"/>
                <w:lang w:val="en-CA"/>
              </w:rPr>
            </w:pPr>
            <w:r w:rsidRPr="00C17FC2">
              <w:rPr>
                <w:rFonts w:ascii="Times New Roman" w:eastAsia="Calibri" w:hAnsi="Times New Roman" w:cs="Times New Roman"/>
                <w:lang w:val="en-CA"/>
              </w:rPr>
              <w:t>SEC7 Level of coherence with the European strategies</w:t>
            </w:r>
          </w:p>
        </w:tc>
        <w:tc>
          <w:tcPr>
            <w:tcW w:w="9800" w:type="dxa"/>
            <w:vAlign w:val="center"/>
          </w:tcPr>
          <w:p w:rsidR="00C17FC2" w:rsidRPr="00C17FC2" w:rsidRDefault="00C17FC2" w:rsidP="005E1BFD">
            <w:pPr>
              <w:rPr>
                <w:rFonts w:ascii="Times New Roman" w:hAnsi="Times New Roman" w:cs="Times New Roman"/>
                <w:lang w:val="en-CA"/>
              </w:rPr>
            </w:pPr>
            <w:r w:rsidRPr="00C17FC2">
              <w:rPr>
                <w:rFonts w:ascii="Times New Roman" w:hAnsi="Times New Roman" w:cs="Times New Roman"/>
                <w:lang w:val="en-CA"/>
              </w:rPr>
              <w:t>0: Nil. The intervention is not recommended by European authorities; 1: the intervention is recommended by the European authorities.</w:t>
            </w:r>
          </w:p>
        </w:tc>
      </w:tr>
    </w:tbl>
    <w:p w:rsidR="00077F7C" w:rsidRPr="00C17FC2" w:rsidRDefault="00077F7C">
      <w:pPr>
        <w:rPr>
          <w:lang w:val="en-CA"/>
        </w:rPr>
      </w:pPr>
    </w:p>
    <w:sectPr w:rsidR="00077F7C" w:rsidRPr="00C17FC2" w:rsidSect="00C17FC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C2"/>
    <w:rsid w:val="00077F7C"/>
    <w:rsid w:val="00C17FC2"/>
    <w:rsid w:val="00D2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FC2"/>
    <w:pPr>
      <w:spacing w:after="0" w:line="240" w:lineRule="auto"/>
    </w:pPr>
    <w:rPr>
      <w:rFonts w:eastAsiaTheme="minorEastAsia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FC2"/>
    <w:pPr>
      <w:spacing w:after="0" w:line="240" w:lineRule="auto"/>
    </w:pPr>
    <w:rPr>
      <w:rFonts w:eastAsiaTheme="minorEastAsia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Montreal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</dc:creator>
  <cp:lastModifiedBy>Cécile</cp:lastModifiedBy>
  <cp:revision>2</cp:revision>
  <dcterms:created xsi:type="dcterms:W3CDTF">2015-07-16T15:11:00Z</dcterms:created>
  <dcterms:modified xsi:type="dcterms:W3CDTF">2015-07-16T15:11:00Z</dcterms:modified>
</cp:coreProperties>
</file>