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cs="Times New Roman"/>
          <w:b/>
          <w:color w:val="000000"/>
          <w:sz w:val="24"/>
        </w:rPr>
        <w:t>UNIVERSIDADE FEDERAL DE UBERLÂNDIA</w:t>
      </w:r>
    </w:p>
    <w:p>
      <w:pPr>
        <w:spacing w:after="1000"/>
        <w:ind w:firstLine="0"/>
        <w:jc w:val="center"/>
      </w:pPr>
      <w:r>
        <w:rPr>
          <w:rFonts w:ascii="Times New Roman" w:hAnsi="Times New Roman" w:eastAsia="Times New Roman" w:cs="Times New Roman"/>
          <w:b/>
          <w:color w:val="000000"/>
          <w:sz w:val="24"/>
        </w:rPr>
        <w:t>FACULDADE DE COMPUTAÇÃO</w:t>
      </w:r>
    </w:p>
    <w:p>
      <w:pPr>
        <w:spacing w:after="1800"/>
        <w:ind w:firstLine="0"/>
        <w:jc w:val="center"/>
      </w:pPr>
      <w:r>
        <w:rPr>
          <w:rFonts w:ascii="Times New Roman" w:hAnsi="Times New Roman" w:eastAsia="Times New Roman" w:cs="Times New Roman"/>
          <w:color w:val="000000"/>
          <w:sz w:val="24"/>
        </w:rPr>
        <w:t>Gil Antony Borba</w:t>
        <w:br/>
        <w:t>Raphael Muniz Varela</w:t>
        <w:br/>
        <w:t>Victor Leal</w:t>
        <w:br/>
        <w:t>Ygor Marangoni</w:t>
      </w:r>
    </w:p>
    <w:p>
      <w:pPr>
        <w:spacing w:after="2000"/>
        <w:ind w:firstLine="0"/>
        <w:jc w:val="center"/>
      </w:pPr>
      <w:r>
        <w:rPr>
          <w:rFonts w:ascii="Times New Roman" w:hAnsi="Times New Roman" w:eastAsia="Times New Roman" w:cs="Times New Roman"/>
          <w:b/>
          <w:color w:val="000000"/>
          <w:sz w:val="28"/>
        </w:rPr>
        <w:t>RELATÓRIO DE CLUSTERIZAÇÃO PARA ANÁLISE DE PERFIS DE CRÉDITO</w:t>
      </w:r>
    </w:p>
    <w:p>
      <w:pPr>
        <w:ind w:firstLine="0"/>
        <w:jc w:val="center"/>
      </w:pPr>
      <w:r>
        <w:rPr>
          <w:rFonts w:ascii="Times New Roman" w:hAnsi="Times New Roman" w:eastAsia="Times New Roman" w:cs="Times New Roman"/>
          <w:color w:val="000000"/>
          <w:sz w:val="24"/>
        </w:rPr>
        <w:t>Monte Carmelo - MG</w:t>
        <w:br/>
        <w:t>2026</w:t>
      </w:r>
    </w:p>
    <w:p>
      <w:pPr>
        <w:sectPr>
          <w:headerReference w:type="default" r:id="rId9"/>
          <w:footerReference w:type="default" r:id="rId10"/>
          <w:pgSz w:w="11906" w:h="16838"/>
          <w:pgMar w:top="1701" w:right="1134" w:bottom="1134" w:left="1701" w:header="680" w:footer="680" w:gutter="0"/>
          <w:cols w:space="720"/>
          <w:docGrid w:linePitch="360"/>
        </w:sectPr>
      </w:pPr>
    </w:p>
    <w:p>
      <w:pPr>
        <w:spacing w:after="1400"/>
        <w:ind w:firstLine="0"/>
        <w:jc w:val="center"/>
      </w:pPr>
      <w:r>
        <w:rPr>
          <w:rFonts w:ascii="Times New Roman" w:hAnsi="Times New Roman" w:eastAsia="Times New Roman" w:cs="Times New Roman"/>
          <w:color w:val="000000"/>
          <w:sz w:val="24"/>
        </w:rPr>
        <w:t>Gil Antony Borba</w:t>
        <w:br/>
        <w:t>Raphael Muniz Varela</w:t>
        <w:br/>
        <w:t>Victor Leal</w:t>
        <w:br/>
        <w:t>Ygor Marangoni</w:t>
      </w:r>
    </w:p>
    <w:p>
      <w:pPr>
        <w:spacing w:after="1400"/>
        <w:ind w:firstLine="0"/>
        <w:jc w:val="center"/>
      </w:pPr>
      <w:r>
        <w:rPr>
          <w:rFonts w:ascii="Times New Roman" w:hAnsi="Times New Roman" w:eastAsia="Times New Roman" w:cs="Times New Roman"/>
          <w:b/>
          <w:color w:val="000000"/>
          <w:sz w:val="28"/>
        </w:rPr>
        <w:t>RELATÓRIO DE CLUSTERIZAÇÃO PARA ANÁLISE DE PERFIS DE CRÉDITO</w:t>
      </w:r>
    </w:p>
    <w:p>
      <w:pPr>
        <w:spacing w:line="240" w:lineRule="auto" w:after="200"/>
        <w:ind w:left="4535" w:firstLine="0"/>
        <w:jc w:val="both"/>
      </w:pPr>
      <w:r>
        <w:rPr>
          <w:rFonts w:ascii="Times New Roman" w:hAnsi="Times New Roman" w:eastAsia="Times New Roman" w:cs="Times New Roman"/>
          <w:color w:val="000000"/>
          <w:sz w:val="20"/>
        </w:rPr>
        <w:t>Trabalho Prático 3 apresentado à disciplina de Ciência de Dados da Universidade Federal de Uberlândia, como requisito parcial de avaliação.</w:t>
      </w:r>
    </w:p>
    <w:p>
      <w:pPr>
        <w:ind w:left="4535" w:firstLine="0"/>
      </w:pPr>
      <w:r>
        <w:rPr>
          <w:rFonts w:ascii="Times New Roman" w:hAnsi="Times New Roman" w:eastAsia="Times New Roman" w:cs="Times New Roman"/>
          <w:color w:val="000000"/>
          <w:sz w:val="20"/>
        </w:rPr>
        <w:t>Professor: Carlos Cesar Mansur Tuma</w:t>
      </w:r>
    </w:p>
    <w:p>
      <w:pPr>
        <w:spacing w:before="2000"/>
        <w:ind w:firstLine="0"/>
        <w:jc w:val="center"/>
      </w:pPr>
      <w:r>
        <w:rPr>
          <w:rFonts w:ascii="Times New Roman" w:hAnsi="Times New Roman" w:eastAsia="Times New Roman" w:cs="Times New Roman"/>
          <w:color w:val="000000"/>
          <w:sz w:val="24"/>
        </w:rPr>
        <w:t>Monte Carmelo - MG</w:t>
        <w:br/>
        <w:t>2026</w:t>
      </w:r>
    </w:p>
    <w:p>
      <w:pPr>
        <w:sectPr>
          <w:headerReference w:type="default" r:id="rId11"/>
          <w:footerReference w:type="default" r:id="rId12"/>
          <w:pgSz w:w="11906" w:h="16838"/>
          <w:pgMar w:top="1701" w:right="1134" w:bottom="1134" w:left="1701" w:header="680" w:footer="680" w:gutter="0"/>
          <w:cols w:space="720"/>
          <w:docGrid w:linePitch="360"/>
        </w:sectPr>
      </w:pPr>
    </w:p>
    <w:p>
      <w:pPr>
        <w:spacing w:after="200"/>
        <w:ind w:firstLine="0"/>
        <w:jc w:val="center"/>
      </w:pPr>
      <w:r>
        <w:rPr>
          <w:rFonts w:ascii="Times New Roman" w:hAnsi="Times New Roman" w:eastAsia="Times New Roman" w:cs="Times New Roman"/>
          <w:b/>
          <w:color w:val="000000"/>
          <w:sz w:val="24"/>
        </w:rPr>
        <w:t>SUMÁRIO</w:t>
      </w:r>
    </w:p>
    <w:p>
      <w:pPr>
        <w:pStyle w:val="TOCFinal"/>
        <w:tabs>
          <w:tab w:pos="8901" w:val="right" w:leader="dot"/>
        </w:tabs>
      </w:pPr>
      <w:r>
        <w:rPr>
          <w:rFonts w:ascii="Times New Roman" w:hAnsi="Times New Roman" w:eastAsia="Times New Roman" w:cs="Times New Roman"/>
          <w:color w:val="000000"/>
          <w:sz w:val="18"/>
        </w:rPr>
        <w:t>1 INTRODUÇÃO</w:t>
        <w:tab/>
        <w:t>4</w:t>
      </w:r>
    </w:p>
    <w:p>
      <w:pPr>
        <w:pStyle w:val="TOCFinal"/>
        <w:tabs>
          <w:tab w:pos="8901" w:val="right" w:leader="dot"/>
        </w:tabs>
      </w:pPr>
      <w:r>
        <w:rPr>
          <w:rFonts w:ascii="Times New Roman" w:hAnsi="Times New Roman" w:eastAsia="Times New Roman" w:cs="Times New Roman"/>
          <w:color w:val="000000"/>
          <w:sz w:val="18"/>
        </w:rPr>
        <w:t>2 DESCRIÇÃO DO PROBLEMA</w:t>
        <w:tab/>
        <w:t>5</w:t>
      </w:r>
    </w:p>
    <w:p>
      <w:pPr>
        <w:pStyle w:val="TOCFinal"/>
        <w:tabs>
          <w:tab w:pos="8901" w:val="right" w:leader="dot"/>
        </w:tabs>
      </w:pPr>
      <w:r>
        <w:rPr>
          <w:rFonts w:ascii="Times New Roman" w:hAnsi="Times New Roman" w:eastAsia="Times New Roman" w:cs="Times New Roman"/>
          <w:color w:val="000000"/>
          <w:sz w:val="18"/>
        </w:rPr>
        <w:t>3 DESCRIÇÃO DA BASE</w:t>
        <w:tab/>
        <w:t>6</w:t>
      </w:r>
    </w:p>
    <w:p>
      <w:pPr>
        <w:pStyle w:val="TOCFinal"/>
        <w:tabs>
          <w:tab w:pos="8901" w:val="right" w:leader="dot"/>
        </w:tabs>
      </w:pPr>
      <w:r>
        <w:rPr>
          <w:rFonts w:ascii="Times New Roman" w:hAnsi="Times New Roman" w:eastAsia="Times New Roman" w:cs="Times New Roman"/>
          <w:color w:val="000000"/>
          <w:sz w:val="18"/>
        </w:rPr>
        <w:t>4 CRIAÇÃO DA AMOSTRA</w:t>
        <w:tab/>
        <w:t>7</w:t>
      </w:r>
    </w:p>
    <w:p>
      <w:pPr>
        <w:pStyle w:val="TOCFinal"/>
        <w:tabs>
          <w:tab w:pos="8901" w:val="right" w:leader="dot"/>
        </w:tabs>
      </w:pPr>
      <w:r>
        <w:rPr>
          <w:rFonts w:ascii="Times New Roman" w:hAnsi="Times New Roman" w:eastAsia="Times New Roman" w:cs="Times New Roman"/>
          <w:color w:val="000000"/>
          <w:sz w:val="18"/>
        </w:rPr>
        <w:t>5 SELEÇÃO DOS ATRIBUTOS</w:t>
        <w:tab/>
        <w:t>8</w:t>
      </w:r>
    </w:p>
    <w:p>
      <w:pPr>
        <w:pStyle w:val="TOCFinal"/>
        <w:tabs>
          <w:tab w:pos="8901" w:val="right" w:leader="dot"/>
        </w:tabs>
      </w:pPr>
      <w:r>
        <w:rPr>
          <w:rFonts w:ascii="Times New Roman" w:hAnsi="Times New Roman" w:eastAsia="Times New Roman" w:cs="Times New Roman"/>
          <w:color w:val="000000"/>
          <w:sz w:val="18"/>
        </w:rPr>
        <w:t>6 ANÁLISE DA DISPERSÃO</w:t>
        <w:tab/>
        <w:t>11</w:t>
      </w:r>
    </w:p>
    <w:p>
      <w:pPr>
        <w:pStyle w:val="TOCFinal"/>
        <w:tabs>
          <w:tab w:pos="8901" w:val="right" w:leader="dot"/>
        </w:tabs>
      </w:pPr>
      <w:r>
        <w:rPr>
          <w:rFonts w:ascii="Times New Roman" w:hAnsi="Times New Roman" w:eastAsia="Times New Roman" w:cs="Times New Roman"/>
          <w:color w:val="000000"/>
          <w:sz w:val="18"/>
        </w:rPr>
        <w:t>7 PESOS E TRANSFORMAÇÕES</w:t>
        <w:tab/>
        <w:t>14</w:t>
      </w:r>
    </w:p>
    <w:p>
      <w:pPr>
        <w:pStyle w:val="TOCFinal"/>
        <w:tabs>
          <w:tab w:pos="8901" w:val="right" w:leader="dot"/>
        </w:tabs>
      </w:pPr>
      <w:r>
        <w:rPr>
          <w:rFonts w:ascii="Times New Roman" w:hAnsi="Times New Roman" w:eastAsia="Times New Roman" w:cs="Times New Roman"/>
          <w:color w:val="000000"/>
          <w:sz w:val="18"/>
        </w:rPr>
        <w:t>8 ESTATÍSTICA DE HOPKINS</w:t>
        <w:tab/>
        <w:t>16</w:t>
      </w:r>
    </w:p>
    <w:p>
      <w:pPr>
        <w:pStyle w:val="TOCFinal"/>
        <w:tabs>
          <w:tab w:pos="8901" w:val="right" w:leader="dot"/>
        </w:tabs>
      </w:pPr>
      <w:r>
        <w:rPr>
          <w:rFonts w:ascii="Times New Roman" w:hAnsi="Times New Roman" w:eastAsia="Times New Roman" w:cs="Times New Roman"/>
          <w:color w:val="000000"/>
          <w:sz w:val="18"/>
        </w:rPr>
        <w:t>9 DESCRIÇÃO DO DBSCAN</w:t>
        <w:tab/>
        <w:t>17</w:t>
      </w:r>
    </w:p>
    <w:p>
      <w:pPr>
        <w:pStyle w:val="TOCFinal"/>
        <w:tabs>
          <w:tab w:pos="8901" w:val="right" w:leader="dot"/>
        </w:tabs>
      </w:pPr>
      <w:r>
        <w:rPr>
          <w:rFonts w:ascii="Times New Roman" w:hAnsi="Times New Roman" w:eastAsia="Times New Roman" w:cs="Times New Roman"/>
          <w:color w:val="000000"/>
          <w:sz w:val="18"/>
        </w:rPr>
        <w:t>10 DESCRIÇÃO DO SIMPLEKMEANS</w:t>
        <w:tab/>
        <w:t>18</w:t>
      </w:r>
    </w:p>
    <w:p>
      <w:pPr>
        <w:pStyle w:val="TOCFinal"/>
        <w:tabs>
          <w:tab w:pos="8901" w:val="right" w:leader="dot"/>
        </w:tabs>
      </w:pPr>
      <w:r>
        <w:rPr>
          <w:rFonts w:ascii="Times New Roman" w:hAnsi="Times New Roman" w:eastAsia="Times New Roman" w:cs="Times New Roman"/>
          <w:color w:val="000000"/>
          <w:sz w:val="18"/>
        </w:rPr>
        <w:t>11 DESCRIÇÃO DO EM</w:t>
        <w:tab/>
        <w:t>19</w:t>
      </w:r>
    </w:p>
    <w:p>
      <w:pPr>
        <w:pStyle w:val="TOCFinal"/>
        <w:tabs>
          <w:tab w:pos="8901" w:val="right" w:leader="dot"/>
        </w:tabs>
      </w:pPr>
      <w:r>
        <w:rPr>
          <w:rFonts w:ascii="Times New Roman" w:hAnsi="Times New Roman" w:eastAsia="Times New Roman" w:cs="Times New Roman"/>
          <w:color w:val="000000"/>
          <w:sz w:val="18"/>
        </w:rPr>
        <w:t>12 CONFIGURAÇÕES UTILIZADAS</w:t>
        <w:tab/>
        <w:t>20</w:t>
      </w:r>
    </w:p>
    <w:p>
      <w:pPr>
        <w:pStyle w:val="TOCFinal"/>
        <w:tabs>
          <w:tab w:pos="8901" w:val="right" w:leader="dot"/>
        </w:tabs>
      </w:pPr>
      <w:r>
        <w:rPr>
          <w:rFonts w:ascii="Times New Roman" w:hAnsi="Times New Roman" w:eastAsia="Times New Roman" w:cs="Times New Roman"/>
          <w:color w:val="000000"/>
          <w:sz w:val="18"/>
        </w:rPr>
        <w:t>13 RESULTADOS DO DBSCAN</w:t>
        <w:tab/>
        <w:t>22</w:t>
      </w:r>
    </w:p>
    <w:p>
      <w:pPr>
        <w:pStyle w:val="TOCFinal"/>
        <w:tabs>
          <w:tab w:pos="8901" w:val="right" w:leader="dot"/>
        </w:tabs>
      </w:pPr>
      <w:r>
        <w:rPr>
          <w:rFonts w:ascii="Times New Roman" w:hAnsi="Times New Roman" w:eastAsia="Times New Roman" w:cs="Times New Roman"/>
          <w:color w:val="000000"/>
          <w:sz w:val="18"/>
        </w:rPr>
        <w:t>14 RESULTADOS DO K-MEANS</w:t>
        <w:tab/>
        <w:t>24</w:t>
      </w:r>
    </w:p>
    <w:p>
      <w:pPr>
        <w:pStyle w:val="TOCFinal"/>
        <w:tabs>
          <w:tab w:pos="8901" w:val="right" w:leader="dot"/>
        </w:tabs>
      </w:pPr>
      <w:r>
        <w:rPr>
          <w:rFonts w:ascii="Times New Roman" w:hAnsi="Times New Roman" w:eastAsia="Times New Roman" w:cs="Times New Roman"/>
          <w:color w:val="000000"/>
          <w:sz w:val="18"/>
        </w:rPr>
        <w:t>15 RESULTADOS DO EM</w:t>
        <w:tab/>
        <w:t>26</w:t>
      </w:r>
    </w:p>
    <w:p>
      <w:pPr>
        <w:pStyle w:val="TOCFinal"/>
        <w:tabs>
          <w:tab w:pos="8901" w:val="right" w:leader="dot"/>
        </w:tabs>
      </w:pPr>
      <w:r>
        <w:rPr>
          <w:rFonts w:ascii="Times New Roman" w:hAnsi="Times New Roman" w:eastAsia="Times New Roman" w:cs="Times New Roman"/>
          <w:color w:val="000000"/>
          <w:sz w:val="18"/>
        </w:rPr>
        <w:t>16 COMPARAÇÃO DOS MÉTODOS</w:t>
        <w:tab/>
        <w:t>28</w:t>
      </w:r>
    </w:p>
    <w:p>
      <w:pPr>
        <w:pStyle w:val="TOCFinal"/>
        <w:tabs>
          <w:tab w:pos="8901" w:val="right" w:leader="dot"/>
        </w:tabs>
      </w:pPr>
      <w:r>
        <w:rPr>
          <w:rFonts w:ascii="Times New Roman" w:hAnsi="Times New Roman" w:eastAsia="Times New Roman" w:cs="Times New Roman"/>
          <w:color w:val="000000"/>
          <w:sz w:val="18"/>
        </w:rPr>
        <w:t>17 PERFIS IDENTIFICADOS</w:t>
        <w:tab/>
        <w:t>30</w:t>
      </w:r>
    </w:p>
    <w:p>
      <w:pPr>
        <w:pStyle w:val="TOCFinal"/>
        <w:tabs>
          <w:tab w:pos="8901" w:val="right" w:leader="dot"/>
        </w:tabs>
      </w:pPr>
      <w:r>
        <w:rPr>
          <w:rFonts w:ascii="Times New Roman" w:hAnsi="Times New Roman" w:eastAsia="Times New Roman" w:cs="Times New Roman"/>
          <w:color w:val="000000"/>
          <w:sz w:val="18"/>
        </w:rPr>
        <w:t>18 APLICAÇÕES COMERCIAIS</w:t>
        <w:tab/>
        <w:t>33</w:t>
      </w:r>
    </w:p>
    <w:p>
      <w:pPr>
        <w:pStyle w:val="TOCFinal"/>
        <w:tabs>
          <w:tab w:pos="8901" w:val="right" w:leader="dot"/>
        </w:tabs>
      </w:pPr>
      <w:r>
        <w:rPr>
          <w:rFonts w:ascii="Times New Roman" w:hAnsi="Times New Roman" w:eastAsia="Times New Roman" w:cs="Times New Roman"/>
          <w:color w:val="000000"/>
          <w:sz w:val="18"/>
        </w:rPr>
        <w:t>19 RESPONSABILIDADE, ÉTICA E LIMITAÇÕES</w:t>
        <w:tab/>
        <w:t>34</w:t>
      </w:r>
    </w:p>
    <w:p>
      <w:pPr>
        <w:pStyle w:val="TOCFinal"/>
        <w:tabs>
          <w:tab w:pos="8901" w:val="right" w:leader="dot"/>
        </w:tabs>
      </w:pPr>
      <w:r>
        <w:rPr>
          <w:rFonts w:ascii="Times New Roman" w:hAnsi="Times New Roman" w:eastAsia="Times New Roman" w:cs="Times New Roman"/>
          <w:color w:val="000000"/>
          <w:sz w:val="18"/>
        </w:rPr>
        <w:t>20 USO DE APOIO DE INTELIGÊNCIA ARTIFICIAL</w:t>
        <w:tab/>
        <w:t>35</w:t>
      </w:r>
    </w:p>
    <w:p>
      <w:pPr>
        <w:pStyle w:val="TOCFinal"/>
        <w:tabs>
          <w:tab w:pos="8901" w:val="right" w:leader="dot"/>
        </w:tabs>
      </w:pPr>
      <w:r>
        <w:rPr>
          <w:rFonts w:ascii="Times New Roman" w:hAnsi="Times New Roman" w:eastAsia="Times New Roman" w:cs="Times New Roman"/>
          <w:color w:val="000000"/>
          <w:sz w:val="18"/>
        </w:rPr>
        <w:t>21 CONCLUSÃO</w:t>
        <w:tab/>
        <w:t>36</w:t>
      </w:r>
    </w:p>
    <w:p>
      <w:pPr>
        <w:pStyle w:val="TOCFinal"/>
        <w:tabs>
          <w:tab w:pos="8901" w:val="right" w:leader="dot"/>
        </w:tabs>
      </w:pPr>
      <w:r>
        <w:rPr>
          <w:rFonts w:ascii="Times New Roman" w:hAnsi="Times New Roman" w:eastAsia="Times New Roman" w:cs="Times New Roman"/>
          <w:color w:val="000000"/>
          <w:sz w:val="18"/>
        </w:rPr>
        <w:t>22 REFERÊNCIAS</w:t>
        <w:tab/>
        <w:t>37</w:t>
      </w:r>
    </w:p>
    <w:p>
      <w:pPr>
        <w:pStyle w:val="TOCFinal"/>
        <w:tabs>
          <w:tab w:pos="8901" w:val="right" w:leader="dot"/>
        </w:tabs>
      </w:pPr>
      <w:r>
        <w:rPr>
          <w:rFonts w:ascii="Times New Roman" w:hAnsi="Times New Roman" w:eastAsia="Times New Roman" w:cs="Times New Roman"/>
          <w:color w:val="000000"/>
          <w:sz w:val="18"/>
        </w:rPr>
        <w:t>APÊNDICE A - ARQUIVOS E RASTREABILIDADE</w:t>
        <w:tab/>
        <w:t>38</w:t>
      </w:r>
    </w:p>
    <w:p>
      <w:pPr>
        <w:pStyle w:val="TOCFinal"/>
        <w:tabs>
          <w:tab w:pos="8901" w:val="right" w:leader="dot"/>
        </w:tabs>
      </w:pPr>
      <w:r>
        <w:rPr>
          <w:rFonts w:ascii="Times New Roman" w:hAnsi="Times New Roman" w:eastAsia="Times New Roman" w:cs="Times New Roman"/>
          <w:color w:val="000000"/>
          <w:sz w:val="18"/>
        </w:rPr>
        <w:t>APÊNDICE B - CONFIGURAÇÕES COMPLETAS</w:t>
        <w:tab/>
        <w:t>39</w:t>
      </w:r>
    </w:p>
    <w:p>
      <w:pPr>
        <w:pStyle w:val="TOCFinal"/>
        <w:tabs>
          <w:tab w:pos="8901" w:val="right" w:leader="dot"/>
        </w:tabs>
      </w:pPr>
      <w:r>
        <w:rPr>
          <w:rFonts w:ascii="Times New Roman" w:hAnsi="Times New Roman" w:eastAsia="Times New Roman" w:cs="Times New Roman"/>
          <w:color w:val="000000"/>
          <w:sz w:val="18"/>
        </w:rPr>
        <w:t>APÊNDICE C - BASES ANEXADAS</w:t>
        <w:tab/>
        <w:t>40</w:t>
      </w:r>
    </w:p>
    <w:p>
      <w:pPr>
        <w:pStyle w:val="TOCFinal"/>
        <w:tabs>
          <w:tab w:pos="8901" w:val="right" w:leader="dot"/>
        </w:tabs>
      </w:pPr>
      <w:r>
        <w:rPr>
          <w:rFonts w:ascii="Times New Roman" w:hAnsi="Times New Roman" w:eastAsia="Times New Roman" w:cs="Times New Roman"/>
          <w:color w:val="000000"/>
          <w:sz w:val="18"/>
        </w:rPr>
        <w:t>APÊNDICE D - CHECKLIST DE ENTREGA</w:t>
        <w:tab/>
        <w:t>41</w:t>
      </w:r>
    </w:p>
    <w:p>
      <w:pPr>
        <w:sectPr>
          <w:headerReference w:type="default" r:id="rId13"/>
          <w:footerReference w:type="default" r:id="rId14"/>
          <w:pgSz w:w="11906" w:h="16838"/>
          <w:pgMar w:top="1701" w:right="1134" w:bottom="1134" w:left="1701" w:header="680" w:footer="680" w:gutter="0"/>
          <w:cols w:space="720"/>
          <w:docGrid w:linePitch="360"/>
        </w:sectPr>
      </w:pPr>
    </w:p>
    <w:p>
      <w:pPr>
        <w:pStyle w:val="Heading1"/>
        <w:keepNext/>
      </w:pPr>
      <w:r>
        <w:rPr>
          <w:rFonts w:ascii="Times New Roman" w:hAnsi="Times New Roman" w:eastAsia="Times New Roman" w:cs="Times New Roman"/>
          <w:b/>
          <w:color w:val="000000"/>
          <w:sz w:val="24"/>
        </w:rPr>
        <w:t>1 INTRODUÇÃO</w:t>
      </w:r>
    </w:p>
    <w:p>
      <w:r>
        <w:rPr>
          <w:rFonts w:ascii="Times New Roman" w:hAnsi="Times New Roman" w:eastAsia="Times New Roman" w:cs="Times New Roman"/>
          <w:color w:val="000000"/>
          <w:sz w:val="24"/>
        </w:rPr>
        <w:t>Este relatório apresenta o Trabalho Prático 3 da disciplina de Ciência de Dados, dedicado à clusterização de clientes de uma base de concessão de crédito. O estudo utiliza a base final produzida no Trabalho Prático 1 e dá continuidade ao mesmo conjunto de dados empregado no Trabalho Prático 2. Diferentemente da classificação supervisionada, o agrupamento procura estruturas internas nos dados sem utilizar previamente uma classe de resposta.</w:t>
      </w:r>
    </w:p>
    <w:p>
      <w:r>
        <w:rPr>
          <w:rFonts w:ascii="Times New Roman" w:hAnsi="Times New Roman" w:eastAsia="Times New Roman" w:cs="Times New Roman"/>
          <w:color w:val="000000"/>
          <w:sz w:val="24"/>
        </w:rPr>
        <w:t>O objetivo é identificar grupos de clientes com características semelhantes e interpretação comercial plausível. A análise considera valor do crédito, composição familiar, posse de carro, idade, relação entre crédito e renda e quantidade de créditos ativos. Foram comparados três métodos executados no WEKA: DBSCAN, SimpleKMeans e EM.</w:t>
      </w:r>
    </w:p>
    <w:p>
      <w:r>
        <w:rPr>
          <w:rFonts w:ascii="Times New Roman" w:hAnsi="Times New Roman" w:eastAsia="Times New Roman" w:cs="Times New Roman"/>
          <w:color w:val="000000"/>
          <w:sz w:val="24"/>
        </w:rPr>
        <w:t>O processo foi conduzido de maneira rastreável. Uma amostra aleatória de 10.000 registros foi gerada com semente 42; identificadores e a variável TARGET foram excluídos da formação dos clusters; pesos foram aplicados pela raiz quadrada; a tendência de agrupamento foi verificada pela Estatística de Hopkins; e todas as bases exportadas pelo WEKA foram comparadas com a base de entrada antes da análise dos resultados.</w:t>
      </w:r>
    </w:p>
    <w:p>
      <w:pPr>
        <w:pStyle w:val="Heading2"/>
        <w:keepNext/>
      </w:pPr>
      <w:r>
        <w:rPr>
          <w:rFonts w:ascii="Times New Roman" w:hAnsi="Times New Roman" w:eastAsia="Times New Roman" w:cs="Times New Roman"/>
          <w:b/>
          <w:color w:val="000000"/>
          <w:sz w:val="24"/>
        </w:rPr>
        <w:t>1.1 Atendimento aos requisitos do enunciado</w:t>
      </w:r>
    </w:p>
    <w:p>
      <w:r>
        <w:rPr>
          <w:rFonts w:ascii="Times New Roman" w:hAnsi="Times New Roman" w:eastAsia="Times New Roman" w:cs="Times New Roman"/>
          <w:color w:val="000000"/>
          <w:sz w:val="24"/>
        </w:rPr>
        <w:t>A Tabela 1 relaciona os principais requisitos do enunciado com as evidências produzidas no projeto.</w:t>
      </w:r>
    </w:p>
    <w:p>
      <w:pPr>
        <w:pStyle w:val="TableCaptionFinal"/>
        <w:keepNext/>
      </w:pPr>
      <w:r>
        <w:rPr>
          <w:rFonts w:ascii="Times New Roman" w:hAnsi="Times New Roman" w:eastAsia="Times New Roman" w:cs="Times New Roman"/>
          <w:b/>
          <w:color w:val="000000"/>
          <w:sz w:val="20"/>
        </w:rPr>
        <w:t>Tabela 1 - Atendimento aos requisitos do enunciado</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cantSplit/>
        </w:trPr>
        <w:tc>
          <w:tcPr>
            <w:tcW w:type="dxa" w:w="232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Requisito</w:t>
            </w:r>
          </w:p>
        </w:tc>
        <w:tc>
          <w:tcPr>
            <w:tcW w:type="dxa" w:w="170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Seção</w:t>
            </w:r>
          </w:p>
        </w:tc>
        <w:tc>
          <w:tcPr>
            <w:tcW w:type="dxa" w:w="5046"/>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Evidência</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Relatório acadêmico com capa e sumário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Elementos pré-textuais</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Capa, folha de rosto, sumário preenchido e paginação.</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Uso da base do Trabalho 1</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Seção 3</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base_final_preprocessada.csv.</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Amostra com no mínimo 10.000 registros</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Seção 4</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base_amostra_10000_analise.csv.</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Seleção de campos e pesos entre 0 e 10</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Seções 5 e 7</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configuracao_final.csv.</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Estatística de Hopkins</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Seção 8</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H = 0,941745479089.</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Execução de SimpleKMeans, EM e DBSCAN</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Seções 9 a 15</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ARFFs finais com o filtro AddCluster.</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Análise das bases com apoio de IA</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Seções 17 e 20</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Bases mescladas, resumos estatísticos e revisão humana.</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Anexação das bases relativas a cada método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Apêndice C</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Relação dos arquivos destinados à entrega.</w:t>
            </w:r>
          </w:p>
        </w:tc>
      </w:tr>
    </w:tbl>
    <w:p>
      <w:pPr>
        <w:pStyle w:val="SourceFinal"/>
      </w:pPr>
      <w:r>
        <w:rPr>
          <w:rFonts w:ascii="Times New Roman" w:hAnsi="Times New Roman" w:eastAsia="Times New Roman" w:cs="Times New Roman"/>
          <w:i/>
          <w:color w:val="000000"/>
          <w:sz w:val="20"/>
        </w:rPr>
        <w:t>Fonte: elaborado pelos autores.</w:t>
      </w:r>
    </w:p>
    <w:p>
      <w:r>
        <w:br w:type="page"/>
      </w:r>
    </w:p>
    <w:p>
      <w:pPr>
        <w:pStyle w:val="Heading1"/>
        <w:keepNext/>
      </w:pPr>
      <w:r>
        <w:rPr>
          <w:rFonts w:ascii="Times New Roman" w:hAnsi="Times New Roman" w:eastAsia="Times New Roman" w:cs="Times New Roman"/>
          <w:b/>
          <w:color w:val="000000"/>
          <w:sz w:val="24"/>
        </w:rPr>
        <w:t>2 DESCRIÇÃO DO PROBLEMA</w:t>
      </w:r>
    </w:p>
    <w:p>
      <w:r>
        <w:rPr>
          <w:rFonts w:ascii="Times New Roman" w:hAnsi="Times New Roman" w:eastAsia="Times New Roman" w:cs="Times New Roman"/>
          <w:color w:val="000000"/>
          <w:sz w:val="24"/>
        </w:rPr>
        <w:t>Instituições que concedem crédito atendem clientes com perfis heterogêneos de renda, idade, estrutura familiar, histórico financeiro e necessidades de financiamento. Uma segmentação baseada apenas em regras isoladas pode ocultar combinações relevantes entre essas variáveis. A clusterização permite explorar tais combinações sem definir antecipadamente uma classe-alvo, revelando grupos que emergem da estrutura dos dados.</w:t>
      </w:r>
    </w:p>
    <w:p>
      <w:r>
        <w:rPr>
          <w:rFonts w:ascii="Times New Roman" w:hAnsi="Times New Roman" w:eastAsia="Times New Roman" w:cs="Times New Roman"/>
          <w:color w:val="000000"/>
          <w:sz w:val="24"/>
        </w:rPr>
        <w:t>A tarefa não consiste em prever inadimplência. TARGET não participa das distâncias nem da atribuição dos grupos em nenhum dos três métodos. O problema analítico é descobrir perfis que possam apoiar o entendimento da carteira e a formulação de hipóteses de campanhas, como famílias sem carro, clientes de crédito elevado, jovens com menor exposição financeira ou clientes com muitos contratos ativos. Qualquer interpretação deve permanecer compatível com os valores observados e não pode transformar proximidade geométrica em relação causal.</w:t>
      </w:r>
    </w:p>
    <w:p>
      <w:r>
        <w:br w:type="page"/>
      </w:r>
    </w:p>
    <w:p>
      <w:pPr>
        <w:pStyle w:val="Heading1"/>
        <w:keepNext/>
      </w:pPr>
      <w:r>
        <w:rPr>
          <w:rFonts w:ascii="Times New Roman" w:hAnsi="Times New Roman" w:eastAsia="Times New Roman" w:cs="Times New Roman"/>
          <w:b/>
          <w:color w:val="000000"/>
          <w:sz w:val="24"/>
        </w:rPr>
        <w:t>3 DESCRIÇÃO DA BASE</w:t>
      </w:r>
    </w:p>
    <w:p>
      <w:r>
        <w:rPr>
          <w:rFonts w:ascii="Times New Roman" w:hAnsi="Times New Roman" w:eastAsia="Times New Roman" w:cs="Times New Roman"/>
          <w:color w:val="000000"/>
          <w:sz w:val="24"/>
        </w:rPr>
        <w:t>A origem dos dados é o arquivo base_final_preprocessada.csv, produzido no Trabalho Prático 1. O arquivo possui 307.511 registros, 41 colunas, 60.943.180 bytes e hash SHA-256 651062c36ef1bd2b70b41f7c516386fdd8006d3eab0f9984ca7718d5f29ef861.</w:t>
      </w:r>
    </w:p>
    <w:p>
      <w:r>
        <w:rPr>
          <w:rFonts w:ascii="Times New Roman" w:hAnsi="Times New Roman" w:eastAsia="Times New Roman" w:cs="Times New Roman"/>
          <w:color w:val="000000"/>
          <w:sz w:val="24"/>
        </w:rPr>
        <w:t>A base reúne características cadastrais, financeiras, dados de empréstimos anteriores e variáveis agregadas de fontes externas. SK_ID_CURR identifica o cliente e foi mantido apenas para rastreabilidade. TARGET representa a classe usada nos trabalhos supervisionados anteriores e foi preservado somente na base auxiliar de análise, nunca na base submetida ao WEKA.</w:t>
      </w:r>
    </w:p>
    <w:p>
      <w:pPr>
        <w:pStyle w:val="TableCaptionFinal"/>
        <w:keepNext/>
      </w:pPr>
      <w:r>
        <w:rPr>
          <w:rFonts w:ascii="Times New Roman" w:hAnsi="Times New Roman" w:eastAsia="Times New Roman" w:cs="Times New Roman"/>
          <w:b/>
          <w:color w:val="000000"/>
          <w:sz w:val="20"/>
        </w:rPr>
        <w:t>Tabela 2 - Características e dimensões das bases utilizadas</w:t>
      </w:r>
    </w:p>
    <w:tbl>
      <w:tblPr>
        <w:tblStyle w:val="TableGrid"/>
        <w:tblW w:type="auto" w:w="0"/>
        <w:jc w:val="center"/>
        <w:tblLayout w:type="fixed"/>
        <w:tblLook w:firstColumn="1" w:firstRow="1" w:lastColumn="0" w:lastRow="0" w:noHBand="0" w:noVBand="1" w:val="04A0"/>
      </w:tblPr>
      <w:tblGrid>
        <w:gridCol w:w="4535"/>
        <w:gridCol w:w="4535"/>
      </w:tblGrid>
      <w:tr>
        <w:trPr>
          <w:cantSplit/>
          <w:tblHeader w:val="true"/>
          <w:cantSplit/>
        </w:trPr>
        <w:tc>
          <w:tcPr>
            <w:tcW w:type="dxa" w:w="5953"/>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Propriedade</w:t>
            </w:r>
          </w:p>
        </w:tc>
        <w:tc>
          <w:tcPr>
            <w:tcW w:type="dxa" w:w="3118"/>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Valor</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Registros da base de origem</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307.511</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Colunas da base de origem</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41</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Registros da amostra</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10.000</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Colunas da base auxiliar de análise</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42</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Atributos da base preparada para clusterização</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6</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Semente da amostragem</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42</w:t>
            </w:r>
          </w:p>
        </w:tc>
      </w:tr>
      <w:tr>
        <w:trPr>
          <w:cantSplit/>
          <w:cantSplit/>
        </w:trPr>
        <w:tc>
          <w:tcPr>
            <w:tcW w:type="dxa" w:w="5953"/>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Ausentes nos seis atributos finais</w:t>
            </w:r>
          </w:p>
        </w:tc>
        <w:tc>
          <w:tcPr>
            <w:tcW w:type="dxa" w:w="311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0</w:t>
            </w:r>
          </w:p>
        </w:tc>
      </w:tr>
    </w:tbl>
    <w:p>
      <w:pPr>
        <w:pStyle w:val="SourceFinal"/>
      </w:pPr>
      <w:r>
        <w:rPr>
          <w:rFonts w:ascii="Times New Roman" w:hAnsi="Times New Roman" w:eastAsia="Times New Roman" w:cs="Times New Roman"/>
          <w:i/>
          <w:color w:val="000000"/>
          <w:sz w:val="20"/>
        </w:rPr>
        <w:t>Fonte: elaborado pelos autores a partir dos metadados do projeto.</w:t>
      </w:r>
    </w:p>
    <w:p>
      <w:r>
        <w:br w:type="page"/>
      </w:r>
    </w:p>
    <w:p>
      <w:pPr>
        <w:pStyle w:val="Heading1"/>
        <w:keepNext/>
      </w:pPr>
      <w:r>
        <w:rPr>
          <w:rFonts w:ascii="Times New Roman" w:hAnsi="Times New Roman" w:eastAsia="Times New Roman" w:cs="Times New Roman"/>
          <w:b/>
          <w:color w:val="000000"/>
          <w:sz w:val="24"/>
        </w:rPr>
        <w:t>4 CRIAÇÃO DA AMOSTRA</w:t>
      </w:r>
    </w:p>
    <w:p>
      <w:r>
        <w:rPr>
          <w:rFonts w:ascii="Times New Roman" w:hAnsi="Times New Roman" w:eastAsia="Times New Roman" w:cs="Times New Roman"/>
          <w:color w:val="000000"/>
          <w:sz w:val="24"/>
        </w:rPr>
        <w:t>Foi utilizada amostragem aleatória sem reposição com random_state = 42. A escolha de 10.000 registros atende ao mínimo estabelecido no enunciado e reduz o custo de processamento no WEKA. A amostra é composta por registros reais da base, mas não foi estratificada; portanto, não se afirma que preserve exatamente todas as proporções da população original.</w:t>
      </w:r>
    </w:p>
    <w:p>
      <w:r>
        <w:rPr>
          <w:rFonts w:ascii="Times New Roman" w:hAnsi="Times New Roman" w:eastAsia="Times New Roman" w:cs="Times New Roman"/>
          <w:color w:val="000000"/>
          <w:sz w:val="24"/>
        </w:rPr>
        <w:t>A coluna ROW_ID_AMOSTRA registra a posição original, em base um, de cada linha sorteada. A amostra permanece na ordem aleatória reproduzível produzida pelo sorteio, e não na ordem crescente da base de origem. Esse identificador permite reconstruir e conferir a relação entre os arquivos. Foram geradas duas versões: base_amostra_10000_completa.csv, sem SK_ID_CURR e TARGET, e base_amostra_10000_analise.csv, que preserva as 41 colunas originais e acrescenta ROW_ID_AMOSTRA, totalizando 42 colunas.</w:t>
      </w:r>
    </w:p>
    <w:p>
      <w:r>
        <w:rPr>
          <w:rFonts w:ascii="Times New Roman" w:hAnsi="Times New Roman" w:eastAsia="Times New Roman" w:cs="Times New Roman"/>
          <w:color w:val="000000"/>
          <w:sz w:val="24"/>
        </w:rPr>
        <w:t>Os 10.000 valores de ROW_ID_AMOSTRA e os 10.000 identificadores SK_ID_CURR foram validados como únicos. A reprodução temporária da amostragem gerou os mesmos hashes dos arquivos oficiais, confirmando a reprodutibilidade da seleção.</w:t>
      </w:r>
    </w:p>
    <w:p>
      <w:r>
        <w:br w:type="page"/>
      </w:r>
    </w:p>
    <w:p>
      <w:pPr>
        <w:pStyle w:val="Heading1"/>
        <w:keepNext/>
      </w:pPr>
      <w:r>
        <w:rPr>
          <w:rFonts w:ascii="Times New Roman" w:hAnsi="Times New Roman" w:eastAsia="Times New Roman" w:cs="Times New Roman"/>
          <w:b/>
          <w:color w:val="000000"/>
          <w:sz w:val="24"/>
        </w:rPr>
        <w:t>5 SELEÇÃO DOS ATRIBUTOS</w:t>
      </w:r>
    </w:p>
    <w:p>
      <w:r>
        <w:rPr>
          <w:rFonts w:ascii="Times New Roman" w:hAnsi="Times New Roman" w:eastAsia="Times New Roman" w:cs="Times New Roman"/>
          <w:color w:val="000000"/>
          <w:sz w:val="24"/>
        </w:rPr>
        <w:t>A seleção partiu de dez atributos candidatos e foi realizada antes de qualquer execução da Estatística de Hopkins. A decisão combinou cinco dimensões: aderência ao objetivo comercial do trabalho, qualidade e completude dos dados, comportamento da distribuição, compatibilidade semântica com a distância e prevenção de redundância entre variáveis. Foram aprovados seis atributos capazes de representar porte do crédito, composição familiar, posse de veículo, estágio de vida, comprometimento relativo da renda e intensidade do histórico de crédito.</w:t>
      </w:r>
    </w:p>
    <w:p>
      <w:pPr>
        <w:pStyle w:val="TableCaptionFinal"/>
        <w:keepNext/>
      </w:pPr>
      <w:r>
        <w:rPr>
          <w:rFonts w:ascii="Times New Roman" w:hAnsi="Times New Roman" w:eastAsia="Times New Roman" w:cs="Times New Roman"/>
          <w:b/>
          <w:color w:val="000000"/>
          <w:sz w:val="20"/>
        </w:rPr>
        <w:t>Tabela 3 - Atributos selecionados, tipos e pesos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val="true"/>
          <w:cantSplit/>
        </w:trPr>
        <w:tc>
          <w:tcPr>
            <w:tcW w:type="dxa" w:w="249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Atributo</w:t>
            </w:r>
          </w:p>
        </w:tc>
        <w:tc>
          <w:tcPr>
            <w:tcW w:type="dxa" w:w="3572"/>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Papel analítico</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Tipo no preparo</w:t>
            </w:r>
          </w:p>
        </w:tc>
        <w:tc>
          <w:tcPr>
            <w:tcW w:type="dxa" w:w="113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Peso</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AMT_CREDIT</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Porte do empréstimo</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Numérico</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6</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CNT_CHILDREN</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Composição familiar</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Numérico</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4</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FLAG_OWN_CAR_COD</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Posse de veículo</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Nominal</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1</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AGE_YEARS</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Estágio de vida</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Numérico</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5</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CREDIT_INCOME_RATIO</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Comprometimento relativo de renda</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Numérico</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7</w:t>
            </w:r>
          </w:p>
        </w:tc>
      </w:tr>
      <w:tr>
        <w:trPr>
          <w:cantSplit/>
          <w:cantSplit/>
        </w:trPr>
        <w:tc>
          <w:tcPr>
            <w:tcW w:type="dxa" w:w="249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SER_CREDITOS_ATIVOS</w:t>
            </w:r>
          </w:p>
        </w:tc>
        <w:tc>
          <w:tcPr>
            <w:tcW w:type="dxa" w:w="357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Intensidade do histórico externo</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Numérico</w:t>
            </w:r>
          </w:p>
        </w:tc>
        <w:tc>
          <w:tcPr>
            <w:tcW w:type="dxa" w:w="113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8"/>
              </w:rPr>
              <w:t>5</w:t>
            </w:r>
          </w:p>
        </w:tc>
      </w:tr>
    </w:tbl>
    <w:p>
      <w:pPr>
        <w:pStyle w:val="SourceFinal"/>
      </w:pPr>
      <w:r>
        <w:rPr>
          <w:rFonts w:ascii="Times New Roman" w:hAnsi="Times New Roman" w:eastAsia="Times New Roman" w:cs="Times New Roman"/>
          <w:i/>
          <w:color w:val="000000"/>
          <w:sz w:val="20"/>
        </w:rPr>
        <w:t>Fonte: elaborado pelos autores a partir de configuracao_final.csv.</w:t>
      </w:r>
    </w:p>
    <w:p>
      <w:pPr>
        <w:pStyle w:val="Heading2"/>
        <w:keepNext/>
      </w:pPr>
      <w:r>
        <w:t>5.1 Critérios para definição da configuração inicial</w:t>
      </w:r>
    </w:p>
    <w:p>
      <w:pPr/>
      <w:r>
        <w:t>Os pesos foram definidos na escala de 0 a 10 antes da primeira execução de Hopkins. Nessa escala, peso 0 excluiria o campo; peso 1 representaria inclusão mínima; pesos de 2 a 4 indicariam influência baixa ou moderada; pesos de 5 a 7 indicariam influência intermediária ou alta; e os valores de 8 a 10 seriam reservados para atributos cuja predominância fosse indispensável. Nenhum campo recebeu peso superior a 7, justamente para evitar que uma única dimensão dominasse a distância euclidiana.</w:t>
      </w:r>
    </w:p>
    <w:p>
      <w:pPr/>
      <w:r>
        <w:t>A escolha não foi automática nem determinada por Hopkins. Ela resultou da análise exploratória e do objetivo de encontrar perfis interpretáveis. Não foi executada uma configuração de referência com todos os pesos iguais a 1, pois essa comparação não era exigida pelo enunciado. A primeira configuração já foi deliberadamente ponderada; Hopkins foi usado depois para verificar se essa representação apresentava tendência suficiente de agrupamento.</w:t>
      </w:r>
    </w:p>
    <w:p>
      <w:pPr>
        <w:pStyle w:val="TableCaptionFinal"/>
        <w:keepNext/>
        <w:pageBreakBefore/>
      </w:pPr>
      <w:r>
        <w:t>Quadro 1 - Justificativa individual dos pesos da configuração inicial</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Atributo</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Peso</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Justificativa do valor atribuído</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Efeito esperado na distância</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Valor do crédito</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6</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peso alto porque o porte do empréstimo é uma dimensão central para distinguir necessidades de crédito. O valor não foi elevado ao máximo, pois também existe relação com CREDIT_INCOME_RATIO e um peso excessivo duplicaria parcialmente a dimensão financeira.</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Após Min-Max, varia de 0 a √6 (2,449), ampliando diferenças de porte sem tornar o atributo dominante.</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Quantidade de filhos</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4</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peso moderado por representar composição familiar e possíveis necessidades de mobilidade. É relevante para os perfis comerciais, mas não deve superar as variáveis financeiras nem transformar famílias maiores em grupos isolados apenas pela contagem de filhos.</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Após Min-Max, varia de 0 a √4 (2,000), oferecendo influência intermediária.</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Posse de carro</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1</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peso 1 porque é nominal. No procedimento adotado, o peso nominal funciona como inclusão ou exclusão, sem multiplicação pela raiz. A variável é estratégica para o objetivo comercial, mas sua diferença binária já produz contribuição unitária entre N e Y.</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Categorias iguais contribuem com 0; categorias diferentes contribuem com 1.</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Idade</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5</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peso intermediário-alto porque separa estágios de vida e apresentou distribuição ampla, sem outliers relevantes. O valor 5 garante participação clara na formação dos perfis sem permitir que idade determine sozinha os agrupamentos.</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Após Min-Max, varia de 0 a √5 (2,236), destacando diferenças etárias de forma controlada.</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Relação crédito/renda</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7</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o maior peso por representar diretamente o comprometimento relativo entre crédito e renda, dimensão essencial para interpretar exposição financeira. O peso foi limitado a 7 porque é uma variável derivada e mantém relação com AMT_CREDIT.</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Após Min-Max, varia de 0 a √7 (2,646), tendo a maior influência numérica da configuração.</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noWrap/>
          </w:tcPr>
          <w:p>
            <w:pPr>
              <w:spacing w:before="0" w:after="0" w:line="240" w:lineRule="auto"/>
              <w:jc w:val="left"/>
            </w:pPr>
            <w:r>
              <w:rPr>
                <w:rFonts w:ascii="Times New Roman" w:hAnsi="Times New Roman" w:eastAsia="Times New Roman"/>
                <w:sz w:val="18"/>
              </w:rPr>
              <w:t>Créditos ativos</w:t>
            </w:r>
          </w:p>
        </w:tc>
        <w:tc>
          <w:tcPr>
            <w:tcW w:type="dxa" w:w="56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center"/>
            </w:pPr>
            <w:r>
              <w:rPr>
                <w:rFonts w:ascii="Times New Roman" w:hAnsi="Times New Roman" w:eastAsia="Times New Roman"/>
                <w:sz w:val="18"/>
              </w:rPr>
              <w:t>5</w:t>
            </w:r>
          </w:p>
        </w:tc>
        <w:tc>
          <w:tcPr>
            <w:tcW w:type="dxa" w:w="3969"/>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Recebeu peso intermediário-alto por medir a intensidade do relacionamento de crédito externo e separar clientes sem contratos ativos daqueles com múltiplos créditos. Não recebeu peso maior devido à assimetria à direita e aos poucos valores extremos.</w:t>
            </w:r>
          </w:p>
        </w:tc>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Após Min-Max, varia de 0 a √5 (2,236), valorizando exposição creditícia sem isolar excessivamente a cauda.</w:t>
            </w:r>
          </w:p>
        </w:tc>
      </w:tr>
    </w:tbl>
    <w:p>
      <w:pPr>
        <w:pStyle w:val="SourceFinal"/>
        <w:keepNext w:val="0"/>
      </w:pPr>
      <w:r>
        <w:t>Fonte: elaborado pelos autores a partir da análise exploratória, de configuracao_final.csv e da lógica de ponderação do p1.py.</w:t>
      </w:r>
    </w:p>
    <w:p>
      <w:pPr>
        <w:pStyle w:val="Heading2"/>
        <w:keepNext/>
      </w:pPr>
      <w:r>
        <w:t>5.2 Atributos mantidos apenas para interpretação</w:t>
      </w:r>
    </w:p>
    <w:p>
      <w:r>
        <w:rPr>
          <w:rFonts w:ascii="Times New Roman" w:hAnsi="Times New Roman" w:eastAsia="Times New Roman" w:cs="Times New Roman"/>
          <w:color w:val="000000"/>
          <w:sz w:val="24"/>
        </w:rPr>
        <w:t>AMT_INCOME_TOTAL foi mantido na base auxiliar para interpretação, mas não entrou diretamente na distância porque CREDIT_INCOME_RATIO já resume parte relevante da relação entre crédito e renda. Incluir simultaneamente as duas variáveis poderia aumentar artificialmente o peso da mesma dimensão econômica. SER_DIVIDA_ATRASADA, REGION_RATING_CLIENT e NAME_FAMILY_STATUS_COD também permaneceram disponíveis para leitura posterior dos perfis.</w:t>
      </w:r>
    </w:p>
    <w:p>
      <w:r>
        <w:rPr>
          <w:rFonts w:ascii="Times New Roman" w:hAnsi="Times New Roman" w:eastAsia="Times New Roman" w:cs="Times New Roman"/>
          <w:color w:val="000000"/>
          <w:sz w:val="24"/>
        </w:rPr>
        <w:t>NAME_FAMILY_STATUS_COD não foi tratado como variável ordinal, pois seus números representam categorias e não uma escala de intensidade. Pelo mesmo motivo, ele foi mantido fora do espaço de distância e usado apenas como informação descritiva.</w:t>
      </w:r>
    </w:p>
    <w:p>
      <w:r>
        <w:br w:type="page"/>
      </w:r>
    </w:p>
    <w:p>
      <w:pPr>
        <w:pStyle w:val="Heading1"/>
        <w:keepNext/>
      </w:pPr>
      <w:r>
        <w:rPr>
          <w:rFonts w:ascii="Times New Roman" w:hAnsi="Times New Roman" w:eastAsia="Times New Roman" w:cs="Times New Roman"/>
          <w:b/>
          <w:color w:val="000000"/>
          <w:sz w:val="24"/>
        </w:rPr>
        <w:t>6 ANÁLISE DA DISPERSÃO</w:t>
      </w:r>
    </w:p>
    <w:p>
      <w:r>
        <w:rPr>
          <w:rFonts w:ascii="Times New Roman" w:hAnsi="Times New Roman" w:eastAsia="Times New Roman" w:cs="Times New Roman"/>
          <w:color w:val="000000"/>
          <w:sz w:val="24"/>
        </w:rPr>
        <w:t>A exploração calculou mínimo, máximo, média, mediana, moda, desvio padrão, variância, quartis, percentis, ausentes, zeros, valores únicos, assimetria e outliers pelo intervalo interquartil. Os seis atributos finais não apresentaram valores ausentes na amostra.</w:t>
      </w:r>
    </w:p>
    <w:p>
      <w:r>
        <w:rPr>
          <w:rFonts w:ascii="Times New Roman" w:hAnsi="Times New Roman" w:eastAsia="Times New Roman" w:cs="Times New Roman"/>
          <w:color w:val="000000"/>
          <w:sz w:val="24"/>
        </w:rPr>
        <w:t>AMT_CREDIT variou de R$ 45.000 a R$ 3.600.000, com média aproximada de R$ 601.383 e mediana de R$ 512.721. A cauda superior e os valores extremos justificaram o reescalonamento antes da distância. CNT_CHILDREN concentrou 69,61% dos registros em zero, mas manteve grupos claros entre zero e cinco filhos. AGE_YEARS variou entre aproximadamente 21 e 69 anos e ofereceu boa separação de estágios de vida. CREDIT_INCOME_RATIO apresentou forte assimetria e máximo de 35,48 vezes a renda. SER_CREDITOS_ATIVOS variou de zero a 17, com média de 1,75 e cauda longa à direita.</w:t>
      </w:r>
    </w:p>
    <w:p>
      <w:pPr>
        <w:keepNext/>
        <w:spacing w:before="120" w:after="40"/>
        <w:ind w:firstLine="0"/>
        <w:jc w:val="center"/>
      </w:pPr>
      <w:r>
        <w:drawing>
          <wp:inline xmlns:a="http://schemas.openxmlformats.org/drawingml/2006/main" xmlns:pic="http://schemas.openxmlformats.org/drawingml/2006/picture">
            <wp:extent cx="5220000" cy="2153868"/>
            <wp:docPr id="1" name="Picture 1" descr="Figura 1 - Boxplot do valor do crédito." title="Figura 1 - Boxplot do valor do crédito."/>
            <wp:cNvGraphicFramePr>
              <a:graphicFrameLocks noChangeAspect="1"/>
            </wp:cNvGraphicFramePr>
            <a:graphic>
              <a:graphicData uri="http://schemas.openxmlformats.org/drawingml/2006/picture">
                <pic:pic>
                  <pic:nvPicPr>
                    <pic:cNvPr id="0" name="amt_credit_boxplot.png"/>
                    <pic:cNvPicPr/>
                  </pic:nvPicPr>
                  <pic:blipFill>
                    <a:blip r:embed="rId17"/>
                    <a:stretch>
                      <a:fillRect/>
                    </a:stretch>
                  </pic:blipFill>
                  <pic:spPr>
                    <a:xfrm>
                      <a:off x="0" y="0"/>
                      <a:ext cx="5220000" cy="2153868"/>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1 - Boxplot do valor do crédito.</w:t>
      </w:r>
    </w:p>
    <w:p>
      <w:pPr>
        <w:pStyle w:val="SourceFinal"/>
      </w:pPr>
      <w:r>
        <w:rPr>
          <w:rFonts w:ascii="Times New Roman" w:hAnsi="Times New Roman" w:eastAsia="Times New Roman" w:cs="Times New Roman"/>
          <w:i/>
          <w:color w:val="000000"/>
          <w:sz w:val="20"/>
        </w:rPr>
        <w:t>Fonte: elaborado pelos autores a partir da amostra de 10.000 registros.</w:t>
      </w:r>
    </w:p>
    <w:p>
      <w:pPr>
        <w:keepNext/>
        <w:spacing w:before="120" w:after="40"/>
        <w:ind w:firstLine="0"/>
        <w:jc w:val="center"/>
      </w:pPr>
      <w:r>
        <w:drawing>
          <wp:inline xmlns:a="http://schemas.openxmlformats.org/drawingml/2006/main" xmlns:pic="http://schemas.openxmlformats.org/drawingml/2006/picture">
            <wp:extent cx="5220000" cy="2964646"/>
            <wp:docPr id="2" name="Picture 2" descr="Figura 2 - Histograma da quantidade de filhos." title="Figura 2 - Histograma da quantidade de filhos."/>
            <wp:cNvGraphicFramePr>
              <a:graphicFrameLocks noChangeAspect="1"/>
            </wp:cNvGraphicFramePr>
            <a:graphic>
              <a:graphicData uri="http://schemas.openxmlformats.org/drawingml/2006/picture">
                <pic:pic>
                  <pic:nvPicPr>
                    <pic:cNvPr id="0" name="cnt_children_histograma.png"/>
                    <pic:cNvPicPr/>
                  </pic:nvPicPr>
                  <pic:blipFill>
                    <a:blip r:embed="rId18"/>
                    <a:stretch>
                      <a:fillRect/>
                    </a:stretch>
                  </pic:blipFill>
                  <pic:spPr>
                    <a:xfrm>
                      <a:off x="0" y="0"/>
                      <a:ext cx="5220000" cy="2964646"/>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2 - Histograma da quantidade de filhos.</w:t>
      </w:r>
    </w:p>
    <w:p>
      <w:pPr>
        <w:pStyle w:val="SourceFinal"/>
      </w:pPr>
      <w:r>
        <w:rPr>
          <w:rFonts w:ascii="Times New Roman" w:hAnsi="Times New Roman" w:eastAsia="Times New Roman" w:cs="Times New Roman"/>
          <w:i/>
          <w:color w:val="000000"/>
          <w:sz w:val="20"/>
        </w:rPr>
        <w:t>Fonte: elaborado pelos autores a partir da amostra de 10.000 registros.</w:t>
      </w:r>
    </w:p>
    <w:p>
      <w:pPr>
        <w:keepNext/>
        <w:spacing w:before="120" w:after="40"/>
        <w:ind w:firstLine="0"/>
        <w:jc w:val="center"/>
      </w:pPr>
      <w:r>
        <w:drawing>
          <wp:inline xmlns:a="http://schemas.openxmlformats.org/drawingml/2006/main" xmlns:pic="http://schemas.openxmlformats.org/drawingml/2006/picture">
            <wp:extent cx="5220000" cy="2966504"/>
            <wp:docPr id="3" name="Picture 3" descr="Figura 3 - Histograma da idade em anos." title="Figura 3 - Histograma da idade em anos."/>
            <wp:cNvGraphicFramePr>
              <a:graphicFrameLocks noChangeAspect="1"/>
            </wp:cNvGraphicFramePr>
            <a:graphic>
              <a:graphicData uri="http://schemas.openxmlformats.org/drawingml/2006/picture">
                <pic:pic>
                  <pic:nvPicPr>
                    <pic:cNvPr id="0" name="age_years_histograma.png"/>
                    <pic:cNvPicPr/>
                  </pic:nvPicPr>
                  <pic:blipFill>
                    <a:blip r:embed="rId19"/>
                    <a:stretch>
                      <a:fillRect/>
                    </a:stretch>
                  </pic:blipFill>
                  <pic:spPr>
                    <a:xfrm>
                      <a:off x="0" y="0"/>
                      <a:ext cx="5220000" cy="2966504"/>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3 - Histograma da idade em anos.</w:t>
      </w:r>
    </w:p>
    <w:p>
      <w:pPr>
        <w:pStyle w:val="SourceFinal"/>
      </w:pPr>
      <w:r>
        <w:rPr>
          <w:rFonts w:ascii="Times New Roman" w:hAnsi="Times New Roman" w:eastAsia="Times New Roman" w:cs="Times New Roman"/>
          <w:i/>
          <w:color w:val="000000"/>
          <w:sz w:val="20"/>
        </w:rPr>
        <w:t>Fonte: elaborado pelos autores a partir da amostra de 10.000 registros.</w:t>
      </w:r>
    </w:p>
    <w:p>
      <w:pPr>
        <w:keepNext/>
        <w:spacing w:before="120" w:after="40"/>
        <w:ind w:firstLine="0"/>
        <w:jc w:val="center"/>
      </w:pPr>
      <w:r>
        <w:drawing>
          <wp:inline xmlns:a="http://schemas.openxmlformats.org/drawingml/2006/main" xmlns:pic="http://schemas.openxmlformats.org/drawingml/2006/picture">
            <wp:extent cx="5220000" cy="2149026"/>
            <wp:docPr id="4" name="Picture 4" descr="Figura 4 - Boxplot da relação crédito/renda." title="Figura 4 - Boxplot da relação crédito/renda."/>
            <wp:cNvGraphicFramePr>
              <a:graphicFrameLocks noChangeAspect="1"/>
            </wp:cNvGraphicFramePr>
            <a:graphic>
              <a:graphicData uri="http://schemas.openxmlformats.org/drawingml/2006/picture">
                <pic:pic>
                  <pic:nvPicPr>
                    <pic:cNvPr id="0" name="credit_income_ratio_boxplot.png"/>
                    <pic:cNvPicPr/>
                  </pic:nvPicPr>
                  <pic:blipFill>
                    <a:blip r:embed="rId20"/>
                    <a:stretch>
                      <a:fillRect/>
                    </a:stretch>
                  </pic:blipFill>
                  <pic:spPr>
                    <a:xfrm>
                      <a:off x="0" y="0"/>
                      <a:ext cx="5220000" cy="2149026"/>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4 - Boxplot da relação crédito/renda.</w:t>
      </w:r>
    </w:p>
    <w:p>
      <w:pPr>
        <w:pStyle w:val="SourceFinal"/>
      </w:pPr>
      <w:r>
        <w:rPr>
          <w:rFonts w:ascii="Times New Roman" w:hAnsi="Times New Roman" w:eastAsia="Times New Roman" w:cs="Times New Roman"/>
          <w:i/>
          <w:color w:val="000000"/>
          <w:sz w:val="20"/>
        </w:rPr>
        <w:t>Fonte: elaborado pelos autores a partir da amostra de 10.000 registros.</w:t>
      </w:r>
    </w:p>
    <w:p>
      <w:pPr>
        <w:keepNext/>
        <w:spacing w:before="120" w:after="40"/>
        <w:ind w:firstLine="0"/>
        <w:jc w:val="center"/>
      </w:pPr>
      <w:r>
        <w:drawing>
          <wp:inline xmlns:a="http://schemas.openxmlformats.org/drawingml/2006/main" xmlns:pic="http://schemas.openxmlformats.org/drawingml/2006/picture">
            <wp:extent cx="5220000" cy="2964646"/>
            <wp:docPr id="5" name="Picture 5" descr="Figura 5 - Histograma da quantidade de créditos ativos." title="Figura 5 - Histograma da quantidade de créditos ativos."/>
            <wp:cNvGraphicFramePr>
              <a:graphicFrameLocks noChangeAspect="1"/>
            </wp:cNvGraphicFramePr>
            <a:graphic>
              <a:graphicData uri="http://schemas.openxmlformats.org/drawingml/2006/picture">
                <pic:pic>
                  <pic:nvPicPr>
                    <pic:cNvPr id="0" name="ser_creditos_ativos_histograma.png"/>
                    <pic:cNvPicPr/>
                  </pic:nvPicPr>
                  <pic:blipFill>
                    <a:blip r:embed="rId21"/>
                    <a:stretch>
                      <a:fillRect/>
                    </a:stretch>
                  </pic:blipFill>
                  <pic:spPr>
                    <a:xfrm>
                      <a:off x="0" y="0"/>
                      <a:ext cx="5220000" cy="2964646"/>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5 - Histograma da quantidade de créditos ativos.</w:t>
      </w:r>
    </w:p>
    <w:p>
      <w:pPr>
        <w:pStyle w:val="SourceFinal"/>
      </w:pPr>
      <w:r>
        <w:rPr>
          <w:rFonts w:ascii="Times New Roman" w:hAnsi="Times New Roman" w:eastAsia="Times New Roman" w:cs="Times New Roman"/>
          <w:i/>
          <w:color w:val="000000"/>
          <w:sz w:val="20"/>
        </w:rPr>
        <w:t>Fonte: elaborado pelos autores a partir da amostra de 10.000 registros.</w:t>
      </w:r>
    </w:p>
    <w:p>
      <w:r>
        <w:rPr>
          <w:rFonts w:ascii="Times New Roman" w:hAnsi="Times New Roman" w:eastAsia="Times New Roman" w:cs="Times New Roman"/>
          <w:color w:val="000000"/>
          <w:sz w:val="24"/>
        </w:rPr>
        <w:t>Entre os atributos mantidos apenas para interpretação, AMT_INCOME_TOTAL apresentou assimetria extrema devido a poucos valores muito altos; SER_DIVIDA_ATRASADA concentrou 98,8% dos registros em zero; e REGION_RATING_CLIENT e NAME_FAMILY_STATUS_COD são variáveis categóricas codificadas numericamente, para as quais a leitura de outliers por intervalo interquartil não possui significado semântico direto.</w:t>
      </w:r>
    </w:p>
    <w:p>
      <w:r>
        <w:br w:type="page"/>
      </w:r>
    </w:p>
    <w:p>
      <w:pPr>
        <w:pStyle w:val="Heading1"/>
        <w:keepNext/>
      </w:pPr>
      <w:r>
        <w:rPr>
          <w:rFonts w:ascii="Times New Roman" w:hAnsi="Times New Roman" w:eastAsia="Times New Roman" w:cs="Times New Roman"/>
          <w:b/>
          <w:color w:val="000000"/>
          <w:sz w:val="24"/>
        </w:rPr>
        <w:t>7 PESOS E TRANSFORMAÇÕES</w:t>
      </w:r>
    </w:p>
    <w:p>
      <w:r>
        <w:rPr>
          <w:rFonts w:ascii="Times New Roman" w:hAnsi="Times New Roman" w:eastAsia="Times New Roman" w:cs="Times New Roman"/>
          <w:color w:val="000000"/>
          <w:sz w:val="24"/>
        </w:rPr>
        <w:t>O preparo da base reproduziu a lógica do script didático p1.py fornecido pelo professor e foi executado de maneira rastreável. O objetivo foi entregar ao WEKA uma base já limpa, selecionada, reescalada e ponderada, evitando que o ambiente de clusterização precisasse repetir transformações ou alterar a influência relativa definida pelos autores.</w:t>
      </w:r>
    </w:p>
    <w:p>
      <w:pPr>
        <w:pStyle w:val="Heading2"/>
        <w:keepNext/>
      </w:pPr>
      <w:r>
        <w:t>7.1 Pipeline aplicado à base</w:t>
      </w:r>
    </w:p>
    <w:p>
      <w:pPr>
        <w:ind w:left="340" w:hanging="340"/>
      </w:pPr>
      <w:r>
        <w:t>1. A base pré-processada do Trabalho 1 foi usada como origem, sem modificação do arquivo original.</w:t>
      </w:r>
    </w:p>
    <w:p>
      <w:pPr>
        <w:ind w:left="340" w:hanging="340"/>
      </w:pPr>
      <w:r>
        <w:t>2. Foi criada uma amostra aleatória sem reposição de 10.000 registros, com random_state = 42 e identificador ROW_ID_AMOSTRA.</w:t>
      </w:r>
    </w:p>
    <w:p>
      <w:pPr>
        <w:ind w:left="340" w:hanging="340"/>
      </w:pPr>
      <w:r>
        <w:t>3. SK_ID_CURR, TARGET e ROW_ID_AMOSTRA foram preservados apenas na camada auxiliar de análise e excluídos da base submetida ao WEKA.</w:t>
      </w:r>
    </w:p>
    <w:p>
      <w:pPr>
        <w:ind w:left="340" w:hanging="340"/>
      </w:pPr>
      <w:r>
        <w:t>4. Dez atributos candidatos foram avaliados por estatísticas descritivas, histogramas, boxplots, assimetria, valores ausentes, zeros, cardinalidade e interpretação de negócio.</w:t>
      </w:r>
    </w:p>
    <w:p>
      <w:pPr>
        <w:ind w:left="340" w:hanging="340"/>
      </w:pPr>
      <w:r>
        <w:t>5. Seis atributos foram aprovados e receberam os pesos iniciais documentados na Tabela 3 e no Quadro 1.</w:t>
      </w:r>
    </w:p>
    <w:p>
      <w:pPr>
        <w:ind w:left="340" w:hanging="340"/>
      </w:pPr>
      <w:r>
        <w:t>6. Cada atributo numérico foi convertido para a escala de 0 a 1 pela normalização Min-Max, impedindo que grandezas monetárias dominassem a distância apenas por sua unidade original.</w:t>
      </w:r>
    </w:p>
    <w:p>
      <w:pPr>
        <w:ind w:left="340" w:hanging="340"/>
      </w:pPr>
      <w:r>
        <w:t>7. Após a normalização, cada atributo numérico foi multiplicado pela raiz quadrada do peso, de modo que o quadrado da diferença reproduzisse exatamente o peso inteiro escolhido.</w:t>
      </w:r>
    </w:p>
    <w:p>
      <w:pPr>
        <w:ind w:left="340" w:hanging="340"/>
      </w:pPr>
      <w:r>
        <w:t>8. FLAG_OWN_CAR_COD foi recuperado como nominal N/Y e mantido sem multiplicação numérica.</w:t>
      </w:r>
    </w:p>
    <w:p>
      <w:pPr>
        <w:ind w:left="340" w:hanging="340"/>
      </w:pPr>
      <w:r>
        <w:t>9. A base preparada foi validada com 10.000 linhas, seis atributos, ausência de identificadores e de TARGET, e então submetida à Estatística de Hopkins antes das clusterizações.</w:t>
      </w:r>
    </w:p>
    <w:p>
      <w:r>
        <w:rPr>
          <w:rFonts w:ascii="Times New Roman" w:hAnsi="Times New Roman" w:eastAsia="Times New Roman" w:cs="Times New Roman"/>
          <w:color w:val="000000"/>
          <w:sz w:val="24"/>
        </w:rPr>
        <w:t>Formalmente, para cada atributo numérico x, foi utilizada a transformação x' = ((x - mín(x)) / (máx(x) - mín(x))) × √peso. Assim, a diferença entre dois registros no atributo transformado é √peso vezes a diferença normalizada; quando essa diferença é elevada ao quadrado na distância euclidiana, sua contribuição torna-se peso × diferença_normalizada².</w:t>
      </w:r>
    </w:p>
    <w:p>
      <w:r>
        <w:rPr>
          <w:rFonts w:ascii="Times New Roman" w:hAnsi="Times New Roman" w:eastAsia="Times New Roman" w:cs="Times New Roman"/>
          <w:color w:val="000000"/>
          <w:sz w:val="24"/>
        </w:rPr>
        <w:t>Para FLAG_OWN_CAR_COD, o dicionário do Trabalho 1 associa 0 à categoria N, indicando ausência de carro, e 1 à categoria Y, indicando posse de carro. O preparo recuperou esses rótulos e preservou o atributo como nominal. O peso 1 representa inclusão sem ampliação adicional. Na distância nominal do WEKA, categorias iguais contribuem com zero e categorias diferentes com uma unidade. Para as métricas posteriores em Python, N/Y foi temporariamente representado de forma matematicamente equivalente, sem alterar os arquivos exportados pelo WEKA.</w:t>
      </w:r>
    </w:p>
    <w:p>
      <w:r>
        <w:rPr>
          <w:rFonts w:ascii="Times New Roman" w:hAnsi="Times New Roman" w:eastAsia="Times New Roman" w:cs="Times New Roman"/>
          <w:color w:val="000000"/>
          <w:sz w:val="24"/>
        </w:rPr>
        <w:t>Embora os scripts previssem imputação por mediana para campos numéricos e por moda para o campo nominal, nenhum valor dos seis atributos finais precisou ser modificado, pois não havia ausentes na amostra. A base final manteve 10.000 registros, a mesma ordem da amostra original e somente os seis atributos aprovados. SK_ID_CURR, TARGET e ROW_ID_AMOSTRA permaneceram fora da base destinada ao WEKA durante todo o agrupamento.</w:t>
      </w:r>
    </w:p>
    <w:p>
      <w:r>
        <w:br w:type="page"/>
      </w:r>
    </w:p>
    <w:p>
      <w:pPr>
        <w:pStyle w:val="Heading1"/>
        <w:keepNext/>
      </w:pPr>
      <w:r>
        <w:rPr>
          <w:rFonts w:ascii="Times New Roman" w:hAnsi="Times New Roman" w:eastAsia="Times New Roman" w:cs="Times New Roman"/>
          <w:b/>
          <w:color w:val="000000"/>
          <w:sz w:val="24"/>
        </w:rPr>
        <w:t>8 ESTATÍSTICA DE HOPKINS</w:t>
      </w:r>
    </w:p>
    <w:p>
      <w:r>
        <w:rPr>
          <w:rFonts w:ascii="Times New Roman" w:hAnsi="Times New Roman" w:eastAsia="Times New Roman" w:cs="Times New Roman"/>
          <w:color w:val="000000"/>
          <w:sz w:val="24"/>
        </w:rPr>
        <w:t>A Estatística de Hopkins verifica se a distribuição dos dados se afasta de um padrão espacial aproximadamente uniforme. A implementação própria preservou a fórmula e a lógica do p2.py, mas tornou toda a aleatoriedade explícita por meio de numpy.random.default_rng(42). Foram selecionados 100 registros reais e gerados 100 pontos virtuais, equivalentes a 1% da base de 10.000 registros.</w:t>
      </w:r>
    </w:p>
    <w:p>
      <w:pPr>
        <w:pStyle w:val="TableCaptionFinal"/>
        <w:keepNext/>
      </w:pPr>
      <w:r>
        <w:rPr>
          <w:rFonts w:ascii="Times New Roman" w:hAnsi="Times New Roman" w:eastAsia="Times New Roman" w:cs="Times New Roman"/>
          <w:b/>
          <w:color w:val="000000"/>
          <w:sz w:val="20"/>
        </w:rPr>
        <w:t>Tabela 4 - Resultado da Estatística de Hopkins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Tentativa</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Hopkins</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Limiar</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Amostra real</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Amostra virtual</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Decisão</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1</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0,941745479089</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0,70</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100</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Aprovada para o WEKA</w:t>
            </w:r>
          </w:p>
        </w:tc>
      </w:tr>
    </w:tbl>
    <w:p>
      <w:pPr>
        <w:pStyle w:val="SourceFinal"/>
      </w:pPr>
      <w:r>
        <w:rPr>
          <w:rFonts w:ascii="Times New Roman" w:hAnsi="Times New Roman" w:eastAsia="Times New Roman" w:cs="Times New Roman"/>
          <w:i/>
          <w:color w:val="000000"/>
          <w:sz w:val="20"/>
        </w:rPr>
        <w:t>Fonte: elaborado pelos autores a partir de hopkins_tentativa_01.csv.</w:t>
      </w:r>
    </w:p>
    <w:p>
      <w:pPr>
        <w:pStyle w:val="Heading2"/>
        <w:keepNext/>
      </w:pPr>
      <w:r>
        <w:t>8.1 Regra de decisão e manutenção da configuração</w:t>
      </w:r>
    </w:p>
    <w:p>
      <w:pPr/>
      <w:r>
        <w:t>O enunciado determinava que uma configuração com Hopkins inferior a 0,7 deveria retornar ao Passo 1 para revisão dos campos ou dos pesos. Por isso, a avaliação foi tratada como uma etapa de controle da representação, e não como mecanismo automático para escolher o maior peso possível.</w:t>
      </w:r>
    </w:p>
    <w:p>
      <w:pPr>
        <w:pStyle w:val="TableCaptionFinal"/>
        <w:keepNext/>
      </w:pPr>
      <w:r>
        <w:t>Quadro 2 - Regra de decisão adotada após o cálculo de Hopkins</w:t>
      </w:r>
    </w:p>
    <w:tbl>
      <w:tblPr>
        <w:tblW w:type="auto" w:w="0"/>
        <w:jc w:val="center"/>
        <w:tblLayout w:type="fixed"/>
        <w:tblLook w:firstColumn="1" w:firstRow="1" w:lastColumn="0" w:lastRow="0" w:noHBand="0" w:noVBand="1" w:val="04A0"/>
      </w:tblPr>
      <w:tblGrid>
        <w:gridCol w:w="3024"/>
        <w:gridCol w:w="3024"/>
        <w:gridCol w:w="3024"/>
      </w:tblGrid>
      <w:tr>
        <w:trPr>
          <w:tblHeader w:val="true"/>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Resultado de Hopkins</w:t>
            </w:r>
          </w:p>
        </w:tc>
        <w:tc>
          <w:tcPr>
            <w:tcW w:type="dxa" w:w="340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Interpretação operacional</w:t>
            </w:r>
          </w:p>
        </w:tc>
        <w:tc>
          <w:tcPr>
            <w:tcW w:type="dxa" w:w="3685"/>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shd w:fill="D9D9D9"/>
          </w:tcPr>
          <w:p>
            <w:pPr>
              <w:spacing w:before="0" w:after="0" w:line="240" w:lineRule="auto"/>
              <w:jc w:val="center"/>
            </w:pPr>
            <w:r>
              <w:rPr>
                <w:rFonts w:ascii="Times New Roman" w:hAnsi="Times New Roman" w:eastAsia="Times New Roman"/>
                <w:b/>
                <w:sz w:val="18"/>
              </w:rPr>
              <w:t>Ação prevista</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H &lt; 0,70</w:t>
            </w:r>
          </w:p>
        </w:tc>
        <w:tc>
          <w:tcPr>
            <w:tcW w:type="dxa" w:w="340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 representação não apresenta tendência de agrupamento suficiente segundo o limiar do enunciado.</w:t>
            </w:r>
          </w:p>
        </w:tc>
        <w:tc>
          <w:tcPr>
            <w:tcW w:type="dxa" w:w="3685"/>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Revisar atributos e pesos, gerar uma nova base sem sobrescrever a anterior e repetir Hopkins.</w:t>
            </w:r>
          </w:p>
        </w:tc>
      </w:tr>
      <w:tr>
        <w:trPr>
          <w:cantSplit/>
          <w:cantSplit/>
        </w:trPr>
        <w:tc>
          <w:tcPr>
            <w:tcW w:type="dxa" w:w="2268"/>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H ≥ 0,70</w:t>
            </w:r>
          </w:p>
        </w:tc>
        <w:tc>
          <w:tcPr>
            <w:tcW w:type="dxa" w:w="3402"/>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A representação apresenta tendência de agrupamento suficiente para prosseguir.</w:t>
            </w:r>
          </w:p>
        </w:tc>
        <w:tc>
          <w:tcPr>
            <w:tcW w:type="dxa" w:w="3685"/>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before="0" w:after="0" w:line="240" w:lineRule="auto"/>
              <w:jc w:val="left"/>
            </w:pPr>
            <w:r>
              <w:rPr>
                <w:rFonts w:ascii="Times New Roman" w:hAnsi="Times New Roman" w:eastAsia="Times New Roman"/>
                <w:sz w:val="18"/>
              </w:rPr>
              <w:t>Manter a configuração, registrar o resultado e preparar a base para DBSCAN, SimpleKMeans e EM.</w:t>
            </w:r>
          </w:p>
        </w:tc>
      </w:tr>
    </w:tbl>
    <w:p>
      <w:pPr>
        <w:pStyle w:val="SourceFinal"/>
      </w:pPr>
      <w:r>
        <w:t>Fonte: elaborado pelos autores a partir do pipeline definido no enunciado do Trabalho Prático 3.</w:t>
      </w:r>
    </w:p>
    <w:p>
      <w:r>
        <w:rPr>
          <w:rFonts w:ascii="Times New Roman" w:hAnsi="Times New Roman" w:eastAsia="Times New Roman" w:cs="Times New Roman"/>
          <w:color w:val="000000"/>
          <w:sz w:val="24"/>
        </w:rPr>
        <w:t>Foi testada uma única configuração ponderada, definida previamente pela análise exploratória. Não houve uma tentativa anterior com todos os pesos iguais a 1. Duas execuções independentes dessa configuração produziram exatamente 0,9417454790893174, com diferença absoluta zero entre elas. Como o resultado ficou muito acima do limiar de 0,7, os atributos e pesos foram mantidos e não foi necessária uma segunda tentativa. Esse resultado valida a tendência de agrupamento da representação escolhida, mas não prova que os pesos sejam matematicamente ótimos, não determina a quantidade ideal de clusters e não garante utilidade comercial.</w:t>
      </w:r>
    </w:p>
    <w:p>
      <w:r>
        <w:br w:type="page"/>
      </w:r>
    </w:p>
    <w:p>
      <w:pPr>
        <w:pStyle w:val="Heading1"/>
        <w:keepNext/>
      </w:pPr>
      <w:r>
        <w:rPr>
          <w:rFonts w:ascii="Times New Roman" w:hAnsi="Times New Roman" w:eastAsia="Times New Roman" w:cs="Times New Roman"/>
          <w:b/>
          <w:color w:val="000000"/>
          <w:sz w:val="24"/>
        </w:rPr>
        <w:t>9 DESCRIÇÃO DO DBSCAN</w:t>
      </w:r>
    </w:p>
    <w:p>
      <w:r>
        <w:rPr>
          <w:rFonts w:ascii="Times New Roman" w:hAnsi="Times New Roman" w:eastAsia="Times New Roman" w:cs="Times New Roman"/>
          <w:color w:val="000000"/>
          <w:sz w:val="24"/>
        </w:rPr>
        <w:t>O DBSCAN, Density-Based Spatial Clustering of Applications with Noise, é um método baseado em densidade que expande regiões contendo quantidade suficiente de vizinhos e marca como ruído os pontos localizados em regiões de baixa densidade. Seus principais parâmetros são epsilon, que define o raio de vizinhança, e minPoints, que define a quantidade mínima de pontos necessária para formar uma região densa.</w:t>
      </w:r>
    </w:p>
    <w:p>
      <w:r>
        <w:rPr>
          <w:rFonts w:ascii="Times New Roman" w:hAnsi="Times New Roman" w:eastAsia="Times New Roman" w:cs="Times New Roman"/>
          <w:color w:val="000000"/>
          <w:sz w:val="24"/>
        </w:rPr>
        <w:t>O método não exige a definição prévia do número de grupos e pode identificar clusters de formatos não esféricos. Em contrapartida, é sensível à escala dos atributos e à combinação entre epsilon e minPoints. Neste trabalho, a escala e os pesos foram definidos antes da execução, e a normalização interna da distância do WEKA foi desativada para preservar a ponderação já aplicada.</w:t>
      </w:r>
    </w:p>
    <w:p>
      <w:r>
        <w:br w:type="page"/>
      </w:r>
    </w:p>
    <w:p>
      <w:pPr>
        <w:pStyle w:val="Heading1"/>
        <w:keepNext/>
      </w:pPr>
      <w:r>
        <w:rPr>
          <w:rFonts w:ascii="Times New Roman" w:hAnsi="Times New Roman" w:eastAsia="Times New Roman" w:cs="Times New Roman"/>
          <w:b/>
          <w:color w:val="000000"/>
          <w:sz w:val="24"/>
        </w:rPr>
        <w:t>10 DESCRIÇÃO DO SIMPLEKMEANS</w:t>
      </w:r>
    </w:p>
    <w:p>
      <w:r>
        <w:rPr>
          <w:rFonts w:ascii="Times New Roman" w:hAnsi="Times New Roman" w:eastAsia="Times New Roman" w:cs="Times New Roman"/>
          <w:color w:val="000000"/>
          <w:sz w:val="24"/>
        </w:rPr>
        <w:t>O K-Means particiona os registros em K grupos e busca reduzir iterativamente a soma dos quadrados das distâncias de cada ponto ao centroide de seu grupo. Cada iteração alterna a atribuição ao centro mais próximo e a atualização dos centroides.</w:t>
      </w:r>
    </w:p>
    <w:p>
      <w:r>
        <w:rPr>
          <w:rFonts w:ascii="Times New Roman" w:hAnsi="Times New Roman" w:eastAsia="Times New Roman" w:cs="Times New Roman"/>
          <w:color w:val="000000"/>
          <w:sz w:val="24"/>
        </w:rPr>
        <w:t>O método é computacionalmente eficiente e produz grupos diretamente utilizáveis, mas depende da escolha prévia de K, da inicialização dos centros e da geometria euclidiana do espaço. O SimpleKMeans foi testado com K = 8, K = 9 e K = 10. A configuração com nove grupos foi escolhida como compromisso entre métricas, equilíbrio, interpretabilidade e comparabilidade, e não como um valor perfeito ou universal.</w:t>
      </w:r>
    </w:p>
    <w:p>
      <w:r>
        <w:br w:type="page"/>
      </w:r>
    </w:p>
    <w:p>
      <w:pPr>
        <w:pStyle w:val="Heading1"/>
        <w:keepNext/>
      </w:pPr>
      <w:r>
        <w:rPr>
          <w:rFonts w:ascii="Times New Roman" w:hAnsi="Times New Roman" w:eastAsia="Times New Roman" w:cs="Times New Roman"/>
          <w:b/>
          <w:color w:val="000000"/>
          <w:sz w:val="24"/>
        </w:rPr>
        <w:t>11 DESCRIÇÃO DO EM</w:t>
      </w:r>
    </w:p>
    <w:p>
      <w:r>
        <w:rPr>
          <w:rFonts w:ascii="Times New Roman" w:hAnsi="Times New Roman" w:eastAsia="Times New Roman" w:cs="Times New Roman"/>
          <w:color w:val="000000"/>
          <w:sz w:val="24"/>
        </w:rPr>
        <w:t>O algoritmo Expectation-Maximization estima parâmetros de modelos probabilísticos com variáveis latentes por etapas alternadas de expectativa e maximização. Na clusterização, cada grupo é representado por um componente de uma mistura probabilística, e cada registro recebe probabilidades internas de pertencimento aos componentes.</w:t>
      </w:r>
    </w:p>
    <w:p>
      <w:r>
        <w:rPr>
          <w:rFonts w:ascii="Times New Roman" w:hAnsi="Times New Roman" w:eastAsia="Times New Roman" w:cs="Times New Roman"/>
          <w:color w:val="000000"/>
          <w:sz w:val="24"/>
        </w:rPr>
        <w:t>Embora o EM produza probabilidades de pertencimento, o filtro AddCluster do WEKA exportou um rótulo rígido por registro, correspondente ao componente de maior probabilidade. As avaliações posteriores usam esses rótulos rígidos, não as probabilidades internas. Foram testadas configurações com 8, 9 e 10 grupos. O valor anômalo registrado para K = 10 não pôde ser tratado como evidência probabilística conclusiva porque a saída textual bruta do WEKA não foi preservada.</w:t>
      </w:r>
    </w:p>
    <w:p>
      <w:r>
        <w:br w:type="page"/>
      </w:r>
    </w:p>
    <w:p>
      <w:pPr>
        <w:pStyle w:val="Heading1"/>
        <w:keepNext/>
      </w:pPr>
      <w:r>
        <w:rPr>
          <w:rFonts w:ascii="Times New Roman" w:hAnsi="Times New Roman" w:eastAsia="Times New Roman" w:cs="Times New Roman"/>
          <w:b/>
          <w:color w:val="000000"/>
          <w:sz w:val="24"/>
        </w:rPr>
        <w:t>12 CONFIGURAÇÕES UTILIZADAS</w:t>
      </w:r>
    </w:p>
    <w:p>
      <w:r>
        <w:rPr>
          <w:rFonts w:ascii="Times New Roman" w:hAnsi="Times New Roman" w:eastAsia="Times New Roman" w:cs="Times New Roman"/>
          <w:color w:val="000000"/>
          <w:sz w:val="24"/>
        </w:rPr>
        <w:t>As execuções foram realizadas no WEKA 3.8.7 com o filtro weka.filters.unsupervised.attribute.AddCluster. Para o DBSCAN foi utilizado o pacote optics_dbScan 1.0.6.</w:t>
      </w:r>
    </w:p>
    <w:p>
      <w:r>
        <w:rPr>
          <w:rFonts w:ascii="Times New Roman" w:hAnsi="Times New Roman" w:eastAsia="Times New Roman" w:cs="Times New Roman"/>
          <w:color w:val="000000"/>
          <w:sz w:val="24"/>
        </w:rPr>
        <w:t>A distância euclidiana foi configurada explicitamente no DBSCAN e no SimpleKMeans por meio de weka.core.EuclideanDistance -R first-last -D. A opção -D desativou a normalização interna do WEKA e preservou os pesos aplicados no pré-processamento. O EM, por sua vez, realizou agrupamento probabilístico por modelos de mistura e não utiliza a distância euclidiana como parâmetro direto da mesma forma que os outros dois métodos.</w:t>
      </w:r>
    </w:p>
    <w:p>
      <w:pPr>
        <w:pStyle w:val="TableCaptionFinal"/>
        <w:keepNext/>
      </w:pPr>
      <w:r>
        <w:rPr>
          <w:rFonts w:ascii="Times New Roman" w:hAnsi="Times New Roman" w:eastAsia="Times New Roman" w:cs="Times New Roman"/>
          <w:b/>
          <w:color w:val="000000"/>
          <w:sz w:val="20"/>
        </w:rPr>
        <w:t>Tabela 5 - Configurações testadas no DBSCAN</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Teste</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epsilon</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minPoints</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Clusters</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Ruídos</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Tempo (s)</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1</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0,2500</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396</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7,805</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2 - escolhido</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0,2743</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296</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7,740</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3</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0,3000</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217</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6,491</w:t>
            </w:r>
          </w:p>
        </w:tc>
      </w:tr>
    </w:tbl>
    <w:p>
      <w:pPr>
        <w:pStyle w:val="SourceFinal"/>
      </w:pPr>
      <w:r>
        <w:rPr>
          <w:rFonts w:ascii="Times New Roman" w:hAnsi="Times New Roman" w:eastAsia="Times New Roman" w:cs="Times New Roman"/>
          <w:i/>
          <w:color w:val="000000"/>
          <w:sz w:val="20"/>
        </w:rPr>
        <w:t>Fonte: elaborado pelos autores a partir de configuracoes_dbscan.csv.</w:t>
      </w:r>
    </w:p>
    <w:p>
      <w:r>
        <w:rPr>
          <w:rFonts w:ascii="Times New Roman" w:hAnsi="Times New Roman" w:eastAsia="Times New Roman" w:cs="Times New Roman"/>
          <w:color w:val="000000"/>
          <w:sz w:val="24"/>
        </w:rPr>
        <w:t>O valor completo do teste escolhido, 0,274264329676, foi reproduzido como o joelho geométrico da curva ordenada de distância ao sexto vizinho, no percentil 94,38%. Os valores 0,25 e 0,30 documentam a sensibilidade do parâmetro e mostram que a redução de ruídos não foi o único critério de escolha.</w:t>
      </w:r>
    </w:p>
    <w:p>
      <w:pPr>
        <w:keepNext/>
        <w:spacing w:before="120" w:after="40"/>
        <w:ind w:firstLine="0"/>
        <w:jc w:val="center"/>
      </w:pPr>
      <w:r>
        <w:drawing>
          <wp:inline xmlns:a="http://schemas.openxmlformats.org/drawingml/2006/main" xmlns:pic="http://schemas.openxmlformats.org/drawingml/2006/picture">
            <wp:extent cx="5220000" cy="3060138"/>
            <wp:docPr id="6" name="Picture 6" descr="Figura 6 - Curva k-distance do DBSCAN e ponto de joelho." title="Figura 6 - Curva k-distance do DBSCAN e ponto de joelho."/>
            <wp:cNvGraphicFramePr>
              <a:graphicFrameLocks noChangeAspect="1"/>
            </wp:cNvGraphicFramePr>
            <a:graphic>
              <a:graphicData uri="http://schemas.openxmlformats.org/drawingml/2006/picture">
                <pic:pic>
                  <pic:nvPicPr>
                    <pic:cNvPr id="0" name="k_distance_dbscan.png"/>
                    <pic:cNvPicPr/>
                  </pic:nvPicPr>
                  <pic:blipFill>
                    <a:blip r:embed="rId22"/>
                    <a:stretch>
                      <a:fillRect/>
                    </a:stretch>
                  </pic:blipFill>
                  <pic:spPr>
                    <a:xfrm>
                      <a:off x="0" y="0"/>
                      <a:ext cx="5220000" cy="3060138"/>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6 - Curva k-distance do DBSCAN e ponto de joelho.</w:t>
      </w:r>
    </w:p>
    <w:p>
      <w:pPr>
        <w:pStyle w:val="SourceFinal"/>
      </w:pPr>
      <w:r>
        <w:rPr>
          <w:rFonts w:ascii="Times New Roman" w:hAnsi="Times New Roman" w:eastAsia="Times New Roman" w:cs="Times New Roman"/>
          <w:i/>
          <w:color w:val="000000"/>
          <w:sz w:val="20"/>
        </w:rPr>
        <w:t>Fonte: elaborado pelos autores a partir de k_distance_dbscan.csv.</w:t>
      </w:r>
    </w:p>
    <w:p>
      <w:pPr>
        <w:pStyle w:val="TableCaptionFinal"/>
        <w:keepNext/>
      </w:pPr>
      <w:r>
        <w:rPr>
          <w:rFonts w:ascii="Times New Roman" w:hAnsi="Times New Roman" w:eastAsia="Times New Roman" w:cs="Times New Roman"/>
          <w:b/>
          <w:color w:val="000000"/>
          <w:sz w:val="20"/>
        </w:rPr>
        <w:t>Tabela 6 - Configurações testadas no SimpleKMeans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K</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Seed</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Iterações</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SSE</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Tempo (s)</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Selecionado</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37</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2.386,976060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1,816</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Não</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62</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2.284,489341</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1,255</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Sim</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57</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2.172,711624</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1,149</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Não</w:t>
            </w:r>
          </w:p>
        </w:tc>
      </w:tr>
    </w:tbl>
    <w:p>
      <w:pPr>
        <w:pStyle w:val="SourceFinal"/>
      </w:pPr>
      <w:r>
        <w:rPr>
          <w:rFonts w:ascii="Times New Roman" w:hAnsi="Times New Roman" w:eastAsia="Times New Roman" w:cs="Times New Roman"/>
          <w:i/>
          <w:color w:val="000000"/>
          <w:sz w:val="20"/>
        </w:rPr>
        <w:t>Fonte: elaborado pelos autores a partir de configuracoes_kmeans.csv.</w:t>
      </w:r>
    </w:p>
    <w:p>
      <w:pPr>
        <w:pStyle w:val="TableCaptionFinal"/>
        <w:keepNext/>
      </w:pPr>
      <w:r>
        <w:rPr>
          <w:rFonts w:ascii="Times New Roman" w:hAnsi="Times New Roman" w:eastAsia="Times New Roman" w:cs="Times New Roman"/>
          <w:b/>
          <w:color w:val="000000"/>
          <w:sz w:val="20"/>
        </w:rPr>
        <w:t>Tabela 7 - Configurações testadas no EM</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K</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Seed</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Máx. iterações</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Log-likelihood</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Tempo (s)</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Selecionado</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100</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2,54478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2,786</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Não</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100</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2,56187</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3,300</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Sim</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100</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-0,29589*</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3,394</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Não</w:t>
            </w:r>
          </w:p>
        </w:tc>
      </w:tr>
    </w:tbl>
    <w:p>
      <w:pPr>
        <w:pStyle w:val="SourceFinal"/>
      </w:pPr>
      <w:r>
        <w:rPr>
          <w:rFonts w:ascii="Times New Roman" w:hAnsi="Times New Roman" w:eastAsia="Times New Roman" w:cs="Times New Roman"/>
          <w:i/>
          <w:color w:val="000000"/>
          <w:sz w:val="20"/>
        </w:rPr>
        <w:t>Fonte: elaborado pelos autores a partir de configuracoes_em.csv. *Valor transcrito da interface, sem log textual bruto preservado para confirmar convergência e avisos.</w:t>
      </w:r>
    </w:p>
    <w:p>
      <w:r>
        <w:rPr>
          <w:rFonts w:ascii="Times New Roman" w:hAnsi="Times New Roman" w:eastAsia="Times New Roman" w:cs="Times New Roman"/>
          <w:color w:val="000000"/>
          <w:sz w:val="24"/>
        </w:rPr>
        <w:t>Os tempos, iterações, valores de SSE e log-likelihood foram registrados durante o uso do WEKA. Os cabeçalhos dos arquivos ARFF comprovam o uso real do AddCluster, os algoritmos, as sementes e os parâmetros finais, mas não permitem revalidar todos os diagnósticos exibidos na interface.</w:t>
      </w:r>
    </w:p>
    <w:p>
      <w:r>
        <w:br w:type="page"/>
      </w:r>
    </w:p>
    <w:p>
      <w:pPr>
        <w:pStyle w:val="Heading1"/>
        <w:keepNext/>
      </w:pPr>
      <w:r>
        <w:rPr>
          <w:rFonts w:ascii="Times New Roman" w:hAnsi="Times New Roman" w:eastAsia="Times New Roman" w:cs="Times New Roman"/>
          <w:b/>
          <w:color w:val="000000"/>
          <w:sz w:val="24"/>
        </w:rPr>
        <w:t>13 RESULTADOS DO DBSCAN</w:t>
      </w:r>
    </w:p>
    <w:p>
      <w:r>
        <w:rPr>
          <w:rFonts w:ascii="Times New Roman" w:hAnsi="Times New Roman" w:eastAsia="Times New Roman" w:cs="Times New Roman"/>
          <w:color w:val="000000"/>
          <w:sz w:val="24"/>
        </w:rPr>
        <w:t>A configuração selecionada encontrou nove clusters e 296 ruídos, equivalentes a 2,96% da amostra. O maior grupo, cluster 4, reuniu 4.759 registros, enquanto o menor grupo válido, cluster 9, teve apenas seis. A forte desigualdade de tamanhos mostra que o método isolou microgrupos de combinações raras, além dos agrupamentos densos principais.</w:t>
      </w:r>
    </w:p>
    <w:p>
      <w:pPr>
        <w:keepNext/>
        <w:spacing w:before="120" w:after="40"/>
        <w:ind w:firstLine="0"/>
        <w:jc w:val="center"/>
      </w:pPr>
      <w:r>
        <w:drawing>
          <wp:inline xmlns:a="http://schemas.openxmlformats.org/drawingml/2006/main" xmlns:pic="http://schemas.openxmlformats.org/drawingml/2006/picture">
            <wp:extent cx="5220000" cy="3135980"/>
            <wp:docPr id="7" name="Picture 7" descr="Figura 7 - Distribuição dos registros por grupo no DBSCAN." title="Figura 7 - Distribuição dos registros por grupo no DBSCAN."/>
            <wp:cNvGraphicFramePr>
              <a:graphicFrameLocks noChangeAspect="1"/>
            </wp:cNvGraphicFramePr>
            <a:graphic>
              <a:graphicData uri="http://schemas.openxmlformats.org/drawingml/2006/picture">
                <pic:pic>
                  <pic:nvPicPr>
                    <pic:cNvPr id="0" name="distribuicao_clusters_dbscan.png"/>
                    <pic:cNvPicPr/>
                  </pic:nvPicPr>
                  <pic:blipFill>
                    <a:blip r:embed="rId23"/>
                    <a:stretch>
                      <a:fillRect/>
                    </a:stretch>
                  </pic:blipFill>
                  <pic:spPr>
                    <a:xfrm>
                      <a:off x="0" y="0"/>
                      <a:ext cx="5220000" cy="3135980"/>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7 - Distribuição dos registros por grupo no DBSCAN.</w:t>
      </w:r>
    </w:p>
    <w:p>
      <w:pPr>
        <w:pStyle w:val="SourceFinal"/>
      </w:pPr>
      <w:r>
        <w:rPr>
          <w:rFonts w:ascii="Times New Roman" w:hAnsi="Times New Roman" w:eastAsia="Times New Roman" w:cs="Times New Roman"/>
          <w:i/>
          <w:color w:val="000000"/>
          <w:sz w:val="20"/>
        </w:rPr>
        <w:t>Fonte: elaborado pelos autores a partir da exportação real do WEKA.</w:t>
      </w:r>
    </w:p>
    <w:p>
      <w:r>
        <w:rPr>
          <w:rFonts w:ascii="Times New Roman" w:hAnsi="Times New Roman" w:eastAsia="Times New Roman" w:cs="Times New Roman"/>
          <w:color w:val="000000"/>
          <w:sz w:val="24"/>
        </w:rPr>
        <w:t>Os grupos mais nítidos combinaram quantidade de filhos e posse de carro. O cluster 2 reuniu 2.099 clientes sem filhos e com carro; o cluster 4 reuniu 4.759 clientes sem filhos e sem carro; e os clusters 3 e 6 reuniram clientes com um e dois filhos, respectivamente, predominantemente sem carro. Os microgrupos 7, 8 e 9 tiveram 48, 49 e seis registros.</w:t>
      </w:r>
    </w:p>
    <w:p>
      <w:pPr>
        <w:keepNext/>
        <w:spacing w:before="120" w:after="40"/>
        <w:ind w:firstLine="0"/>
        <w:jc w:val="center"/>
      </w:pPr>
      <w:r>
        <w:drawing>
          <wp:inline xmlns:a="http://schemas.openxmlformats.org/drawingml/2006/main" xmlns:pic="http://schemas.openxmlformats.org/drawingml/2006/picture">
            <wp:extent cx="5220000" cy="3731176"/>
            <wp:docPr id="8" name="Picture 8" descr="Figura 8 - Perfil médio padronizado dos clusters do DBSCAN." title="Figura 8 - Perfil médio padronizado dos clusters do DBSCAN."/>
            <wp:cNvGraphicFramePr>
              <a:graphicFrameLocks noChangeAspect="1"/>
            </wp:cNvGraphicFramePr>
            <a:graphic>
              <a:graphicData uri="http://schemas.openxmlformats.org/drawingml/2006/picture">
                <pic:pic>
                  <pic:nvPicPr>
                    <pic:cNvPr id="0" name="perfil_padronizado_dbscan.png"/>
                    <pic:cNvPicPr/>
                  </pic:nvPicPr>
                  <pic:blipFill>
                    <a:blip r:embed="rId24"/>
                    <a:stretch>
                      <a:fillRect/>
                    </a:stretch>
                  </pic:blipFill>
                  <pic:spPr>
                    <a:xfrm>
                      <a:off x="0" y="0"/>
                      <a:ext cx="5220000" cy="3731176"/>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8 - Perfil médio padronizado dos clusters do DBSCAN.</w:t>
      </w:r>
    </w:p>
    <w:p>
      <w:pPr>
        <w:pStyle w:val="SourceFinal"/>
      </w:pPr>
      <w:r>
        <w:rPr>
          <w:rFonts w:ascii="Times New Roman" w:hAnsi="Times New Roman" w:eastAsia="Times New Roman" w:cs="Times New Roman"/>
          <w:i/>
          <w:color w:val="000000"/>
          <w:sz w:val="20"/>
        </w:rPr>
        <w:t>Fonte: elaborado pelos autores a partir das bases mescladas.</w:t>
      </w:r>
    </w:p>
    <w:p>
      <w:r>
        <w:rPr>
          <w:rFonts w:ascii="Times New Roman" w:hAnsi="Times New Roman" w:eastAsia="Times New Roman" w:cs="Times New Roman"/>
          <w:color w:val="000000"/>
          <w:sz w:val="24"/>
        </w:rPr>
        <w:t>Os registros classificados como ruído apresentaram crédito médio de R$ 1.288.126, relação crédito/renda média de 8,02 e 3,49 créditos ativos em média. Eles representam combinações incomuns e merecem análise individual. Ruído geométrico, entretanto, não significa fraude nem inadimplência.</w:t>
      </w:r>
    </w:p>
    <w:p>
      <w:r>
        <w:br w:type="page"/>
      </w:r>
    </w:p>
    <w:p>
      <w:pPr>
        <w:pStyle w:val="Heading1"/>
        <w:keepNext/>
      </w:pPr>
      <w:r>
        <w:rPr>
          <w:rFonts w:ascii="Times New Roman" w:hAnsi="Times New Roman" w:eastAsia="Times New Roman" w:cs="Times New Roman"/>
          <w:b/>
          <w:color w:val="000000"/>
          <w:sz w:val="24"/>
        </w:rPr>
        <w:t>14 RESULTADOS DO K-MEANS</w:t>
      </w:r>
    </w:p>
    <w:p>
      <w:r>
        <w:rPr>
          <w:rFonts w:ascii="Times New Roman" w:hAnsi="Times New Roman" w:eastAsia="Times New Roman" w:cs="Times New Roman"/>
          <w:color w:val="000000"/>
          <w:sz w:val="24"/>
        </w:rPr>
        <w:t>O SimpleKMeans selecionado, com K = 9, produziu grupos com tamanhos variando entre 525 e 1.992 registros. A distribuição foi mais equilibrada que as soluções finais do DBSCAN e do EM, com entropia normalizada de tamanhos igual a 0,960189.</w:t>
      </w:r>
    </w:p>
    <w:p>
      <w:pPr>
        <w:keepNext/>
        <w:spacing w:before="120" w:after="40"/>
        <w:ind w:firstLine="0"/>
        <w:jc w:val="center"/>
      </w:pPr>
      <w:r>
        <w:drawing>
          <wp:inline xmlns:a="http://schemas.openxmlformats.org/drawingml/2006/main" xmlns:pic="http://schemas.openxmlformats.org/drawingml/2006/picture">
            <wp:extent cx="5220000" cy="3135980"/>
            <wp:docPr id="9" name="Picture 9" descr="Figura 9 - Distribuição dos registros por grupo no SimpleKMeans." title="Figura 9 - Distribuição dos registros por grupo no SimpleKMeans."/>
            <wp:cNvGraphicFramePr>
              <a:graphicFrameLocks noChangeAspect="1"/>
            </wp:cNvGraphicFramePr>
            <a:graphic>
              <a:graphicData uri="http://schemas.openxmlformats.org/drawingml/2006/picture">
                <pic:pic>
                  <pic:nvPicPr>
                    <pic:cNvPr id="0" name="distribuicao_clusters_kmeans.png"/>
                    <pic:cNvPicPr/>
                  </pic:nvPicPr>
                  <pic:blipFill>
                    <a:blip r:embed="rId25"/>
                    <a:stretch>
                      <a:fillRect/>
                    </a:stretch>
                  </pic:blipFill>
                  <pic:spPr>
                    <a:xfrm>
                      <a:off x="0" y="0"/>
                      <a:ext cx="5220000" cy="3135980"/>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9 - Distribuição dos registros por grupo no SimpleKMeans.</w:t>
      </w:r>
    </w:p>
    <w:p>
      <w:pPr>
        <w:pStyle w:val="SourceFinal"/>
      </w:pPr>
      <w:r>
        <w:rPr>
          <w:rFonts w:ascii="Times New Roman" w:hAnsi="Times New Roman" w:eastAsia="Times New Roman" w:cs="Times New Roman"/>
          <w:i/>
          <w:color w:val="000000"/>
          <w:sz w:val="20"/>
        </w:rPr>
        <w:t>Fonte: elaborado pelos autores a partir da exportação real do WEKA.</w:t>
      </w:r>
    </w:p>
    <w:p>
      <w:r>
        <w:rPr>
          <w:rFonts w:ascii="Times New Roman" w:hAnsi="Times New Roman" w:eastAsia="Times New Roman" w:cs="Times New Roman"/>
          <w:color w:val="000000"/>
          <w:sz w:val="24"/>
        </w:rPr>
        <w:t>Entre os perfis identificados, o cluster 7 reuniu 1.124 clientes jovens, com idade média de 29,83 anos e sem posse de carro. O cluster 1 reuniu 583 clientes com 2,19 filhos em média e apenas 0,69% de posse de carro. O cluster 8 reuniu 1.390 clientes, todos com carro, idade média de 52,69 anos e crédito médio de R$ 760.528. O cluster 9, com 525 clientes, destacou-se por média de 5,23 créditos ativos.</w:t>
      </w:r>
    </w:p>
    <w:p>
      <w:pPr>
        <w:keepNext/>
        <w:spacing w:before="120" w:after="40"/>
        <w:ind w:firstLine="0"/>
        <w:jc w:val="center"/>
      </w:pPr>
      <w:r>
        <w:drawing>
          <wp:inline xmlns:a="http://schemas.openxmlformats.org/drawingml/2006/main" xmlns:pic="http://schemas.openxmlformats.org/drawingml/2006/picture">
            <wp:extent cx="5220000" cy="3518554"/>
            <wp:docPr id="10" name="Picture 10" descr="Figura 10 - Perfil médio padronizado dos clusters do SimpleKMeans." title="Figura 10 - Perfil médio padronizado dos clusters do SimpleKMeans."/>
            <wp:cNvGraphicFramePr>
              <a:graphicFrameLocks noChangeAspect="1"/>
            </wp:cNvGraphicFramePr>
            <a:graphic>
              <a:graphicData uri="http://schemas.openxmlformats.org/drawingml/2006/picture">
                <pic:pic>
                  <pic:nvPicPr>
                    <pic:cNvPr id="0" name="perfil_padronizado_kmeans.png"/>
                    <pic:cNvPicPr/>
                  </pic:nvPicPr>
                  <pic:blipFill>
                    <a:blip r:embed="rId26"/>
                    <a:stretch>
                      <a:fillRect/>
                    </a:stretch>
                  </pic:blipFill>
                  <pic:spPr>
                    <a:xfrm>
                      <a:off x="0" y="0"/>
                      <a:ext cx="5220000" cy="3518554"/>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10 - Perfil médio padronizado dos clusters do SimpleKMeans.</w:t>
      </w:r>
    </w:p>
    <w:p>
      <w:pPr>
        <w:pStyle w:val="SourceFinal"/>
      </w:pPr>
      <w:r>
        <w:rPr>
          <w:rFonts w:ascii="Times New Roman" w:hAnsi="Times New Roman" w:eastAsia="Times New Roman" w:cs="Times New Roman"/>
          <w:i/>
          <w:color w:val="000000"/>
          <w:sz w:val="20"/>
        </w:rPr>
        <w:t>Fonte: elaborado pelos autores a partir das bases mescladas.</w:t>
      </w:r>
    </w:p>
    <w:p>
      <w:pPr>
        <w:pStyle w:val="TableCaptionFinal"/>
        <w:keepNext/>
      </w:pPr>
      <w:r>
        <w:rPr>
          <w:rFonts w:ascii="Times New Roman" w:hAnsi="Times New Roman" w:eastAsia="Times New Roman" w:cs="Times New Roman"/>
          <w:b/>
          <w:color w:val="000000"/>
          <w:sz w:val="20"/>
        </w:rPr>
        <w:t>Tabela 8 - Métricas internas por valor de K no SimpleKMeans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K</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Silhouette</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Davies-Bouldin</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Calinski-Harabasz</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Entropia</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Faixa de tamanhos</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0,261108</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1,434865</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3.337,257175</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0,965779</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583 a 1.992</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9 - escolhido</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0,263382</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1,380971</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3.106,870163</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0,960189</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525 a 1.992</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0,260893</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1,291130</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2.960,828158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0,957484</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459 a 1.987</w:t>
            </w:r>
          </w:p>
        </w:tc>
      </w:tr>
    </w:tbl>
    <w:p>
      <w:pPr>
        <w:pStyle w:val="SourceFinal"/>
      </w:pPr>
      <w:r>
        <w:rPr>
          <w:rFonts w:ascii="Times New Roman" w:hAnsi="Times New Roman" w:eastAsia="Times New Roman" w:cs="Times New Roman"/>
          <w:i/>
          <w:color w:val="000000"/>
          <w:sz w:val="20"/>
        </w:rPr>
        <w:t>Fonte: elaborado pelos autores a partir de metricas_testes_kmeans_em.csv.</w:t>
      </w:r>
    </w:p>
    <w:p>
      <w:r>
        <w:rPr>
          <w:rFonts w:ascii="Times New Roman" w:hAnsi="Times New Roman" w:eastAsia="Times New Roman" w:cs="Times New Roman"/>
          <w:color w:val="000000"/>
          <w:sz w:val="24"/>
        </w:rPr>
        <w:t>K = 9 liderou em Silhouette, K = 10 obteve o melhor Davies-Bouldin e K = 8 obteve o melhor Calinski-Harabasz e a maior entropia de tamanhos. Nenhuma configuração venceu em todos os critérios. A solução com nove grupos foi escolhida como compromisso entre métricas, interpretabilidade e comparabilidade.</w:t>
      </w:r>
    </w:p>
    <w:p>
      <w:r>
        <w:br w:type="page"/>
      </w:r>
    </w:p>
    <w:p>
      <w:pPr>
        <w:pStyle w:val="Heading1"/>
        <w:keepNext/>
      </w:pPr>
      <w:r>
        <w:rPr>
          <w:rFonts w:ascii="Times New Roman" w:hAnsi="Times New Roman" w:eastAsia="Times New Roman" w:cs="Times New Roman"/>
          <w:b/>
          <w:color w:val="000000"/>
          <w:sz w:val="24"/>
        </w:rPr>
        <w:t>15 RESULTADOS DO EM</w:t>
      </w:r>
    </w:p>
    <w:p>
      <w:r>
        <w:rPr>
          <w:rFonts w:ascii="Times New Roman" w:hAnsi="Times New Roman" w:eastAsia="Times New Roman" w:cs="Times New Roman"/>
          <w:color w:val="000000"/>
          <w:sz w:val="24"/>
        </w:rPr>
        <w:t>O EM selecionado, com K = 9, produziu nove grupos, mas concentrou 4.359 registros no cluster 3, correspondentes a 43,59% da amostra. O menor grupo teve 257 registros, e a entropia normalizada de tamanhos foi 0,809238, a menor entre os três métodos finais.</w:t>
      </w:r>
    </w:p>
    <w:p>
      <w:pPr>
        <w:keepNext/>
        <w:spacing w:before="120" w:after="40"/>
        <w:ind w:firstLine="0"/>
        <w:jc w:val="center"/>
      </w:pPr>
      <w:r>
        <w:drawing>
          <wp:inline xmlns:a="http://schemas.openxmlformats.org/drawingml/2006/main" xmlns:pic="http://schemas.openxmlformats.org/drawingml/2006/picture">
            <wp:extent cx="5220000" cy="3135980"/>
            <wp:docPr id="11" name="Picture 11" descr="Figura 11 - Distribuição dos registros por grupo no EM." title="Figura 11 - Distribuição dos registros por grupo no EM."/>
            <wp:cNvGraphicFramePr>
              <a:graphicFrameLocks noChangeAspect="1"/>
            </wp:cNvGraphicFramePr>
            <a:graphic>
              <a:graphicData uri="http://schemas.openxmlformats.org/drawingml/2006/picture">
                <pic:pic>
                  <pic:nvPicPr>
                    <pic:cNvPr id="0" name="distribuicao_clusters_em.png"/>
                    <pic:cNvPicPr/>
                  </pic:nvPicPr>
                  <pic:blipFill>
                    <a:blip r:embed="rId27"/>
                    <a:stretch>
                      <a:fillRect/>
                    </a:stretch>
                  </pic:blipFill>
                  <pic:spPr>
                    <a:xfrm>
                      <a:off x="0" y="0"/>
                      <a:ext cx="5220000" cy="3135980"/>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11 - Distribuição dos registros por grupo no EM.</w:t>
      </w:r>
    </w:p>
    <w:p>
      <w:pPr>
        <w:pStyle w:val="SourceFinal"/>
      </w:pPr>
      <w:r>
        <w:rPr>
          <w:rFonts w:ascii="Times New Roman" w:hAnsi="Times New Roman" w:eastAsia="Times New Roman" w:cs="Times New Roman"/>
          <w:i/>
          <w:color w:val="000000"/>
          <w:sz w:val="20"/>
        </w:rPr>
        <w:t>Fonte: elaborado pelos autores a partir da exportação real do WEKA.</w:t>
      </w:r>
    </w:p>
    <w:p>
      <w:r>
        <w:rPr>
          <w:rFonts w:ascii="Times New Roman" w:hAnsi="Times New Roman" w:eastAsia="Times New Roman" w:cs="Times New Roman"/>
          <w:color w:val="000000"/>
          <w:sz w:val="24"/>
        </w:rPr>
        <w:t>O cluster 7 confirmou um perfil jovem e sem carro, com 1.293 clientes e idade média de 29,15 anos. O cluster 5 reuniu 1.181 clientes com 1,59 filho em média e sem carro. Os clusters 4 e 8 apresentaram crédito médio superior a R$ 1,3 milhão, com relação crédito/renda média de 7,95 e 9,22, respectivamente.</w:t>
      </w:r>
    </w:p>
    <w:p>
      <w:pPr>
        <w:keepNext/>
        <w:spacing w:before="120" w:after="40"/>
        <w:ind w:firstLine="0"/>
        <w:jc w:val="center"/>
      </w:pPr>
      <w:r>
        <w:drawing>
          <wp:inline xmlns:a="http://schemas.openxmlformats.org/drawingml/2006/main" xmlns:pic="http://schemas.openxmlformats.org/drawingml/2006/picture">
            <wp:extent cx="5220000" cy="3518554"/>
            <wp:docPr id="12" name="Picture 12" descr="Figura 12 - Perfil médio padronizado dos clusters do EM." title="Figura 12 - Perfil médio padronizado dos clusters do EM."/>
            <wp:cNvGraphicFramePr>
              <a:graphicFrameLocks noChangeAspect="1"/>
            </wp:cNvGraphicFramePr>
            <a:graphic>
              <a:graphicData uri="http://schemas.openxmlformats.org/drawingml/2006/picture">
                <pic:pic>
                  <pic:nvPicPr>
                    <pic:cNvPr id="0" name="perfil_padronizado_em.png"/>
                    <pic:cNvPicPr/>
                  </pic:nvPicPr>
                  <pic:blipFill>
                    <a:blip r:embed="rId28"/>
                    <a:stretch>
                      <a:fillRect/>
                    </a:stretch>
                  </pic:blipFill>
                  <pic:spPr>
                    <a:xfrm>
                      <a:off x="0" y="0"/>
                      <a:ext cx="5220000" cy="3518554"/>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12 - Perfil médio padronizado dos clusters do EM.</w:t>
      </w:r>
    </w:p>
    <w:p>
      <w:pPr>
        <w:pStyle w:val="SourceFinal"/>
      </w:pPr>
      <w:r>
        <w:rPr>
          <w:rFonts w:ascii="Times New Roman" w:hAnsi="Times New Roman" w:eastAsia="Times New Roman" w:cs="Times New Roman"/>
          <w:i/>
          <w:color w:val="000000"/>
          <w:sz w:val="20"/>
        </w:rPr>
        <w:t>Fonte: elaborado pelos autores a partir das bases mescladas.</w:t>
      </w:r>
    </w:p>
    <w:p>
      <w:pPr>
        <w:pStyle w:val="TableCaptionFinal"/>
        <w:keepNext/>
      </w:pPr>
      <w:r>
        <w:rPr>
          <w:rFonts w:ascii="Times New Roman" w:hAnsi="Times New Roman" w:eastAsia="Times New Roman" w:cs="Times New Roman"/>
          <w:b/>
          <w:color w:val="000000"/>
          <w:sz w:val="20"/>
        </w:rPr>
        <w:t>Tabela 9 - Métricas internas por valor de K no EM</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rPr>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K</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Silhouette</w:t>
            </w:r>
          </w:p>
        </w:tc>
        <w:tc>
          <w:tcPr>
            <w:tcW w:type="dxa" w:w="147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Davies-Bouldin</w:t>
            </w:r>
          </w:p>
        </w:tc>
        <w:tc>
          <w:tcPr>
            <w:tcW w:type="dxa" w:w="187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Calinski-Harabasz</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Entropia</w:t>
            </w:r>
          </w:p>
        </w:tc>
        <w:tc>
          <w:tcPr>
            <w:tcW w:type="dxa" w:w="175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Faixa de tamanhos</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8</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0,123620</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1,525789</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1.989,783051</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0,821489</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257 a 4.406</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9 - escolhido</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0,109936</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1,504642</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1.862,177065</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0,809238</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257 a 4.359</w:t>
            </w:r>
          </w:p>
        </w:tc>
      </w:tr>
      <w:tr>
        <w:trPr>
          <w:cantSplit/>
          <w:cantSplit/>
        </w:trPr>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0,224511</w:t>
            </w:r>
          </w:p>
        </w:tc>
        <w:tc>
          <w:tcPr>
            <w:tcW w:type="dxa" w:w="147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1,385751</w:t>
            </w:r>
          </w:p>
        </w:tc>
        <w:tc>
          <w:tcPr>
            <w:tcW w:type="dxa" w:w="187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2.659,300780</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0,972261</w:t>
            </w:r>
          </w:p>
        </w:tc>
        <w:tc>
          <w:tcPr>
            <w:tcW w:type="dxa" w:w="175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583 a 2.016</w:t>
            </w:r>
          </w:p>
        </w:tc>
      </w:tr>
    </w:tbl>
    <w:p>
      <w:pPr>
        <w:pStyle w:val="SourceFinal"/>
      </w:pPr>
      <w:r>
        <w:rPr>
          <w:rFonts w:ascii="Times New Roman" w:hAnsi="Times New Roman" w:eastAsia="Times New Roman" w:cs="Times New Roman"/>
          <w:i/>
          <w:color w:val="000000"/>
          <w:sz w:val="20"/>
        </w:rPr>
        <w:t>Fonte: elaborado pelos autores a partir de metricas_testes_kmeans_em.csv.</w:t>
      </w:r>
    </w:p>
    <w:p>
      <w:r>
        <w:rPr>
          <w:rFonts w:ascii="Times New Roman" w:hAnsi="Times New Roman" w:eastAsia="Times New Roman" w:cs="Times New Roman"/>
          <w:color w:val="000000"/>
          <w:sz w:val="24"/>
        </w:rPr>
        <w:t>As atribuições de K = 10 são geometricamente avaliáveis e apresentaram métricas internas melhores que K = 9. Ainda assim, a comparação probabilística permanece inconclusiva porque o log-likelihood registrado para K = 10 é anômalo e não existe log bruto para confirmar convergência normal. Por transparência documental, manteve-se K = 9 como configuração final, sem afirmar que ela seja superior em todos os critérios.</w:t>
      </w:r>
    </w:p>
    <w:p>
      <w:r>
        <w:br w:type="page"/>
      </w:r>
    </w:p>
    <w:p>
      <w:pPr>
        <w:pStyle w:val="Heading1"/>
        <w:keepNext/>
      </w:pPr>
      <w:r>
        <w:rPr>
          <w:rFonts w:ascii="Times New Roman" w:hAnsi="Times New Roman" w:eastAsia="Times New Roman" w:cs="Times New Roman"/>
          <w:b/>
          <w:color w:val="000000"/>
          <w:sz w:val="24"/>
        </w:rPr>
        <w:t>16 COMPARAÇÃO DOS MÉTODOS</w:t>
      </w:r>
    </w:p>
    <w:p>
      <w:r>
        <w:rPr>
          <w:rFonts w:ascii="Times New Roman" w:hAnsi="Times New Roman" w:eastAsia="Times New Roman" w:cs="Times New Roman"/>
          <w:color w:val="000000"/>
          <w:sz w:val="24"/>
        </w:rPr>
        <w:t>As métricas foram calculadas sobre os seis atributos transformados, na mesma escala ponderada usada pelo WEKA. A Silhouette utilizou amostra reproduzível de 3.000 registros com semente 42 por causa do custo quadrático do cálculo completo. Davies-Bouldin e Calinski-Harabasz foram calculados com todos os registros de rótulo válido. Para o DBSCAN, os 296 ruídos foram excluídos apenas das métricas geométricas.</w:t>
      </w:r>
    </w:p>
    <w:p>
      <w:pPr>
        <w:pStyle w:val="TableCaptionFinal"/>
        <w:keepNext/>
      </w:pPr>
      <w:r>
        <w:rPr>
          <w:rFonts w:ascii="Times New Roman" w:hAnsi="Times New Roman" w:eastAsia="Times New Roman" w:cs="Times New Roman"/>
          <w:b/>
          <w:color w:val="000000"/>
          <w:sz w:val="20"/>
        </w:rPr>
        <w:t>Tabela 10 - Comparação das métricas internas entre os três métodos</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cantSplit/>
        </w:trPr>
        <w:tc>
          <w:tcPr>
            <w:tcW w:type="dxa" w:w="141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Método</w:t>
            </w:r>
          </w:p>
        </w:tc>
        <w:tc>
          <w:tcPr>
            <w:tcW w:type="dxa" w:w="1247"/>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Silhouette</w:t>
            </w:r>
          </w:p>
        </w:tc>
        <w:tc>
          <w:tcPr>
            <w:tcW w:type="dxa" w:w="136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Davies-Bouldin</w:t>
            </w:r>
          </w:p>
        </w:tc>
        <w:tc>
          <w:tcPr>
            <w:tcW w:type="dxa" w:w="164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Calinski-Harabasz</w:t>
            </w:r>
          </w:p>
        </w:tc>
        <w:tc>
          <w:tcPr>
            <w:tcW w:type="dxa" w:w="850"/>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Clusters</w:t>
            </w:r>
          </w:p>
        </w:tc>
        <w:tc>
          <w:tcPr>
            <w:tcW w:type="dxa" w:w="850"/>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Ruídos</w:t>
            </w:r>
          </w:p>
        </w:tc>
        <w:tc>
          <w:tcPr>
            <w:tcW w:type="dxa" w:w="170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7"/>
              </w:rPr>
              <w:t>Faixa de tamanhos</w:t>
            </w:r>
          </w:p>
        </w:tc>
      </w:tr>
      <w:tr>
        <w:trPr>
          <w:cantSplit/>
          <w:cantSplit/>
        </w:trPr>
        <w:tc>
          <w:tcPr>
            <w:tcW w:type="dxa" w:w="141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DBSCAN</w:t>
            </w:r>
          </w:p>
        </w:tc>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0,085904</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1,855622</w:t>
            </w:r>
          </w:p>
        </w:tc>
        <w:tc>
          <w:tcPr>
            <w:tcW w:type="dxa" w:w="164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1.031,784</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296</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6 a 4.759</w:t>
            </w:r>
          </w:p>
        </w:tc>
      </w:tr>
      <w:tr>
        <w:trPr>
          <w:cantSplit/>
          <w:cantSplit/>
        </w:trPr>
        <w:tc>
          <w:tcPr>
            <w:tcW w:type="dxa" w:w="141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SimpleKMeans</w:t>
            </w:r>
          </w:p>
        </w:tc>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0,263382</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1,380971</w:t>
            </w:r>
          </w:p>
        </w:tc>
        <w:tc>
          <w:tcPr>
            <w:tcW w:type="dxa" w:w="164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3.106,870</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525 a 1.992</w:t>
            </w:r>
          </w:p>
        </w:tc>
      </w:tr>
      <w:tr>
        <w:trPr>
          <w:cantSplit/>
          <w:cantSplit/>
        </w:trPr>
        <w:tc>
          <w:tcPr>
            <w:tcW w:type="dxa" w:w="141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7"/>
              </w:rPr>
              <w:t>EM</w:t>
            </w:r>
          </w:p>
        </w:tc>
        <w:tc>
          <w:tcPr>
            <w:tcW w:type="dxa" w:w="1247"/>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0,109936</w:t>
            </w:r>
          </w:p>
        </w:tc>
        <w:tc>
          <w:tcPr>
            <w:tcW w:type="dxa" w:w="136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1,504642</w:t>
            </w:r>
          </w:p>
        </w:tc>
        <w:tc>
          <w:tcPr>
            <w:tcW w:type="dxa" w:w="164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1.862,177</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9</w:t>
            </w:r>
          </w:p>
        </w:tc>
        <w:tc>
          <w:tcPr>
            <w:tcW w:type="dxa" w:w="850"/>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0</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val="0"/>
                <w:color w:val="000000"/>
                <w:sz w:val="17"/>
              </w:rPr>
              <w:t>257 a 4.359</w:t>
            </w:r>
          </w:p>
        </w:tc>
      </w:tr>
    </w:tbl>
    <w:p>
      <w:pPr>
        <w:pStyle w:val="SourceFinal"/>
      </w:pPr>
      <w:r>
        <w:rPr>
          <w:rFonts w:ascii="Times New Roman" w:hAnsi="Times New Roman" w:eastAsia="Times New Roman" w:cs="Times New Roman"/>
          <w:i/>
          <w:color w:val="000000"/>
          <w:sz w:val="20"/>
        </w:rPr>
        <w:t>Fonte: elaborado pelos autores a partir de comparativo_metodos.csv.</w:t>
      </w:r>
    </w:p>
    <w:p>
      <w:pPr>
        <w:keepNext/>
        <w:spacing w:before="120" w:after="40"/>
        <w:ind w:firstLine="0"/>
        <w:jc w:val="center"/>
      </w:pPr>
      <w:r>
        <w:drawing>
          <wp:inline xmlns:a="http://schemas.openxmlformats.org/drawingml/2006/main" xmlns:pic="http://schemas.openxmlformats.org/drawingml/2006/picture">
            <wp:extent cx="5220000" cy="5705777"/>
            <wp:docPr id="13" name="Picture 13" descr="Figura 13 - Comparação técnica dos três métodos nas atribuições finais." title="Figura 13 - Comparação técnica dos três métodos nas atribuições finais."/>
            <wp:cNvGraphicFramePr>
              <a:graphicFrameLocks noChangeAspect="1"/>
            </wp:cNvGraphicFramePr>
            <a:graphic>
              <a:graphicData uri="http://schemas.openxmlformats.org/drawingml/2006/picture">
                <pic:pic>
                  <pic:nvPicPr>
                    <pic:cNvPr id="0" name="comparativo_metricas.png"/>
                    <pic:cNvPicPr/>
                  </pic:nvPicPr>
                  <pic:blipFill>
                    <a:blip r:embed="rId29"/>
                    <a:stretch>
                      <a:fillRect/>
                    </a:stretch>
                  </pic:blipFill>
                  <pic:spPr>
                    <a:xfrm>
                      <a:off x="0" y="0"/>
                      <a:ext cx="5220000" cy="5705777"/>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13 - Comparação técnica dos três métodos nas atribuições finais.</w:t>
      </w:r>
    </w:p>
    <w:p>
      <w:pPr>
        <w:pStyle w:val="SourceFinal"/>
      </w:pPr>
      <w:r>
        <w:rPr>
          <w:rFonts w:ascii="Times New Roman" w:hAnsi="Times New Roman" w:eastAsia="Times New Roman" w:cs="Times New Roman"/>
          <w:i/>
          <w:color w:val="000000"/>
          <w:sz w:val="20"/>
        </w:rPr>
        <w:t>Fonte: elaborado pelos autores a partir das três bases clusterizadas.</w:t>
      </w:r>
    </w:p>
    <w:p>
      <w:r>
        <w:rPr>
          <w:rFonts w:ascii="Times New Roman" w:hAnsi="Times New Roman" w:eastAsia="Times New Roman" w:cs="Times New Roman"/>
          <w:color w:val="000000"/>
          <w:sz w:val="24"/>
        </w:rPr>
        <w:t>Quanto maior a Silhouette, melhor a separação relativa; quanto menor o Davies-Bouldin, menor a sobreposição; e quanto maior o Calinski-Harabasz, maior a compactação e a separação. Sob esses critérios, o SimpleKMeans apresentou o melhor resultado relativo entre as três soluções finais e grupos mais equilibrados. O DBSCAN teve como vantagem a identificação de ruídos e combinações raras. O EM confirmou parte dos mesmos padrões, mas gerou um grupo dominante. Nenhum método deve ser considerado universalmente melhor.</w:t>
      </w:r>
    </w:p>
    <w:p>
      <w:r>
        <w:br w:type="page"/>
      </w:r>
    </w:p>
    <w:p>
      <w:pPr>
        <w:pStyle w:val="Heading1"/>
        <w:keepNext/>
      </w:pPr>
      <w:r>
        <w:rPr>
          <w:rFonts w:ascii="Times New Roman" w:hAnsi="Times New Roman" w:eastAsia="Times New Roman" w:cs="Times New Roman"/>
          <w:b/>
          <w:color w:val="000000"/>
          <w:sz w:val="24"/>
        </w:rPr>
        <w:t>17 PERFIS IDENTIFICADOS</w:t>
      </w:r>
    </w:p>
    <w:p>
      <w:r>
        <w:rPr>
          <w:rFonts w:ascii="Times New Roman" w:hAnsi="Times New Roman" w:eastAsia="Times New Roman" w:cs="Times New Roman"/>
          <w:color w:val="000000"/>
          <w:sz w:val="24"/>
        </w:rPr>
        <w:t>A taxa posterior global de TARGET = 1 na amostra foi de 8,23%, correspondente a 823 registros. Essa variável não participou da formação dos clusters e foi unida às bases somente depois da atribuição dos rótulos, servindo exclusivamente à descrição posterior dos perfis.</w:t>
      </w:r>
    </w:p>
    <w:p>
      <w:pPr>
        <w:pStyle w:val="TableCaptionFinal"/>
        <w:keepNext/>
      </w:pPr>
      <w:r>
        <w:rPr>
          <w:rFonts w:ascii="Times New Roman" w:hAnsi="Times New Roman" w:eastAsia="Times New Roman" w:cs="Times New Roman"/>
          <w:b/>
          <w:color w:val="000000"/>
          <w:sz w:val="20"/>
        </w:rPr>
        <w:t>Tabela 11 - Perfis recorrentes identificados entre os três métodos</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val="true"/>
          <w:cantSplit/>
        </w:trPr>
        <w:tc>
          <w:tcPr>
            <w:tcW w:type="dxa" w:w="2324"/>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Perfil recorrente</w:t>
            </w:r>
          </w:p>
        </w:tc>
        <w:tc>
          <w:tcPr>
            <w:tcW w:type="dxa" w:w="1701"/>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Evidências reais</w:t>
            </w:r>
          </w:p>
        </w:tc>
        <w:tc>
          <w:tcPr>
            <w:tcW w:type="dxa" w:w="5046"/>
            <w:vAlign w:val="center"/>
            <w:tcMar>
              <w:top w:w="70" w:type="dxa"/>
              <w:start w:w="90" w:type="dxa"/>
              <w:bottom w:w="70" w:type="dxa"/>
              <w:end w:w="90" w:type="dxa"/>
            </w:tcMar>
            <w:shd w:fill="D9D9D9"/>
            <w:tcBorders>
              <w:top w:val="single" w:sz="6" w:color="A6A6A6"/>
              <w:left w:val="single" w:sz="6" w:color="A6A6A6"/>
              <w:bottom w:val="single" w:sz="6" w:color="A6A6A6"/>
              <w:right w:val="single" w:sz="6" w:color="A6A6A6"/>
            </w:tcBorders>
          </w:tcPr>
          <w:p>
            <w:pPr>
              <w:spacing w:line="240" w:lineRule="auto" w:before="0" w:after="0"/>
              <w:ind w:firstLine="0"/>
              <w:jc w:val="center"/>
            </w:pPr>
            <w:r>
              <w:rPr>
                <w:rFonts w:ascii="Times New Roman" w:hAnsi="Times New Roman" w:eastAsia="Times New Roman" w:cs="Times New Roman"/>
                <w:b/>
                <w:color w:val="000000"/>
                <w:sz w:val="18"/>
              </w:rPr>
              <w:t>Leitura exploratória</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Jovens sem carro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K-Means C7: 1.124 clientes, 29,83 anos e TARGET = 1 em 12,72%. EM C7: 1.293 clientes, 29,15 anos e TARGET = 1 em 12,99%.</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Mobilidade e crédito de entrada, com avaliação adicional de capacidade de pagamento.</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Famílias com filhos sem carro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DBSCAN C6: 477 clientes e 2,00 filhos. K-Means C1: 583 clientes e 2,19 filhos. EM C5: 1.181 clientes e 1,59 filho.</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Mobilidade familiar e despesas domésticas.</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Crédito alto e forte comprometimento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K-Means C2: crédito médio R$ 1.240.253 e relação 8,09. EM C4/C8: crédito acima de R$ 1,3 milhão e relações 7,95 e 9,22.</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Revisão de limites, refinanciamento e portabilidade, sem oferta automática.</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Clientes maduros</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K-Means C3/C8 e EM C3: idades médias entre 52,69 e 60,62 anos e taxas posteriores menores que a média global.</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Relacionamento de longo prazo e produtos adequados ao estágio de vida.</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Muitos créditos ativos</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K-Means C9: 525 clientes, média de 5,23 créditos ativos e TARGET = 1 em 9,71%.</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Consolidação, renegociação e prevenção de sobre-endividamento.</w:t>
            </w:r>
          </w:p>
        </w:tc>
      </w:tr>
      <w:tr>
        <w:trPr>
          <w:cantSplit/>
          <w:cantSplit/>
        </w:trPr>
        <w:tc>
          <w:tcPr>
            <w:tcW w:type="dxa" w:w="2324"/>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Casos fora do padrão</w:t>
            </w:r>
          </w:p>
        </w:tc>
        <w:tc>
          <w:tcPr>
            <w:tcW w:type="dxa" w:w="1701"/>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DBSCAN: 296 ruídos, crédito médio R$ 1.288.126 e relação crédito/renda 8,02.</w:t>
            </w:r>
          </w:p>
        </w:tc>
        <w:tc>
          <w:tcPr>
            <w:tcW w:type="dxa" w:w="5046"/>
            <w:vAlign w:val="center"/>
            <w:tcMar>
              <w:top w:w="70" w:type="dxa"/>
              <w:start w:w="90" w:type="dxa"/>
              <w:bottom w:w="70" w:type="dxa"/>
              <w:end w:w="90" w:type="dxa"/>
            </w:tcMar>
            <w:tcBorders>
              <w:top w:val="single" w:sz="6" w:color="A6A6A6"/>
              <w:left w:val="single" w:sz="6" w:color="A6A6A6"/>
              <w:bottom w:val="single" w:sz="6" w:color="A6A6A6"/>
              <w:right w:val="single" w:sz="6" w:color="A6A6A6"/>
            </w:tcBorders>
          </w:tcPr>
          <w:p>
            <w:pPr>
              <w:spacing w:line="240" w:lineRule="auto" w:before="0" w:after="0"/>
              <w:ind w:firstLine="0"/>
              <w:jc w:val="left"/>
            </w:pPr>
            <w:r>
              <w:rPr>
                <w:rFonts w:ascii="Times New Roman" w:hAnsi="Times New Roman" w:eastAsia="Times New Roman" w:cs="Times New Roman"/>
                <w:b w:val="0"/>
                <w:color w:val="000000"/>
                <w:sz w:val="18"/>
              </w:rPr>
              <w:t>Análise individual, sem generalização para campanhas amplas.</w:t>
            </w:r>
          </w:p>
        </w:tc>
      </w:tr>
    </w:tbl>
    <w:p>
      <w:pPr>
        <w:pStyle w:val="SourceFinal"/>
      </w:pPr>
      <w:r>
        <w:rPr>
          <w:rFonts w:ascii="Times New Roman" w:hAnsi="Times New Roman" w:eastAsia="Times New Roman" w:cs="Times New Roman"/>
          <w:i/>
          <w:color w:val="000000"/>
          <w:sz w:val="20"/>
        </w:rPr>
        <w:t>Fonte: elaborado pelos autores a partir dos resumos de clusters.</w:t>
      </w:r>
    </w:p>
    <w:p>
      <w:pPr>
        <w:keepNext/>
        <w:spacing w:before="120" w:after="40"/>
        <w:ind w:firstLine="0"/>
        <w:jc w:val="center"/>
      </w:pPr>
      <w:r>
        <w:drawing>
          <wp:inline xmlns:a="http://schemas.openxmlformats.org/drawingml/2006/main" xmlns:pic="http://schemas.openxmlformats.org/drawingml/2006/picture">
            <wp:extent cx="5220000" cy="3191608"/>
            <wp:docPr id="14" name="Picture 14" descr="Figura 14 - Proporção posterior de TARGET = 1 por grupo no SimpleKMeans." title="Figura 14 - Proporção posterior de TARGET = 1 por grupo no SimpleKMeans."/>
            <wp:cNvGraphicFramePr>
              <a:graphicFrameLocks noChangeAspect="1"/>
            </wp:cNvGraphicFramePr>
            <a:graphic>
              <a:graphicData uri="http://schemas.openxmlformats.org/drawingml/2006/picture">
                <pic:pic>
                  <pic:nvPicPr>
                    <pic:cNvPr id="0" name="target_por_cluster_kmeans.png"/>
                    <pic:cNvPicPr/>
                  </pic:nvPicPr>
                  <pic:blipFill>
                    <a:blip r:embed="rId30"/>
                    <a:stretch>
                      <a:fillRect/>
                    </a:stretch>
                  </pic:blipFill>
                  <pic:spPr>
                    <a:xfrm>
                      <a:off x="0" y="0"/>
                      <a:ext cx="5220000" cy="3191608"/>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14 - Proporção posterior de TARGET = 1 por grupo no SimpleKMeans.</w:t>
      </w:r>
    </w:p>
    <w:p>
      <w:pPr>
        <w:pStyle w:val="SourceFinal"/>
      </w:pPr>
      <w:r>
        <w:rPr>
          <w:rFonts w:ascii="Times New Roman" w:hAnsi="Times New Roman" w:eastAsia="Times New Roman" w:cs="Times New Roman"/>
          <w:i/>
          <w:color w:val="000000"/>
          <w:sz w:val="20"/>
        </w:rPr>
        <w:t>Fonte: elaborado pelos autores; TARGET não participou da clusterização.</w:t>
      </w:r>
    </w:p>
    <w:p>
      <w:pPr>
        <w:keepNext/>
        <w:spacing w:before="120" w:after="40"/>
        <w:ind w:firstLine="0"/>
        <w:jc w:val="center"/>
      </w:pPr>
      <w:r>
        <w:drawing>
          <wp:inline xmlns:a="http://schemas.openxmlformats.org/drawingml/2006/main" xmlns:pic="http://schemas.openxmlformats.org/drawingml/2006/picture">
            <wp:extent cx="5220000" cy="3191608"/>
            <wp:docPr id="15" name="Picture 15" descr="Figura 15 - Proporção posterior de TARGET = 1 por grupo no EM." title="Figura 15 - Proporção posterior de TARGET = 1 por grupo no EM."/>
            <wp:cNvGraphicFramePr>
              <a:graphicFrameLocks noChangeAspect="1"/>
            </wp:cNvGraphicFramePr>
            <a:graphic>
              <a:graphicData uri="http://schemas.openxmlformats.org/drawingml/2006/picture">
                <pic:pic>
                  <pic:nvPicPr>
                    <pic:cNvPr id="0" name="target_por_cluster_em.png"/>
                    <pic:cNvPicPr/>
                  </pic:nvPicPr>
                  <pic:blipFill>
                    <a:blip r:embed="rId31"/>
                    <a:stretch>
                      <a:fillRect/>
                    </a:stretch>
                  </pic:blipFill>
                  <pic:spPr>
                    <a:xfrm>
                      <a:off x="0" y="0"/>
                      <a:ext cx="5220000" cy="3191608"/>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15 - Proporção posterior de TARGET = 1 por grupo no EM.</w:t>
      </w:r>
    </w:p>
    <w:p>
      <w:pPr>
        <w:pStyle w:val="SourceFinal"/>
      </w:pPr>
      <w:r>
        <w:rPr>
          <w:rFonts w:ascii="Times New Roman" w:hAnsi="Times New Roman" w:eastAsia="Times New Roman" w:cs="Times New Roman"/>
          <w:i/>
          <w:color w:val="000000"/>
          <w:sz w:val="20"/>
        </w:rPr>
        <w:t>Fonte: elaborado pelos autores; TARGET não participou da clusterização.</w:t>
      </w:r>
    </w:p>
    <w:p>
      <w:pPr>
        <w:keepNext/>
        <w:spacing w:before="120" w:after="40"/>
        <w:ind w:firstLine="0"/>
        <w:jc w:val="center"/>
      </w:pPr>
      <w:r>
        <w:drawing>
          <wp:inline xmlns:a="http://schemas.openxmlformats.org/drawingml/2006/main" xmlns:pic="http://schemas.openxmlformats.org/drawingml/2006/picture">
            <wp:extent cx="5220000" cy="3191608"/>
            <wp:docPr id="16" name="Picture 16" descr="Figura 16 - Proporção posterior de TARGET = 1 por grupo no DBSCAN." title="Figura 16 - Proporção posterior de TARGET = 1 por grupo no DBSCAN."/>
            <wp:cNvGraphicFramePr>
              <a:graphicFrameLocks noChangeAspect="1"/>
            </wp:cNvGraphicFramePr>
            <a:graphic>
              <a:graphicData uri="http://schemas.openxmlformats.org/drawingml/2006/picture">
                <pic:pic>
                  <pic:nvPicPr>
                    <pic:cNvPr id="0" name="target_por_cluster_dbscan.png"/>
                    <pic:cNvPicPr/>
                  </pic:nvPicPr>
                  <pic:blipFill>
                    <a:blip r:embed="rId32"/>
                    <a:stretch>
                      <a:fillRect/>
                    </a:stretch>
                  </pic:blipFill>
                  <pic:spPr>
                    <a:xfrm>
                      <a:off x="0" y="0"/>
                      <a:ext cx="5220000" cy="3191608"/>
                    </a:xfrm>
                    <a:prstGeom prst="rect"/>
                  </pic:spPr>
                </pic:pic>
              </a:graphicData>
            </a:graphic>
          </wp:inline>
        </w:drawing>
      </w:r>
    </w:p>
    <w:p>
      <w:pPr>
        <w:pStyle w:val="FigureCaptionFinal"/>
        <w:keepNext/>
      </w:pPr>
      <w:r>
        <w:rPr>
          <w:rFonts w:ascii="Times New Roman" w:hAnsi="Times New Roman" w:eastAsia="Times New Roman" w:cs="Times New Roman"/>
          <w:b/>
          <w:color w:val="000000"/>
          <w:sz w:val="20"/>
        </w:rPr>
        <w:t>Figura 16 - Proporção posterior de TARGET = 1 por grupo no DBSCAN.</w:t>
      </w:r>
    </w:p>
    <w:p>
      <w:pPr>
        <w:pStyle w:val="SourceFinal"/>
      </w:pPr>
      <w:r>
        <w:rPr>
          <w:rFonts w:ascii="Times New Roman" w:hAnsi="Times New Roman" w:eastAsia="Times New Roman" w:cs="Times New Roman"/>
          <w:i/>
          <w:color w:val="000000"/>
          <w:sz w:val="20"/>
        </w:rPr>
        <w:t>Fonte: elaborado pelos autores; TARGET não participou da clusterização.</w:t>
      </w:r>
    </w:p>
    <w:p>
      <w:r>
        <w:rPr>
          <w:rFonts w:ascii="Times New Roman" w:hAnsi="Times New Roman" w:eastAsia="Times New Roman" w:cs="Times New Roman"/>
          <w:color w:val="000000"/>
          <w:sz w:val="24"/>
        </w:rPr>
        <w:t>No SimpleKMeans, a taxa posterior variou de 5,3% a 12,7%; no EM, de 6,3% a 13,0%; e no DBSCAN, de 4,2% a 16,7%. O maior valor do DBSCAN pertence a um microgrupo de apenas seis registros e deve ser interpretado com cautela. As diferenças observadas descrevem associações posteriores e não demonstram causalidade.</w:t>
      </w:r>
    </w:p>
    <w:p>
      <w:r>
        <w:br w:type="page"/>
      </w:r>
    </w:p>
    <w:p>
      <w:pPr>
        <w:pStyle w:val="Heading1"/>
        <w:keepNext/>
      </w:pPr>
      <w:r>
        <w:rPr>
          <w:rFonts w:ascii="Times New Roman" w:hAnsi="Times New Roman" w:eastAsia="Times New Roman" w:cs="Times New Roman"/>
          <w:b/>
          <w:color w:val="000000"/>
          <w:sz w:val="24"/>
        </w:rPr>
        <w:t>18 APLICAÇÕES COMERCIAIS</w:t>
      </w:r>
    </w:p>
    <w:p>
      <w:r>
        <w:rPr>
          <w:rFonts w:ascii="Times New Roman" w:hAnsi="Times New Roman" w:eastAsia="Times New Roman" w:cs="Times New Roman"/>
          <w:color w:val="000000"/>
          <w:sz w:val="24"/>
        </w:rPr>
        <w:t>Os perfis de jovens sem carro e famílias com filhos sem carro foram confirmados por mais de um método e constituem hipóteses comerciais consistentes para testes controlados. Podem apoiar campanhas de financiamento de veículos populares ou seminovos, mobilidade acessível, crédito voltado a despesas familiares e parcerias com revendas. A ausência de carro, contudo, não comprova intenção de compra.</w:t>
      </w:r>
    </w:p>
    <w:p>
      <w:r>
        <w:rPr>
          <w:rFonts w:ascii="Times New Roman" w:hAnsi="Times New Roman" w:eastAsia="Times New Roman" w:cs="Times New Roman"/>
          <w:color w:val="000000"/>
          <w:sz w:val="24"/>
        </w:rPr>
        <w:t>Clientes que já possuem carro podem receber comunicação distinta, voltada a seguro, manutenção, troca ou serviços associados. Grupos com crédito alto e relação crédito/renda elevada podem ser relevantes para portabilidade, refinanciamento ou revisão de relacionamento, mas não devem receber nova oferta sem avaliação individual de capacidade de pagamento.</w:t>
      </w:r>
    </w:p>
    <w:p>
      <w:r>
        <w:rPr>
          <w:rFonts w:ascii="Times New Roman" w:hAnsi="Times New Roman" w:eastAsia="Times New Roman" w:cs="Times New Roman"/>
          <w:color w:val="000000"/>
          <w:sz w:val="24"/>
        </w:rPr>
        <w:t>O grupo com muitos créditos ativos e os registros classificados como ruído são mais compatíveis com renegociação, consolidação de dívidas e análise individual do que com concessão agressiva de crédito. Qualquer campanha deve ser testada de forma controlada e acompanhada por métricas de conversão, inadimplência, retorno financeiro e estabilidade fora da amostra.</w:t>
      </w:r>
    </w:p>
    <w:p>
      <w:r>
        <w:br w:type="page"/>
      </w:r>
    </w:p>
    <w:p>
      <w:pPr>
        <w:pStyle w:val="Heading1"/>
        <w:keepNext/>
      </w:pPr>
      <w:r>
        <w:rPr>
          <w:rFonts w:ascii="Times New Roman" w:hAnsi="Times New Roman" w:eastAsia="Times New Roman" w:cs="Times New Roman"/>
          <w:b/>
          <w:color w:val="000000"/>
          <w:sz w:val="24"/>
        </w:rPr>
        <w:t>19 RESPONSABILIDADE, ÉTICA E LIMITAÇÕES</w:t>
      </w:r>
    </w:p>
    <w:p>
      <w:pPr>
        <w:pStyle w:val="Heading2"/>
        <w:keepNext/>
      </w:pPr>
      <w:r>
        <w:rPr>
          <w:rFonts w:ascii="Times New Roman" w:hAnsi="Times New Roman" w:eastAsia="Times New Roman" w:cs="Times New Roman"/>
          <w:b/>
          <w:color w:val="000000"/>
          <w:sz w:val="24"/>
        </w:rPr>
        <w:t>19.1 Limitações metodológicas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 amostra de 10.000 registros é reproduzível, mas representa apenas parte dos 307.511 clientes da base de origem.</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 Estatística de Hopkins depende da representação, dos atributos e dos pesos escolhidos.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 normalização Min-Max é sensível a valores extremos.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 Silhouette foi estimada com 3.000 registros para evitar o custo quadrático completo.</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As métricas do DBSCAN excluem ruídos, enquanto os resumos comerciais os preservam.</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 avaliação do EM usa rótulos rígidos exportados pelo AddCluster, e não as probabilidades internas.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Microgrupos com 6, 48 e 49 registros não sustentam campanhas amplas.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As saídas textuais brutas do WEKA não foram preservadas, especialmente no caso do EM com K = 10.</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Não foi realizado teste temporal nem validação em uma nova amostra para medir estabilidade.</w:t>
      </w:r>
    </w:p>
    <w:p>
      <w:pPr>
        <w:pStyle w:val="Heading2"/>
        <w:keepNext/>
      </w:pPr>
      <w:r>
        <w:rPr>
          <w:rFonts w:ascii="Times New Roman" w:hAnsi="Times New Roman" w:eastAsia="Times New Roman" w:cs="Times New Roman"/>
          <w:b/>
          <w:color w:val="000000"/>
          <w:sz w:val="24"/>
        </w:rPr>
        <w:t>19.2 Cautelas éticas e uso responsável</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TARGET foi utilizado somente após a clusterização e não permite inferir causalidade.</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Ruído identificado pelo DBSCAN não deve ser interpretado como fraude.</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Idade, quantidade de filhos, estado civil e outras características pessoais não devem ser usadas de forma discriminatória.</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Decisões automatizadas de concessão, negação ou precificação de crédito não devem ser tomadas apenas com base nos clusters.</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Aplicações reais devem observar princípios de minimização de dados, finalidade, transparência, segurança e não discriminação.</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Os resultados deste trabalho têm finalidade acadêmica e exploratória.</w:t>
      </w:r>
    </w:p>
    <w:p>
      <w:r>
        <w:br w:type="page"/>
      </w:r>
    </w:p>
    <w:p>
      <w:pPr>
        <w:pStyle w:val="Heading1"/>
        <w:keepNext/>
      </w:pPr>
      <w:r>
        <w:rPr>
          <w:rFonts w:ascii="Times New Roman" w:hAnsi="Times New Roman" w:eastAsia="Times New Roman" w:cs="Times New Roman"/>
          <w:b/>
          <w:color w:val="000000"/>
          <w:sz w:val="24"/>
        </w:rPr>
        <w:t>20 USO DE APOIO DE INTELIGÊNCIA ARTIFICIAL</w:t>
      </w:r>
    </w:p>
    <w:p>
      <w:r>
        <w:rPr>
          <w:rFonts w:ascii="Times New Roman" w:hAnsi="Times New Roman" w:eastAsia="Times New Roman" w:cs="Times New Roman"/>
          <w:color w:val="000000"/>
          <w:sz w:val="24"/>
        </w:rPr>
        <w:t>As bases analise_cluster_dbscan.csv, analise_cluster_kmeans.csv e analise_cluster_em.csv, seus resumos estatísticos, os arquivos de configuração e os gráficos foram fornecidos a uma ferramenta de inteligência artificial para auxiliar a síntese dos perfis, a comparação textual e a revisão de coerência do relatório.</w:t>
      </w:r>
    </w:p>
    <w:p>
      <w:r>
        <w:rPr>
          <w:rFonts w:ascii="Times New Roman" w:hAnsi="Times New Roman" w:eastAsia="Times New Roman" w:cs="Times New Roman"/>
          <w:color w:val="000000"/>
          <w:sz w:val="24"/>
        </w:rPr>
        <w:t>Os valores numéricos, métricas, contagens, transformações e configurações foram calculados pelos scripts do projeto e conferidos contra as bases e os ARFFs exportados pelo WEKA. A inteligência artificial não executou o WEKA, não gerou métricas e não substituiu a responsabilidade dos integrantes pela verificação e pela redação final.</w:t>
      </w:r>
    </w:p>
    <w:p>
      <w:r>
        <w:br w:type="page"/>
      </w:r>
    </w:p>
    <w:p>
      <w:pPr>
        <w:pStyle w:val="Heading1"/>
        <w:keepNext/>
      </w:pPr>
      <w:r>
        <w:rPr>
          <w:rFonts w:ascii="Times New Roman" w:hAnsi="Times New Roman" w:eastAsia="Times New Roman" w:cs="Times New Roman"/>
          <w:b/>
          <w:color w:val="000000"/>
          <w:sz w:val="24"/>
        </w:rPr>
        <w:t>21 CONCLUSÃO</w:t>
      </w:r>
    </w:p>
    <w:p>
      <w:r>
        <w:rPr>
          <w:rFonts w:ascii="Times New Roman" w:hAnsi="Times New Roman" w:eastAsia="Times New Roman" w:cs="Times New Roman"/>
          <w:color w:val="000000"/>
          <w:sz w:val="24"/>
        </w:rPr>
        <w:t>O trabalho construiu uma pipeline completa e rastreável de clusterização a partir da base do Trabalho 1. A amostra de 10.000 registros foi criada com semente 42; seis atributos interpretáveis foram transformados com pesos explícitos; a Estatística de Hopkins atingiu 0,941745; e três métodos foram executados no WEKA pelo filtro AddCluster.</w:t>
      </w:r>
    </w:p>
    <w:p>
      <w:r>
        <w:rPr>
          <w:rFonts w:ascii="Times New Roman" w:hAnsi="Times New Roman" w:eastAsia="Times New Roman" w:cs="Times New Roman"/>
          <w:color w:val="000000"/>
          <w:sz w:val="24"/>
        </w:rPr>
        <w:t>O SimpleKMeans apresentou o melhor resultado relativo nas métricas internas avaliadas e os grupos mais equilibrados entre as soluções finais. O DBSCAN contribuiu ao identificar ruídos e combinações raras. O EM confirmou perfis importantes, embora tenha concentrado 43,59% da amostra em um único grupo. Os métodos oferecem visões complementares sobre a carteira.</w:t>
      </w:r>
    </w:p>
    <w:p>
      <w:r>
        <w:rPr>
          <w:rFonts w:ascii="Times New Roman" w:hAnsi="Times New Roman" w:eastAsia="Times New Roman" w:cs="Times New Roman"/>
          <w:color w:val="000000"/>
          <w:sz w:val="24"/>
        </w:rPr>
        <w:t>Foram encontrados perfis recorrentes de jovens sem carro, famílias com filhos sem carro, clientes maduros, clientes de crédito elevado, clientes com muitos contratos ativos e casos fora do padrão. Essas interpretações apoiam hipóteses comerciais plausíveis, mas exigem validação adicional, testes controlados e análise individual antes de qualquer decisão real de crédito.</w:t>
      </w:r>
    </w:p>
    <w:p>
      <w:r>
        <w:br w:type="page"/>
      </w:r>
    </w:p>
    <w:p>
      <w:pPr>
        <w:pStyle w:val="Heading1"/>
        <w:keepNext/>
      </w:pPr>
      <w:r>
        <w:rPr>
          <w:rFonts w:ascii="Times New Roman" w:hAnsi="Times New Roman" w:eastAsia="Times New Roman" w:cs="Times New Roman"/>
          <w:b/>
          <w:color w:val="000000"/>
          <w:sz w:val="24"/>
        </w:rPr>
        <w:t>22 REFERÊNCIAS</w:t>
      </w:r>
    </w:p>
    <w:p>
      <w:pPr>
        <w:pStyle w:val="ReferenceFinal"/>
      </w:pPr>
      <w:r>
        <w:rPr>
          <w:rFonts w:ascii="Times New Roman" w:hAnsi="Times New Roman" w:eastAsia="Times New Roman" w:cs="Times New Roman"/>
          <w:color w:val="000000"/>
          <w:sz w:val="24"/>
        </w:rPr>
        <w:t>CALIŃSKI, T.; HARABASZ, J. A dendrite method for cluster analysis. Communications in Statistics, v. 3, n. 1, p. 1-27, 1974. DOI: 10.1080/03610927408827101.</w:t>
      </w:r>
    </w:p>
    <w:p>
      <w:pPr>
        <w:pStyle w:val="ReferenceFinal"/>
      </w:pPr>
      <w:r>
        <w:rPr>
          <w:rFonts w:ascii="Times New Roman" w:hAnsi="Times New Roman" w:eastAsia="Times New Roman" w:cs="Times New Roman"/>
          <w:color w:val="000000"/>
          <w:sz w:val="24"/>
        </w:rPr>
        <w:t>DAVIES, D. L.; BOULDIN, D. W. A cluster separation measure. IEEE Transactions on Pattern Analysis and Machine Intelligence, v. 1, n. 2, p. 224-227, 1979. DOI: 10.1109/TPAMI.1979.4766909.</w:t>
      </w:r>
    </w:p>
    <w:p>
      <w:pPr>
        <w:pStyle w:val="ReferenceFinal"/>
      </w:pPr>
      <w:r>
        <w:rPr>
          <w:rFonts w:ascii="Times New Roman" w:hAnsi="Times New Roman" w:eastAsia="Times New Roman" w:cs="Times New Roman"/>
          <w:color w:val="000000"/>
          <w:sz w:val="24"/>
        </w:rPr>
        <w:t>DEMPSTER, A. P.; LAIRD, N. M.; RUBIN, D. B. Maximum likelihood from incomplete data via the EM algorithm. Journal of the Royal Statistical Society: Series B, v. 39, n. 1, p. 1-22, 1977. DOI: 10.1111/j.2517-6161.1977.tb01600.x.</w:t>
      </w:r>
    </w:p>
    <w:p>
      <w:pPr>
        <w:pStyle w:val="ReferenceFinal"/>
      </w:pPr>
      <w:r>
        <w:rPr>
          <w:rFonts w:ascii="Times New Roman" w:hAnsi="Times New Roman" w:eastAsia="Times New Roman" w:cs="Times New Roman"/>
          <w:color w:val="000000"/>
          <w:sz w:val="24"/>
        </w:rPr>
        <w:t>ESTER, M.; KRIEGEL, H.-P.; SANDER, J.; XU, X. A density-based algorithm for discovering clusters in large spatial databases with noise. In: PROCEEDINGS OF THE SECOND INTERNATIONAL CONFERENCE ON KNOWLEDGE DISCOVERY AND DATA MINING. Portland: AAAI Press, 1996. p. 226-231.</w:t>
      </w:r>
    </w:p>
    <w:p>
      <w:pPr>
        <w:pStyle w:val="ReferenceFinal"/>
      </w:pPr>
      <w:r>
        <w:rPr>
          <w:rFonts w:ascii="Times New Roman" w:hAnsi="Times New Roman" w:eastAsia="Times New Roman" w:cs="Times New Roman"/>
          <w:color w:val="000000"/>
          <w:sz w:val="24"/>
        </w:rPr>
        <w:t>HALL, M. et al. The WEKA data mining software: an update. SIGKDD Explorations, v. 11, n. 1, p. 10-18, 2009. DOI: 10.1145/1656274.1656278.</w:t>
      </w:r>
    </w:p>
    <w:p>
      <w:pPr>
        <w:pStyle w:val="ReferenceFinal"/>
      </w:pPr>
      <w:r>
        <w:rPr>
          <w:rFonts w:ascii="Times New Roman" w:hAnsi="Times New Roman" w:eastAsia="Times New Roman" w:cs="Times New Roman"/>
          <w:color w:val="000000"/>
          <w:sz w:val="24"/>
        </w:rPr>
        <w:t>HOPKINS, B.; SKELLAM, J. G. A new method for determining the type of distribution of plant individuals. Annals of Botany, v. 18, n. 2, p. 213-227, 1954. DOI: 10.1093/oxfordjournals.aob.a083391.</w:t>
      </w:r>
    </w:p>
    <w:p>
      <w:pPr>
        <w:pStyle w:val="ReferenceFinal"/>
      </w:pPr>
      <w:r>
        <w:rPr>
          <w:rFonts w:ascii="Times New Roman" w:hAnsi="Times New Roman" w:eastAsia="Times New Roman" w:cs="Times New Roman"/>
          <w:color w:val="000000"/>
          <w:sz w:val="24"/>
        </w:rPr>
        <w:t>MACQUEEN, J. Some methods for classification and analysis of multivariate observations. In: PROCEEDINGS OF THE FIFTH BERKELEY SYMPOSIUM ON MATHEMATICAL STATISTICS AND PROBABILITY. Berkeley: University of California Press, 1967. v. 1, p. 281-297.</w:t>
      </w:r>
    </w:p>
    <w:p>
      <w:pPr>
        <w:pStyle w:val="ReferenceFinal"/>
      </w:pPr>
      <w:r>
        <w:rPr>
          <w:rFonts w:ascii="Times New Roman" w:hAnsi="Times New Roman" w:eastAsia="Times New Roman" w:cs="Times New Roman"/>
          <w:color w:val="000000"/>
          <w:sz w:val="24"/>
        </w:rPr>
        <w:t>PEDREGOSA, F. et al. Scikit-learn: machine learning in Python. Journal of Machine Learning Research, v. 12, n. 85, p. 2825-2830, 2011.</w:t>
      </w:r>
    </w:p>
    <w:p>
      <w:pPr>
        <w:pStyle w:val="ReferenceFinal"/>
      </w:pPr>
      <w:r>
        <w:rPr>
          <w:rFonts w:ascii="Times New Roman" w:hAnsi="Times New Roman" w:eastAsia="Times New Roman" w:cs="Times New Roman"/>
          <w:color w:val="000000"/>
          <w:sz w:val="24"/>
        </w:rPr>
        <w:t>ROUSSEEUW, P. J. Silhouettes: a graphical aid to the interpretation and validation of cluster analysis. Journal of Computational and Applied Mathematics, v. 20, p. 53-65, 1987. DOI: 10.1016/0377-0427(87)90125-7.</w:t>
      </w:r>
    </w:p>
    <w:p>
      <w:pPr>
        <w:pStyle w:val="ReferenceFinal"/>
      </w:pPr>
      <w:r>
        <w:rPr>
          <w:rFonts w:ascii="Times New Roman" w:hAnsi="Times New Roman" w:eastAsia="Times New Roman" w:cs="Times New Roman"/>
          <w:color w:val="000000"/>
          <w:sz w:val="24"/>
        </w:rPr>
        <w:t>UNIVERSIDADE FEDERAL DE UBERLÂNDIA. p1.py e p2.py: scripts didáticos para preparação ponderada e Estatística de Hopkins. Monte Carmelo, 2026. Material fornecido na disciplina de Ciência de Dados.</w:t>
      </w:r>
    </w:p>
    <w:p>
      <w:pPr>
        <w:pStyle w:val="ReferenceFinal"/>
      </w:pPr>
      <w:r>
        <w:rPr>
          <w:rFonts w:ascii="Times New Roman" w:hAnsi="Times New Roman" w:eastAsia="Times New Roman" w:cs="Times New Roman"/>
          <w:color w:val="000000"/>
          <w:sz w:val="24"/>
        </w:rPr>
        <w:t>UNIVERSIDADE FEDERAL DE UBERLÂNDIA. Trabalho Prático 1 de Ciência de Dados: base final pré-processada. Monte Carmelo, 2026. Base de dados e documentação internas do projeto.</w:t>
      </w:r>
    </w:p>
    <w:p>
      <w:pPr>
        <w:pStyle w:val="ReferenceFinal"/>
      </w:pPr>
      <w:r>
        <w:rPr>
          <w:rFonts w:ascii="Times New Roman" w:hAnsi="Times New Roman" w:eastAsia="Times New Roman" w:cs="Times New Roman"/>
          <w:color w:val="000000"/>
          <w:sz w:val="24"/>
        </w:rPr>
        <w:t>UNIVERSITY OF WAIKATO. AddCluster: WEKA API documentation. Hamilton, 2026.</w:t>
      </w:r>
    </w:p>
    <w:p>
      <w:pPr>
        <w:pStyle w:val="ReferenceFinal"/>
      </w:pPr>
      <w:r>
        <w:rPr>
          <w:rFonts w:ascii="Times New Roman" w:hAnsi="Times New Roman" w:eastAsia="Times New Roman" w:cs="Times New Roman"/>
          <w:color w:val="000000"/>
          <w:sz w:val="24"/>
        </w:rPr>
        <w:t>UNIVERSITY OF WAIKATO. optics_dbScan: the OPTICS and DBSCAN clustering algorithms. Versão 1.0.6. Hamilton, 2026.</w:t>
      </w:r>
    </w:p>
    <w:p>
      <w:r>
        <w:br w:type="page"/>
      </w:r>
    </w:p>
    <w:p>
      <w:pPr>
        <w:pStyle w:val="Heading1"/>
        <w:keepNext/>
      </w:pPr>
      <w:r>
        <w:rPr>
          <w:rFonts w:ascii="Times New Roman" w:hAnsi="Times New Roman" w:eastAsia="Times New Roman" w:cs="Times New Roman"/>
          <w:b/>
          <w:color w:val="000000"/>
          <w:sz w:val="24"/>
        </w:rPr>
        <w:t>APÊNDICE A - ARQUIVOS E RASTREABILIDADE</w:t>
      </w:r>
    </w:p>
    <w:p>
      <w:pPr>
        <w:jc w:val="left"/>
      </w:pPr>
      <w:r>
        <w:rPr>
          <w:rFonts w:ascii="Times New Roman" w:hAnsi="Times New Roman" w:eastAsia="Times New Roman" w:cs="Times New Roman"/>
          <w:color w:val="000000"/>
          <w:sz w:val="24"/>
        </w:rPr>
        <w:t>Os principais artefatos gerados ao longo do Trabalho Prático 3 são:</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data/amostras/base_amostra_10000_completa.csv;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data/amostras/base_amostra_10000_analise.csv;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data/preparadas/base_clusterizacao_final.csv;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data/preparadas/base_clusterizacao_final.arff;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data/clusterizadas_weka/base_clusterizada_dbscan.arff;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data/clusterizadas_weka/base_clusterizada_dbscan.csv;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data/clusterizadas_weka/base_clusterizada_kmeans_final.arff;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data/clusterizadas_weka/base_clusterizada_kmeans_final.csv;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data/clusterizadas_weka/base_clusterizada_em_final.arff;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data/clusterizadas_weka/base_clusterizada_em_final.csv;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data/analise/analise_cluster_dbscan.csv;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data/analise/analise_cluster_kmeans.csv;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data/analise/analise_cluster_em.csv.</w:t>
      </w:r>
    </w:p>
    <w:p>
      <w:pPr>
        <w:jc w:val="left"/>
      </w:pPr>
      <w:r>
        <w:rPr>
          <w:rFonts w:ascii="Times New Roman" w:hAnsi="Times New Roman" w:eastAsia="Times New Roman" w:cs="Times New Roman"/>
          <w:color w:val="000000"/>
          <w:sz w:val="24"/>
        </w:rPr>
        <w:t>As exportações finais do WEKA foram validadas com 10.000 registros e sete colunas no total: seis atributos de entrada e uma coluna cluster. Os seis atributos de entrada foram comparados integralmente, linha a linha, com a base preparada. A ordem e os valores permaneceram inalterados.</w:t>
      </w:r>
    </w:p>
    <w:p>
      <w:r>
        <w:br w:type="page"/>
      </w:r>
    </w:p>
    <w:p>
      <w:pPr>
        <w:pStyle w:val="Heading1"/>
        <w:keepNext/>
      </w:pPr>
      <w:r>
        <w:rPr>
          <w:rFonts w:ascii="Times New Roman" w:hAnsi="Times New Roman" w:eastAsia="Times New Roman" w:cs="Times New Roman"/>
          <w:b/>
          <w:color w:val="000000"/>
          <w:sz w:val="24"/>
        </w:rPr>
        <w:t>APÊNDICE B - CONFIGURAÇÕES COMPLETAS</w:t>
      </w:r>
    </w:p>
    <w:p>
      <w:pPr>
        <w:jc w:val="left"/>
      </w:pPr>
      <w:r>
        <w:rPr>
          <w:rFonts w:ascii="Times New Roman" w:hAnsi="Times New Roman" w:eastAsia="Times New Roman" w:cs="Times New Roman"/>
          <w:color w:val="000000"/>
          <w:sz w:val="24"/>
        </w:rPr>
        <w:t>DBSCAN selecionado: epsilon = 0,274264329676; minPoints = 6; distância euclidiana com a opção -D; nove clusters; 296 ruídos; tempo do AddCluster de 7,739836 segundos.</w:t>
      </w:r>
    </w:p>
    <w:p>
      <w:pPr>
        <w:jc w:val="left"/>
      </w:pPr>
      <w:r>
        <w:rPr>
          <w:rFonts w:ascii="Times New Roman" w:hAnsi="Times New Roman" w:eastAsia="Times New Roman" w:cs="Times New Roman"/>
          <w:color w:val="000000"/>
          <w:sz w:val="24"/>
        </w:rPr>
        <w:t>SimpleKMeans selecionado: K = 9; semente 42; inicialização aleatória; máximo de 500 iterações; 62 iterações executadas; uma thread; SSE de 2.284,489341365910; tempo do AddCluster de 1,254532 segundos.</w:t>
      </w:r>
    </w:p>
    <w:p>
      <w:pPr>
        <w:jc w:val="left"/>
      </w:pPr>
      <w:r>
        <w:rPr>
          <w:rFonts w:ascii="Times New Roman" w:hAnsi="Times New Roman" w:eastAsia="Times New Roman" w:cs="Times New Roman"/>
          <w:color w:val="000000"/>
          <w:sz w:val="24"/>
        </w:rPr>
        <w:t>EM selecionado: nove clusters; semente 42; máximo de 100 iterações; dez inicializações internas de K-Means; desvio padrão mínimo de 1e-6; uma thread; log-likelihood de 2,56187; tempo do AddCluster de 3,300190 segundos.</w:t>
      </w:r>
    </w:p>
    <w:p>
      <w:r>
        <w:br w:type="page"/>
      </w:r>
    </w:p>
    <w:p>
      <w:pPr>
        <w:pStyle w:val="Heading1"/>
        <w:keepNext/>
      </w:pPr>
      <w:r>
        <w:rPr>
          <w:rFonts w:ascii="Times New Roman" w:hAnsi="Times New Roman" w:eastAsia="Times New Roman" w:cs="Times New Roman"/>
          <w:b/>
          <w:color w:val="000000"/>
          <w:sz w:val="24"/>
        </w:rPr>
        <w:t>APÊNDICE C - BASES ANEXADAS</w:t>
      </w:r>
    </w:p>
    <w:p>
      <w:pPr>
        <w:jc w:val="left"/>
      </w:pPr>
      <w:r>
        <w:rPr>
          <w:rFonts w:ascii="Times New Roman" w:hAnsi="Times New Roman" w:eastAsia="Times New Roman" w:cs="Times New Roman"/>
          <w:color w:val="000000"/>
          <w:sz w:val="24"/>
        </w:rPr>
        <w:t>A entrega deve acompanhar as bases relativas às três clusterizações finais e a base preparada usada no WEKA. As bases clusterizadas mantêm os 10.000 registros e a coluna cluster realmente exportada pelo filtro AddCluster.</w:t>
      </w:r>
    </w:p>
    <w:p>
      <w:pPr>
        <w:jc w:val="left"/>
      </w:pPr>
      <w:r>
        <w:rPr>
          <w:rFonts w:ascii="Times New Roman" w:hAnsi="Times New Roman" w:eastAsia="Times New Roman" w:cs="Times New Roman"/>
          <w:color w:val="000000"/>
          <w:sz w:val="24"/>
        </w:rPr>
        <w:t>Para análise, foram gerados analise_cluster_dbscan.csv, analise_cluster_kmeans.csv e analise_cluster_em.csv, cada um com 10.000 linhas e 49 colunas. Esses arquivos incluem ROW_ID_AMOSTRA, SK_ID_CURR, TARGET, atributos originais, atributos transformados e o cluster atribuído. TARGET aparece somente nessa camada posterior.</w:t>
      </w:r>
    </w:p>
    <w:p>
      <w:r>
        <w:br w:type="page"/>
      </w:r>
    </w:p>
    <w:p>
      <w:pPr>
        <w:pStyle w:val="Heading1"/>
        <w:keepNext/>
      </w:pPr>
      <w:r>
        <w:rPr>
          <w:rFonts w:ascii="Times New Roman" w:hAnsi="Times New Roman" w:eastAsia="Times New Roman" w:cs="Times New Roman"/>
          <w:b/>
          <w:color w:val="000000"/>
          <w:sz w:val="24"/>
        </w:rPr>
        <w:t>APÊNDICE D - CHECKLIST DE ENTREGA</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Relatório final em DOCX e PDF;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base_clusterizacao_final.csv e base_clusterizacao_final.arff;</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base_clusterizada_dbscan.arff e base_clusterizada_dbscan.csv;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base_clusterizada_kmeans_final.arff e base_clusterizada_kmeans_final.csv;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base_clusterizada_em_final.arff e base_clusterizada_em_final.csv;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bases analise_cluster_dbscan.csv, analise_cluster_kmeans.csv e analise_cluster_em.csv;</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scripts p1.py, p2.py e scripts próprios do Trabalho 3;</w:t>
      </w:r>
    </w:p>
    <w:p>
      <w:pPr>
        <w:spacing w:line="360" w:lineRule="auto" w:after="0"/>
        <w:ind w:left="397" w:hanging="227"/>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resultados de Hopkins, configurações, métricas, gráficos e manifesto de arquivos.</w:t>
      </w:r>
    </w:p>
    <w:sectPr w:rsidR="00FC693F" w:rsidRPr="0006063C" w:rsidSect="00034616">
      <w:headerReference w:type="default" r:id="rId15"/>
      <w:footerReference w:type="default" r:id="rId16"/>
      <w:pgSz w:w="11906" w:h="16838"/>
      <w:pgMar w:top="1701" w:right="1134" w:bottom="1134" w:left="1701" w:header="680" w:footer="68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ind w:firstLine="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Final">
    <w:name w:val="Table Caption Final"/>
    <w:pPr>
      <w:keepNext/>
      <w:spacing w:before="120" w:after="80"/>
      <w:ind w:firstLine="0"/>
    </w:pPr>
    <w:rPr>
      <w:rFonts w:ascii="Times New Roman" w:hAnsi="Times New Roman"/>
      <w:b/>
      <w:sz w:val="20"/>
    </w:rPr>
  </w:style>
  <w:style w:type="paragraph" w:customStyle="1" w:styleId="FigureCaptionFinal">
    <w:name w:val="Figure Caption Final"/>
    <w:pPr>
      <w:keepNext/>
      <w:spacing w:before="60" w:after="20"/>
      <w:ind w:firstLine="0"/>
      <w:jc w:val="center"/>
    </w:pPr>
    <w:rPr>
      <w:rFonts w:ascii="Times New Roman" w:hAnsi="Times New Roman"/>
      <w:b/>
      <w:sz w:val="20"/>
    </w:rPr>
  </w:style>
  <w:style w:type="paragraph" w:customStyle="1" w:styleId="SourceFinal">
    <w:name w:val="Source Final"/>
    <w:pPr>
      <w:spacing w:line="240" w:lineRule="auto" w:after="100"/>
      <w:ind w:firstLine="0"/>
      <w:jc w:val="center"/>
    </w:pPr>
    <w:rPr>
      <w:rFonts w:ascii="Times New Roman" w:hAnsi="Times New Roman"/>
      <w:i/>
      <w:sz w:val="20"/>
    </w:rPr>
  </w:style>
  <w:style w:type="paragraph" w:customStyle="1" w:styleId="ReferenceFinal">
    <w:name w:val="Reference Final"/>
    <w:pPr>
      <w:spacing w:line="240" w:lineRule="auto" w:after="120"/>
      <w:ind w:left="454" w:hanging="454"/>
      <w:jc w:val="left"/>
    </w:pPr>
    <w:rPr>
      <w:rFonts w:ascii="Times New Roman" w:hAnsi="Times New Roman"/>
      <w:sz w:val="24"/>
    </w:rPr>
  </w:style>
  <w:style w:type="paragraph" w:customStyle="1" w:styleId="TOCFinal">
    <w:name w:val="TOC Final"/>
    <w:pPr>
      <w:spacing w:line="240" w:lineRule="auto" w:before="0" w:after="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Clusterização Para Análise De Perfis De Crédito</dc:title>
  <dc:subject>Trabalho Prático 3 de Ciência de Dados - Clusterização</dc:subject>
  <dc:creator>Gil Antony Borba; Raphael Muniz Varela; Victor Leal; Ygor Marangoni</dc:creator>
  <cp:keywords>clusterização; WEKA; DBSCAN; K-Means; EM; Hopkins</cp:keywords>
  <dc:description>generated by python-docx</dc:description>
  <cp:lastModifiedBy/>
  <cp:revision>1</cp:revision>
  <dcterms:created xsi:type="dcterms:W3CDTF">2013-12-23T23:15:00Z</dcterms:created>
  <dcterms:modified xsi:type="dcterms:W3CDTF">2013-12-23T23:15:00Z</dcterms:modified>
  <cp:category/>
</cp:coreProperties>
</file>