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spacing w:before="0" w:after="80"/>
        <w:rPr/>
      </w:pPr>
      <w:r>
        <w:rPr>
          <w:rFonts w:eastAsia="Arial" w:cs="Arial"/>
          <w:b w:val="false"/>
          <w:bCs w:val="false"/>
          <w:caps/>
          <w:color w:val="333333"/>
          <w:sz w:val="20"/>
          <w:szCs w:val="20"/>
        </w:rPr>
        <w:t>DOCUMENTAÇÃO DO PROJETO</w:t>
      </w:r>
    </w:p>
    <w:p>
      <w:pPr>
        <w:pStyle w:val="Normal"/>
        <w:spacing w:before="0" w:after="40"/>
        <w:rPr/>
      </w:pPr>
      <w:r>
        <w:rPr>
          <w:rFonts w:eastAsia="Arial" w:cs="Arial"/>
          <w:b/>
          <w:bCs/>
          <w:color w:val="000000"/>
          <w:sz w:val="72"/>
          <w:szCs w:val="72"/>
        </w:rPr>
        <w:t>Sapien</w:t>
      </w:r>
    </w:p>
    <w:p>
      <w:pPr>
        <w:pStyle w:val="Normal"/>
        <w:spacing w:before="0" w:after="0"/>
        <w:rPr/>
      </w:pPr>
      <w:r>
        <w:rPr>
          <w:rFonts w:eastAsia="Arial" w:cs="Arial"/>
          <w:i/>
          <w:iCs/>
          <w:color w:val="333333"/>
          <w:sz w:val="24"/>
          <w:szCs w:val="24"/>
        </w:rPr>
        <w:t>Sistema de Gestão Acadêmica Universitária</w:t>
      </w:r>
    </w:p>
    <w:p>
      <w:pPr>
        <w:pStyle w:val="Normal"/>
        <w:spacing w:before="160" w:after="0"/>
        <w:rPr/>
      </w:pPr>
      <w:r>
        <w:rPr/>
      </w:r>
    </w:p>
    <w:p>
      <w:pPr>
        <w:pStyle w:val="Normal"/>
        <w:pBdr>
          <w:bottom w:val="single" w:sz="8" w:space="1" w:color="8B1A1A"/>
        </w:pBdr>
        <w:spacing w:before="0" w:after="0"/>
        <w:rPr/>
      </w:pPr>
      <w:r>
        <w:rPr/>
      </w:r>
    </w:p>
    <w:p>
      <w:pPr>
        <w:pStyle w:val="Normal"/>
        <w:spacing w:before="160" w:after="0"/>
        <w:rPr/>
      </w:pPr>
      <w:r>
        <w:rPr/>
      </w:r>
      <w:r>
        <w:br w:type="page"/>
      </w:r>
    </w:p>
    <w:p>
      <w:pPr>
        <w:pStyle w:val="Normal"/>
        <w:spacing w:before="0" w:after="120"/>
        <w:rPr/>
      </w:pPr>
      <w:r>
        <w:rPr>
          <w:b/>
          <w:bCs/>
          <w:sz w:val="28"/>
          <w:szCs w:val="28"/>
        </w:rPr>
        <w:t>7. MANUTENÇÃO</w:t>
      </w:r>
    </w:p>
    <w:p>
      <w:pPr>
        <w:pStyle w:val="Normal"/>
        <w:pBdr>
          <w:bottom w:val="single" w:sz="8" w:space="1" w:color="8B1A1A"/>
        </w:pBdr>
        <w:rPr/>
      </w:pPr>
      <w:r>
        <w:rPr/>
      </w:r>
    </w:p>
    <w:p>
      <w:pPr>
        <w:pStyle w:val="Normal"/>
        <w:spacing w:before="80" w:after="0"/>
        <w:rPr/>
      </w:pPr>
      <w:r>
        <w:rPr/>
      </w:r>
    </w:p>
    <w:p>
      <w:pPr>
        <w:pStyle w:val="Normal"/>
        <w:spacing w:before="240" w:after="40"/>
        <w:rPr/>
      </w:pPr>
      <w:r>
        <w:rPr>
          <w:b/>
          <w:bCs/>
          <w:color w:val="333333"/>
          <w:sz w:val="20"/>
          <w:szCs w:val="20"/>
        </w:rPr>
        <w:t xml:space="preserve">Responsável:  </w:t>
      </w:r>
      <w:r>
        <w:rPr>
          <w:sz w:val="20"/>
          <w:szCs w:val="20"/>
        </w:rPr>
        <w:t>Davi Ferreira Leandro</w:t>
      </w:r>
    </w:p>
    <w:p>
      <w:pPr>
        <w:pStyle w:val="Normal"/>
        <w:spacing w:before="0" w:after="200"/>
        <w:rPr/>
      </w:pPr>
      <w:r>
        <w:rPr>
          <w:b/>
          <w:bCs/>
          <w:color w:val="333333"/>
          <w:sz w:val="20"/>
          <w:szCs w:val="20"/>
        </w:rPr>
        <w:t xml:space="preserve">Função:  </w:t>
      </w:r>
      <w:r>
        <w:rPr>
          <w:sz w:val="20"/>
          <w:szCs w:val="20"/>
        </w:rPr>
        <w:t>Engenheiro de Sistemas / DPO</w:t>
      </w:r>
    </w:p>
    <w:p>
      <w:pPr>
        <w:pStyle w:val="Normal"/>
        <w:pBdr>
          <w:bottom w:val="single" w:sz="4" w:space="1" w:color="CCCCCC"/>
        </w:pBdr>
        <w:rPr/>
      </w:pPr>
      <w:r>
        <w:rPr/>
      </w:r>
    </w:p>
    <w:p>
      <w:pPr>
        <w:pStyle w:val="Normal"/>
        <w:spacing w:before="0" w:after="120"/>
        <w:rPr/>
      </w:pPr>
      <w:r>
        <w:rPr>
          <w:color w:val="333333"/>
        </w:rPr>
        <w:t>No âmbito da fase de Manutenção do Ciclo de Vida de Desenvolvimento de Software (CVDS) do projeto Sapien, esta seção apresenta a minuta do Acordo de Manutenção, Suporte e Sustentação a ser firmado entre a instituição de ensino contratante e a empresa desenvolvedora responsável pela solução, válida a partir da entrega e do aceite final do sistema (Go-Live), formalizado por meio do Termo de Aceite de Implantação (Seção 6). A estrutura da minuta segue o modelo de referência adotado em contratações de operação continuada, manutenção (corretiva e legal) e suporte de sistemas estruturantes — com classificação de chamados por severidade, acordo de nível de serviço (SLA), penalidades por descumprimento e regras de continuidade —, adaptada à realidade do Sistema Sapien e ao panorama regulatório brasileiro vigente em 2026, com destaque para a Lei Geral de Proteção de Dados Pessoais (Lei nº 13.709/2018) e para as normas da Autoridade Nacional de Proteção de Dados (ANPD), aplicáveis ao tratamento de dados acadêmicos e financeiros dos usuários do Sapien.</w:t>
      </w:r>
    </w:p>
    <w:p>
      <w:pPr>
        <w:pStyle w:val="Normal"/>
        <w:spacing w:before="280" w:after="80"/>
        <w:rPr>
          <w:b/>
          <w:bCs/>
          <w:color w:val="8B1A1A"/>
          <w:sz w:val="24"/>
          <w:szCs w:val="24"/>
        </w:rPr>
      </w:pPr>
      <w:r>
        <w:rPr>
          <w:b/>
          <w:bCs/>
          <w:color w:val="8B1A1A"/>
          <w:sz w:val="24"/>
          <w:szCs w:val="24"/>
        </w:rPr>
        <w:t>7.1 Identificação das Partes</w:t>
      </w:r>
    </w:p>
    <w:p>
      <w:pPr>
        <w:pStyle w:val="Normal"/>
        <w:spacing w:before="0" w:after="160"/>
        <w:rPr/>
      </w:pPr>
      <w:r>
        <w:rPr>
          <w:color w:val="333333"/>
        </w:rPr>
        <w:t>Pelo presente instrumento, de um lado Centro Educacional Alves Faria, pessoa jurídica de direito privado, inscrita no CNPJ sob nº 02.850.990/0001-82, com sede em Av. Perimetral Norte, 4129 – St. Vila João Vaz, Goiânia – GO, CEP 74445-190, doravante denominada CONTRATANTE; e de outro lado Sapien Softwares, pessoa jurídica de direito privado, inscrita no CNPJ sob nº 98.765.432/0001-98, com sede em Rua 9, nº 850, Sala 302, Setor Oeste, Goiânia/GO, CEP 74.120-020, doravante denominada CONTRATADA, têm entre si justo e acordado o presente Acordo de Manutenção, Suporte e Sustentação do Sistema Sapien (“Acordo”), que se regulará pelas cláusulas a seguir.</w:t>
      </w:r>
    </w:p>
    <w:p>
      <w:pPr>
        <w:pStyle w:val="Normal"/>
        <w:spacing w:before="280" w:after="80"/>
        <w:rPr>
          <w:b/>
          <w:bCs/>
          <w:color w:val="8B1A1A"/>
          <w:sz w:val="24"/>
          <w:szCs w:val="24"/>
        </w:rPr>
      </w:pPr>
      <w:r>
        <w:rPr>
          <w:b/>
          <w:bCs/>
          <w:color w:val="8B1A1A"/>
          <w:sz w:val="24"/>
          <w:szCs w:val="24"/>
        </w:rPr>
        <w:t>7.2 Minuta do Acordo de Manutenção, Suporte e Sustentação</w:t>
      </w:r>
    </w:p>
    <w:p>
      <w:pPr>
        <w:pStyle w:val="Normal"/>
        <w:spacing w:before="240" w:after="40"/>
        <w:rPr>
          <w:b/>
          <w:bCs/>
        </w:rPr>
      </w:pPr>
      <w:r>
        <w:rPr>
          <w:b/>
          <w:bCs/>
        </w:rPr>
        <w:t>CLÁUSULA 1ª — DO OBJETO</w:t>
      </w:r>
    </w:p>
    <w:p>
      <w:pPr>
        <w:pStyle w:val="Normal"/>
        <w:spacing w:before="0" w:after="120"/>
        <w:rPr/>
      </w:pPr>
      <w:r>
        <w:rPr>
          <w:color w:val="333333"/>
        </w:rPr>
        <w:t>O presente Acordo tem por objeto a prestação, pela CONTRATADA, dos serviços continuados de suporte operacional, manutenção corretiva, manutenção evolutiva/adaptativa e manutenção legal do Sistema Sapien (“SISTEMA”), incluindo o licenciamento de uso da solução, conforme especificações funcionais e não funcionais constantes nas demais seções desta documentação (Seções 0 a 6), garantindo a operação estável, segura e atualizada da solução após o aceite final e a entrada em produção (Go-Live).</w:t>
      </w:r>
    </w:p>
    <w:p>
      <w:pPr>
        <w:pStyle w:val="Normal"/>
        <w:spacing w:before="0" w:after="120"/>
        <w:rPr/>
      </w:pPr>
      <w:r>
        <w:rPr>
          <w:color w:val="333333"/>
        </w:rPr>
        <w:t>Não integra o objeto deste Acordo o desenvolvimento de novos módulos funcionais não previstos no escopo original do Sistema Sapien (item “Fora do Escopo”, Seção 0.1), os quais deverão ser tratados em aditivo contratual específico, com orçamento, prazo e equipe próprios, mediante aprovação prévia da CONTRATANTE.</w:t>
      </w:r>
    </w:p>
    <w:p>
      <w:pPr>
        <w:pStyle w:val="Normal"/>
        <w:spacing w:before="240" w:after="40"/>
        <w:rPr>
          <w:b/>
          <w:bCs/>
        </w:rPr>
      </w:pPr>
      <w:r>
        <w:rPr>
          <w:b/>
          <w:bCs/>
        </w:rPr>
        <w:t>CLÁUSULA 2ª — DAS DEFINIÇÕES</w:t>
      </w:r>
    </w:p>
    <w:p>
      <w:pPr>
        <w:pStyle w:val="Normal"/>
        <w:spacing w:before="0" w:after="120"/>
        <w:rPr/>
      </w:pPr>
      <w:r>
        <w:rPr>
          <w:color w:val="333333"/>
        </w:rPr>
        <w:t>Para os fins deste Acordo, adotam-se as seguintes definições:</w:t>
      </w:r>
    </w:p>
    <w:p>
      <w:pPr>
        <w:pStyle w:val="Normal"/>
        <w:spacing w:before="0" w:after="120"/>
        <w:rPr/>
      </w:pPr>
      <w:r>
        <w:rPr>
          <w:color w:val="333333"/>
        </w:rPr>
        <w:t>a) Manutenção Corretiva: conjunto de solicitações relativas a funcionalidades do SISTEMA que estejam operando em desacordo com o especificado nas Seções 2 e 4 desta documentação, decorrentes de falhas, defeitos ou erros, a serem corrigidas pela CONTRATADA sem custo adicional à CONTRATANTE;</w:t>
      </w:r>
    </w:p>
    <w:p>
      <w:pPr>
        <w:pStyle w:val="Normal"/>
        <w:spacing w:before="0" w:after="120"/>
        <w:rPr/>
      </w:pPr>
      <w:r>
        <w:rPr>
          <w:color w:val="333333"/>
        </w:rPr>
        <w:t>b) Manutenção Evolutiva/Adaptativa: alterações solicitadas pela CONTRATANTE para incorporação de novas funcionalidades, melhorias de performance ou adaptação a novas integrações, mediante avaliação de esforço, prazo e custo específicos, registrados em Ordem de Serviço (OS);</w:t>
      </w:r>
    </w:p>
    <w:p>
      <w:pPr>
        <w:pStyle w:val="Normal"/>
        <w:spacing w:before="0" w:after="120"/>
        <w:rPr/>
      </w:pPr>
      <w:r>
        <w:rPr>
          <w:color w:val="333333"/>
        </w:rPr>
        <w:t>c) Manutenção Preventiva: atividades programadas de monitoramento, otimização de banco de dados, aplicação de patches de segurança e atualização de dependências, executadas em janelas previamente acordadas com a CONTRATANTE, visando à atualização tecnológica do SISTEMA sem custo adicional à CONTRATANTE;</w:t>
      </w:r>
    </w:p>
    <w:p>
      <w:pPr>
        <w:pStyle w:val="Normal"/>
        <w:spacing w:before="0" w:after="120"/>
        <w:rPr/>
      </w:pPr>
      <w:r>
        <w:rPr>
          <w:color w:val="333333"/>
        </w:rPr>
        <w:t>d) Manutenção Legal: alterações decorrentes de modificações em leis municipais, estaduais ou federais, ou em normas e resoluções de órgãos reguladores aplicáveis ao SISTEMA — incluindo, sem limitação, a LGPD e as regulamentações da ANPD, exigências do Ministério da Educação (MEC) relativas a registros e documentos acadêmicos, e normas do Banco Central aplicáveis aos instrumentos de pagamento utilizados pelo Módulo de Gestão Financeira (Pix e boleto bancário) — a serem entregues pela CONTRATADA com antecedência mínima de 30 (trinta) dias do prazo legal de adequação, sem custo adicional à CONTRATANTE;</w:t>
      </w:r>
    </w:p>
    <w:p>
      <w:pPr>
        <w:pStyle w:val="Normal"/>
        <w:spacing w:before="0" w:after="120"/>
        <w:rPr/>
      </w:pPr>
      <w:r>
        <w:rPr>
          <w:color w:val="333333"/>
        </w:rPr>
        <w:t>e) Suporte Operacional: atendimento prestado por equipe da CONTRATADA para esclarecimento de dúvidas funcionais e técnicas quanto ao funcionamento dos módulos do SISTEMA, em dias úteis, das 08h às 18h (“Horário de Atendimento”);</w:t>
      </w:r>
    </w:p>
    <w:p>
      <w:pPr>
        <w:pStyle w:val="Normal"/>
        <w:spacing w:before="0" w:after="120"/>
        <w:rPr/>
      </w:pPr>
      <w:r>
        <w:rPr>
          <w:color w:val="333333"/>
        </w:rPr>
        <w:t>f) Acordo de Nível de Serviço (SLA): documento que estabelece, de forma mensurável e clara, os parâmetros de qualidade, prazos e indicadores de desempenho exigidos da CONTRATADA na prestação dos serviços de Suporte Operacional, Manutenção Corretiva e Manutenção Legal, conforme a Cláusula 5ª;</w:t>
      </w:r>
    </w:p>
    <w:p>
      <w:pPr>
        <w:pStyle w:val="Normal"/>
        <w:spacing w:before="0" w:after="120"/>
        <w:rPr/>
      </w:pPr>
      <w:r>
        <w:rPr>
          <w:color w:val="333333"/>
        </w:rPr>
        <w:t>g) Severidade (Criticidade): indicador atribuído a cada chamado em função do impacto da ocorrência sobre a operação do SISTEMA em ambiente de Produção, conforme critérios da Cláusula 5ª;</w:t>
      </w:r>
    </w:p>
    <w:p>
      <w:pPr>
        <w:pStyle w:val="Normal"/>
        <w:spacing w:before="0" w:after="120"/>
        <w:rPr/>
      </w:pPr>
      <w:r>
        <w:rPr>
          <w:color w:val="333333"/>
        </w:rPr>
        <w:t>h) Solução de Contorno: ação temporária adotada pela CONTRATADA para restabelecer a operação do SISTEMA enquanto a solução definitiva não é desenvolvida e implantada, sujeita à aprovação da CONTRATANTE e à posterior substituição por solução definitiva;</w:t>
      </w:r>
    </w:p>
    <w:p>
      <w:pPr>
        <w:pStyle w:val="Normal"/>
        <w:spacing w:before="0" w:after="120"/>
        <w:rPr/>
      </w:pPr>
      <w:r>
        <w:rPr>
          <w:color w:val="333333"/>
        </w:rPr>
        <w:t>i) Ordem de Serviço (OS): documento que formaliza a descrição de uma demanda de Manutenção Evolutiva/Adaptativa, contendo escopo, estimativa de esforço, prazo de entrega e, quando aplicável, impacto financeiro;</w:t>
      </w:r>
    </w:p>
    <w:p>
      <w:pPr>
        <w:pStyle w:val="Normal"/>
        <w:spacing w:before="0" w:after="120"/>
        <w:rPr/>
      </w:pPr>
      <w:r>
        <w:rPr>
          <w:color w:val="333333"/>
        </w:rPr>
        <w:t>j) Ambientes de Produção e Homologação: respectivamente, o ambiente em uso efetivo pelos usuários finais (alunos, professores e colaboradores) e o ambiente destinado à validação das soluções entregues pela CONTRATADA antes da promoção de alterações para Produção.</w:t>
      </w:r>
    </w:p>
    <w:p>
      <w:pPr>
        <w:pStyle w:val="Normal"/>
        <w:spacing w:before="240" w:after="40"/>
        <w:rPr>
          <w:b/>
          <w:bCs/>
        </w:rPr>
      </w:pPr>
      <w:r>
        <w:rPr>
          <w:b/>
          <w:bCs/>
        </w:rPr>
        <w:t>CLÁUSULA 3ª — DA VIGÊNCIA, RENOVAÇÃO E REAJUSTE</w:t>
      </w:r>
    </w:p>
    <w:p>
      <w:pPr>
        <w:pStyle w:val="Normal"/>
        <w:spacing w:before="0" w:after="120"/>
        <w:rPr/>
      </w:pPr>
      <w:r>
        <w:rPr>
          <w:color w:val="333333"/>
        </w:rPr>
        <w:t>O presente Acordo entra em vigor na data de sua assinatura, com vigência inicial de 12 (doze) meses, podendo ser renovado por períodos sucessivos mediante manifestação expressa de ambas as partes, com antecedência mínima de 60 (sessenta) dias do término da vigência em curso. Alternativamente, em linha com o modelo de referência adotado para sistemas estruturantes, a CONTRATANTE poderá optar por vigência de longo prazo (por exemplo, 60 (sessenta) meses), mantidas as demais condições desta cláusula.</w:t>
      </w:r>
    </w:p>
    <w:p>
      <w:pPr>
        <w:pStyle w:val="Normal"/>
        <w:spacing w:before="0" w:after="120"/>
        <w:rPr/>
      </w:pPr>
      <w:r>
        <w:rPr>
          <w:color w:val="333333"/>
        </w:rPr>
        <w:t>Os valores devidos pela CONTRATANTE à CONTRATADA pelos serviços previstos neste Acordo poderão ser reajustados anualmente, após o transcurso de 12 (doze) meses da data de assinatura, com base na variação acumulada do Índice Nacional de Preços ao Consumidor Amplo (IPCA/IBGE) ou outro índice oficial que venha a substituí-lo.</w:t>
      </w:r>
    </w:p>
    <w:p>
      <w:pPr>
        <w:pStyle w:val="Normal"/>
        <w:spacing w:before="120" w:after="160"/>
        <w:rPr/>
      </w:pPr>
      <w:r>
        <w:rPr/>
      </w:r>
    </w:p>
    <w:p>
      <w:pPr>
        <w:pStyle w:val="Normal"/>
        <w:spacing w:before="240" w:after="40"/>
        <w:rPr>
          <w:b/>
          <w:bCs/>
        </w:rPr>
      </w:pPr>
      <w:r>
        <w:rPr>
          <w:b/>
          <w:bCs/>
        </w:rPr>
        <w:t>CLÁUSULA 4ª — DOS CANAIS DE ATENDIMENTO E DA ABERTURA DE CHAMADOS</w:t>
      </w:r>
    </w:p>
    <w:p>
      <w:pPr>
        <w:pStyle w:val="Normal"/>
        <w:spacing w:before="0" w:after="120"/>
        <w:rPr/>
      </w:pPr>
      <w:r>
        <w:rPr>
          <w:color w:val="333333"/>
        </w:rPr>
        <w:t>a) a CONTRATADA disponibilizará sistema de gestão de chamados (Service Desk) para registro, acompanhamento e encerramento das solicitações de Suporte Operacional, Manutenção Corretiva, Manutenção Legal e Manutenção Evolutiva/Adaptativa, podendo ser complementado por canais de e-mail e, quando necessário e previamente agendado, videoconferência;</w:t>
      </w:r>
    </w:p>
    <w:p>
      <w:pPr>
        <w:pStyle w:val="Normal"/>
        <w:spacing w:before="0" w:after="120"/>
        <w:rPr/>
      </w:pPr>
      <w:r>
        <w:rPr>
          <w:color w:val="333333"/>
        </w:rPr>
        <w:t>b) no prazo de 15 (quinze) dias úteis a contar da assinatura, a CONTRATANTE designará formalmente os colaboradores autorizados a abrir, acompanhar e encerrar chamados junto à CONTRATADA;</w:t>
      </w:r>
    </w:p>
    <w:p>
      <w:pPr>
        <w:pStyle w:val="Normal"/>
        <w:spacing w:before="0" w:after="120"/>
        <w:rPr/>
      </w:pPr>
      <w:r>
        <w:rPr>
          <w:color w:val="333333"/>
        </w:rPr>
        <w:t>c) a abertura do chamado deverá conter descrição detalhada da ocorrência, incluindo passos para reprodução, evidências (capturas de tela, mensagens de erro, registros de log) e demais informações úteis ao diagnóstico pela CONTRATADA;</w:t>
      </w:r>
    </w:p>
    <w:p>
      <w:pPr>
        <w:pStyle w:val="Normal"/>
        <w:spacing w:before="0" w:after="120"/>
        <w:rPr/>
      </w:pPr>
      <w:r>
        <w:rPr>
          <w:color w:val="333333"/>
        </w:rPr>
        <w:t>d) ao receber o chamado, a CONTRATADA deverá registrá-lo e classificá-lo quanto à severidade, conforme os critérios da Cláusula 5ª, comunicando à CONTRATANTE o prazo estimado para a solução;</w:t>
      </w:r>
    </w:p>
    <w:p>
      <w:pPr>
        <w:pStyle w:val="Normal"/>
        <w:spacing w:before="0" w:after="120"/>
        <w:rPr/>
      </w:pPr>
      <w:r>
        <w:rPr>
          <w:color w:val="333333"/>
        </w:rPr>
        <w:t>e) o chamado será considerado encerrado após a confirmação, pela CONTRATANTE, de que a demanda foi atendida satisfatoriamente, devendo a CONTRATADA documentar a solução adotada para referência futura;</w:t>
      </w:r>
    </w:p>
    <w:p>
      <w:pPr>
        <w:pStyle w:val="Normal"/>
        <w:spacing w:before="0" w:after="120"/>
        <w:rPr/>
      </w:pPr>
      <w:r>
        <w:rPr>
          <w:color w:val="333333"/>
        </w:rPr>
        <w:t>f) o cancelamento de chamado poderá ser solicitado pela CONTRATANTE, mediante justificativa formal (por exemplo, duplicidade de chamados ou solicitação fora do objeto deste Acordo), sujeito à concordância da CONTRATADA.</w:t>
      </w:r>
    </w:p>
    <w:p>
      <w:pPr>
        <w:pStyle w:val="Normal"/>
        <w:spacing w:before="240" w:after="40"/>
        <w:rPr>
          <w:b/>
          <w:bCs/>
        </w:rPr>
      </w:pPr>
      <w:r>
        <w:rPr>
          <w:b/>
          <w:bCs/>
        </w:rPr>
        <w:t>CLÁUSULA 5ª — DO ACORDO DE NÍVEL DE SERVIÇO (SLA)</w:t>
      </w:r>
    </w:p>
    <w:p>
      <w:pPr>
        <w:pStyle w:val="Normal"/>
        <w:spacing w:before="0" w:after="120"/>
        <w:rPr/>
      </w:pPr>
      <w:r>
        <w:rPr>
          <w:color w:val="333333"/>
        </w:rPr>
        <w:t>Os chamados de Manutenção Corretiva e Manutenção Legal abertos em ambiente de Produção serão classificados pela CONTRATADA, no momento do recebimento, em uma das severidades a seguir, observados os respectivos prazos de início de atendimento e de solução:</w:t>
      </w:r>
    </w:p>
    <w:p>
      <w:pPr>
        <w:pStyle w:val="Normal"/>
        <w:spacing w:before="0" w:after="120"/>
        <w:rPr/>
      </w:pPr>
      <w:r>
        <w:rPr>
          <w:color w:val="333333"/>
        </w:rPr>
        <w:t>a) Severidade 1 (Crítica): ocorrência que provoque a paralisação total do SISTEMA ou de funcionalidade essencial ao funcionamento institucional — como os módulos de Login e Autenticação, Matrícula ou Cobranças (Seção 4.2) —, impedindo a continuidade razoável da operação. Prazo de início de atendimento: imediato. Prazo para solução de contorno: até 2 (duas) horas úteis. Prazo para solução definitiva: até 3 (três) dias úteis;</w:t>
      </w:r>
    </w:p>
    <w:p>
      <w:pPr>
        <w:pStyle w:val="Normal"/>
        <w:spacing w:before="0" w:after="120"/>
        <w:rPr/>
      </w:pPr>
      <w:r>
        <w:rPr>
          <w:color w:val="333333"/>
        </w:rPr>
        <w:t>b) Severidade 2 (Alta): ocorrência que provoque perda de performance ou indisponibilidade de funcionalidade relevante, sem impedir a continuidade da operação em modo restrito. Prazo de início de atendimento: até 2 (duas) horas úteis. Prazo para solução de contorno: até 12 (doze) horas úteis. Prazo para solução definitiva: até 6 (seis) dias úteis. Quando o chamado decorrer de ocorrência de Severidade 1 já registrada, os prazos acima serão reduzidos em 4 (quatro) horas;</w:t>
      </w:r>
    </w:p>
    <w:p>
      <w:pPr>
        <w:pStyle w:val="Normal"/>
        <w:spacing w:before="0" w:after="120"/>
        <w:rPr/>
      </w:pPr>
      <w:r>
        <w:rPr>
          <w:color w:val="333333"/>
        </w:rPr>
        <w:t>c) Severidade 3 (Média): ocorrência que cause perda menor de performance ou inconveniência operacional, com a funcionalidade ainda utilizável. Prazo de início de atendimento: até 4 (quatro) horas úteis. Prazo para solução definitiva: até 24 (vinte e quatro) horas úteis, podendo a CONTRATADA, mediante justificativa formal e indicação de solução de contorno, prorrogar o prazo para até 12 (doze) dias úteis. Quando o chamado decorrer de ocorrência de Severidade 1 ou 2 já registrada, os prazos acima serão reduzidos em 8 (oito) horas;</w:t>
      </w:r>
    </w:p>
    <w:p>
      <w:pPr>
        <w:pStyle w:val="Normal"/>
        <w:spacing w:before="0" w:after="120"/>
        <w:rPr/>
      </w:pPr>
      <w:r>
        <w:rPr>
          <w:color w:val="333333"/>
        </w:rPr>
        <w:t>d) Chamados de Suporte Operacional (dúvidas quanto ao funcionamento dos módulos do SISTEMA) serão classificados como Severidade 3 para fins de apuração do SLA, com prazo de atendimento de até 10 (dez) dias úteis, podendo a CONTRATADA solucioná-los pelos canais previstos na Cláusula 4ª.</w:t>
      </w:r>
    </w:p>
    <w:p>
      <w:pPr>
        <w:pStyle w:val="Normal"/>
        <w:spacing w:before="0" w:after="120"/>
        <w:rPr/>
      </w:pPr>
      <w:r>
        <w:rPr>
          <w:color w:val="333333"/>
        </w:rPr>
        <w:t>O resumo dos prazos aplicáveis a cada severidade é apresentado na tabela a seguir:</w:t>
      </w:r>
    </w:p>
    <w:tbl>
      <w:tblPr>
        <w:tblStyle w:val="Tabelacomgrade"/>
        <w:tblW w:w="9026"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526"/>
        <w:gridCol w:w="3998"/>
        <w:gridCol w:w="1750"/>
        <w:gridCol w:w="1752"/>
      </w:tblGrid>
      <w:tr>
        <w:trPr>
          <w:tblHeader w:val="true"/>
        </w:trPr>
        <w:tc>
          <w:tcPr>
            <w:tcW w:w="1526" w:type="dxa"/>
            <w:tcBorders>
              <w:top w:val="single" w:sz="6" w:space="0" w:color="B62E2E"/>
              <w:start w:val="single" w:sz="4" w:space="0" w:color="CCCCCC"/>
              <w:bottom w:val="single" w:sz="6" w:space="0" w:color="B62E2E"/>
              <w:end w:val="single" w:sz="4" w:space="0" w:color="CCCCCC"/>
            </w:tcBorders>
            <w:shd w:color="auto" w:fill="E8C4C4" w:val="clear"/>
          </w:tcPr>
          <w:p>
            <w:pPr>
              <w:pStyle w:val="Normal"/>
              <w:widowControl/>
              <w:suppressAutoHyphens w:val="true"/>
              <w:spacing w:before="60" w:after="60"/>
              <w:jc w:val="center"/>
              <w:rPr>
                <w:sz w:val="20"/>
              </w:rPr>
            </w:pPr>
            <w:r>
              <w:rPr>
                <w:rFonts w:eastAsia="Arial" w:cs="Arial"/>
                <w:b/>
                <w:bCs/>
                <w:color w:val="000000"/>
                <w:kern w:val="0"/>
                <w:sz w:val="20"/>
                <w:szCs w:val="20"/>
                <w:lang w:val="pt-BR" w:eastAsia="zh-CN" w:bidi="hi-IN"/>
              </w:rPr>
              <w:t>Severidade</w:t>
            </w:r>
          </w:p>
        </w:tc>
        <w:tc>
          <w:tcPr>
            <w:tcW w:w="3998" w:type="dxa"/>
            <w:tcBorders>
              <w:top w:val="single" w:sz="6" w:space="0" w:color="B62E2E"/>
              <w:start w:val="single" w:sz="4" w:space="0" w:color="CCCCCC"/>
              <w:bottom w:val="single" w:sz="6" w:space="0" w:color="B62E2E"/>
              <w:end w:val="single" w:sz="4" w:space="0" w:color="CCCCCC"/>
            </w:tcBorders>
            <w:shd w:color="auto" w:fill="E8C4C4" w:val="clear"/>
          </w:tcPr>
          <w:p>
            <w:pPr>
              <w:pStyle w:val="Normal"/>
              <w:widowControl/>
              <w:suppressAutoHyphens w:val="true"/>
              <w:spacing w:before="60" w:after="60"/>
              <w:jc w:val="center"/>
              <w:rPr>
                <w:sz w:val="20"/>
              </w:rPr>
            </w:pPr>
            <w:r>
              <w:rPr>
                <w:rFonts w:eastAsia="Arial" w:cs="Arial"/>
                <w:b/>
                <w:bCs/>
                <w:color w:val="000000"/>
                <w:kern w:val="0"/>
                <w:sz w:val="20"/>
                <w:szCs w:val="20"/>
                <w:lang w:val="pt-BR" w:eastAsia="zh-CN" w:bidi="hi-IN"/>
              </w:rPr>
              <w:t>Critério de Classificação</w:t>
            </w:r>
          </w:p>
        </w:tc>
        <w:tc>
          <w:tcPr>
            <w:tcW w:w="1750" w:type="dxa"/>
            <w:tcBorders>
              <w:top w:val="single" w:sz="6" w:space="0" w:color="B62E2E"/>
              <w:start w:val="single" w:sz="4" w:space="0" w:color="CCCCCC"/>
              <w:bottom w:val="single" w:sz="6" w:space="0" w:color="B62E2E"/>
              <w:end w:val="single" w:sz="4" w:space="0" w:color="CCCCCC"/>
            </w:tcBorders>
            <w:shd w:color="auto" w:fill="E8C4C4" w:val="clear"/>
          </w:tcPr>
          <w:p>
            <w:pPr>
              <w:pStyle w:val="Normal"/>
              <w:widowControl/>
              <w:suppressAutoHyphens w:val="true"/>
              <w:spacing w:before="60" w:after="60"/>
              <w:jc w:val="center"/>
              <w:rPr>
                <w:sz w:val="20"/>
              </w:rPr>
            </w:pPr>
            <w:r>
              <w:rPr>
                <w:rFonts w:eastAsia="Arial" w:cs="Arial"/>
                <w:b/>
                <w:bCs/>
                <w:color w:val="000000"/>
                <w:kern w:val="0"/>
                <w:sz w:val="20"/>
                <w:szCs w:val="20"/>
                <w:lang w:val="pt-BR" w:eastAsia="zh-CN" w:bidi="hi-IN"/>
              </w:rPr>
              <w:t>Prazo de Início de Atendimento</w:t>
            </w:r>
          </w:p>
        </w:tc>
        <w:tc>
          <w:tcPr>
            <w:tcW w:w="1752" w:type="dxa"/>
            <w:tcBorders>
              <w:top w:val="single" w:sz="6" w:space="0" w:color="B62E2E"/>
              <w:start w:val="single" w:sz="4" w:space="0" w:color="CCCCCC"/>
              <w:bottom w:val="single" w:sz="6" w:space="0" w:color="B62E2E"/>
              <w:end w:val="single" w:sz="4" w:space="0" w:color="CCCCCC"/>
            </w:tcBorders>
            <w:shd w:color="auto" w:fill="E8C4C4" w:val="clear"/>
          </w:tcPr>
          <w:p>
            <w:pPr>
              <w:pStyle w:val="Normal"/>
              <w:widowControl/>
              <w:suppressAutoHyphens w:val="true"/>
              <w:spacing w:before="60" w:after="60"/>
              <w:jc w:val="center"/>
              <w:rPr>
                <w:sz w:val="20"/>
              </w:rPr>
            </w:pPr>
            <w:r>
              <w:rPr>
                <w:rFonts w:eastAsia="Arial" w:cs="Arial"/>
                <w:b/>
                <w:bCs/>
                <w:color w:val="000000"/>
                <w:kern w:val="0"/>
                <w:sz w:val="20"/>
                <w:szCs w:val="20"/>
                <w:lang w:val="pt-BR" w:eastAsia="zh-CN" w:bidi="hi-IN"/>
              </w:rPr>
              <w:t>Prazo de Solução</w:t>
            </w:r>
          </w:p>
        </w:tc>
      </w:tr>
      <w:tr>
        <w:trPr/>
        <w:tc>
          <w:tcPr>
            <w:tcW w:w="152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uppressAutoHyphens w:val="true"/>
              <w:spacing w:before="60" w:after="60"/>
              <w:jc w:val="center"/>
              <w:rPr>
                <w:sz w:val="20"/>
              </w:rPr>
            </w:pPr>
            <w:r>
              <w:rPr>
                <w:rFonts w:eastAsia="Arial" w:cs="Arial"/>
                <w:color w:val="000000"/>
                <w:kern w:val="0"/>
                <w:sz w:val="20"/>
                <w:szCs w:val="20"/>
                <w:lang w:val="pt-BR" w:eastAsia="zh-CN" w:bidi="hi-IN"/>
              </w:rPr>
              <w:t>1 – Crítica</w:t>
            </w:r>
          </w:p>
        </w:tc>
        <w:tc>
          <w:tcPr>
            <w:tcW w:w="3998"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uppressAutoHyphens w:val="true"/>
              <w:spacing w:before="60" w:after="60"/>
              <w:jc w:val="start"/>
              <w:rPr>
                <w:sz w:val="20"/>
              </w:rPr>
            </w:pPr>
            <w:r>
              <w:rPr>
                <w:rFonts w:eastAsia="Arial" w:cs="Arial"/>
                <w:color w:val="000000"/>
                <w:kern w:val="0"/>
                <w:sz w:val="20"/>
                <w:szCs w:val="20"/>
                <w:lang w:val="pt-BR" w:eastAsia="zh-CN" w:bidi="hi-IN"/>
              </w:rPr>
              <w:t>Paralisação total do SISTEMA ou de funcionalidade essencial (Login, Matrícula, Cobranças).</w:t>
            </w:r>
          </w:p>
        </w:tc>
        <w:tc>
          <w:tcPr>
            <w:tcW w:w="17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uppressAutoHyphens w:val="true"/>
              <w:spacing w:before="60" w:after="60"/>
              <w:jc w:val="center"/>
              <w:rPr>
                <w:sz w:val="20"/>
              </w:rPr>
            </w:pPr>
            <w:r>
              <w:rPr>
                <w:rFonts w:eastAsia="Arial" w:cs="Arial"/>
                <w:color w:val="000000"/>
                <w:kern w:val="0"/>
                <w:sz w:val="20"/>
                <w:szCs w:val="20"/>
                <w:lang w:val="pt-BR" w:eastAsia="zh-CN" w:bidi="hi-IN"/>
              </w:rPr>
              <w:t>Imediato</w:t>
            </w:r>
          </w:p>
        </w:tc>
        <w:tc>
          <w:tcPr>
            <w:tcW w:w="1752"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uppressAutoHyphens w:val="true"/>
              <w:spacing w:before="60" w:after="60"/>
              <w:jc w:val="center"/>
              <w:rPr>
                <w:sz w:val="20"/>
              </w:rPr>
            </w:pPr>
            <w:r>
              <w:rPr>
                <w:rFonts w:eastAsia="Arial" w:cs="Arial"/>
                <w:color w:val="000000"/>
                <w:kern w:val="0"/>
                <w:sz w:val="20"/>
                <w:szCs w:val="20"/>
                <w:lang w:val="pt-BR" w:eastAsia="zh-CN" w:bidi="hi-IN"/>
              </w:rPr>
              <w:t>Contorno: até 2h úteis; Definitiva: até 3 dias úteis</w:t>
            </w:r>
          </w:p>
        </w:tc>
      </w:tr>
      <w:tr>
        <w:trPr/>
        <w:tc>
          <w:tcPr>
            <w:tcW w:w="152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uppressAutoHyphens w:val="true"/>
              <w:spacing w:before="60" w:after="60"/>
              <w:jc w:val="center"/>
              <w:rPr>
                <w:sz w:val="20"/>
              </w:rPr>
            </w:pPr>
            <w:r>
              <w:rPr>
                <w:rFonts w:eastAsia="Arial" w:cs="Arial"/>
                <w:color w:val="000000"/>
                <w:kern w:val="0"/>
                <w:sz w:val="20"/>
                <w:szCs w:val="20"/>
                <w:lang w:val="pt-BR" w:eastAsia="zh-CN" w:bidi="hi-IN"/>
              </w:rPr>
              <w:t>2 – Alta</w:t>
            </w:r>
          </w:p>
        </w:tc>
        <w:tc>
          <w:tcPr>
            <w:tcW w:w="3998"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uppressAutoHyphens w:val="true"/>
              <w:spacing w:before="60" w:after="60"/>
              <w:jc w:val="start"/>
              <w:rPr>
                <w:sz w:val="20"/>
              </w:rPr>
            </w:pPr>
            <w:r>
              <w:rPr>
                <w:rFonts w:eastAsia="Arial" w:cs="Arial"/>
                <w:color w:val="000000"/>
                <w:kern w:val="0"/>
                <w:sz w:val="20"/>
                <w:szCs w:val="20"/>
                <w:lang w:val="pt-BR" w:eastAsia="zh-CN" w:bidi="hi-IN"/>
              </w:rPr>
              <w:t>Perda de performance ou indisponibilidade de funcionalidade relevante, operação restrita.</w:t>
            </w:r>
          </w:p>
        </w:tc>
        <w:tc>
          <w:tcPr>
            <w:tcW w:w="17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uppressAutoHyphens w:val="true"/>
              <w:spacing w:before="60" w:after="60"/>
              <w:jc w:val="center"/>
              <w:rPr>
                <w:sz w:val="20"/>
              </w:rPr>
            </w:pPr>
            <w:r>
              <w:rPr>
                <w:rFonts w:eastAsia="Arial" w:cs="Arial"/>
                <w:color w:val="000000"/>
                <w:kern w:val="0"/>
                <w:sz w:val="20"/>
                <w:szCs w:val="20"/>
                <w:lang w:val="pt-BR" w:eastAsia="zh-CN" w:bidi="hi-IN"/>
              </w:rPr>
              <w:t>até 2h úteis</w:t>
            </w:r>
          </w:p>
        </w:tc>
        <w:tc>
          <w:tcPr>
            <w:tcW w:w="1752"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uppressAutoHyphens w:val="true"/>
              <w:spacing w:before="60" w:after="60"/>
              <w:jc w:val="center"/>
              <w:rPr>
                <w:sz w:val="20"/>
              </w:rPr>
            </w:pPr>
            <w:r>
              <w:rPr>
                <w:rFonts w:eastAsia="Arial" w:cs="Arial"/>
                <w:color w:val="000000"/>
                <w:kern w:val="0"/>
                <w:sz w:val="20"/>
                <w:szCs w:val="20"/>
                <w:lang w:val="pt-BR" w:eastAsia="zh-CN" w:bidi="hi-IN"/>
              </w:rPr>
              <w:t>Contorno: até 12h úteis; Definitiva: até 6 dias úteis</w:t>
            </w:r>
          </w:p>
        </w:tc>
      </w:tr>
      <w:tr>
        <w:trPr/>
        <w:tc>
          <w:tcPr>
            <w:tcW w:w="152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uppressAutoHyphens w:val="true"/>
              <w:spacing w:before="60" w:after="60"/>
              <w:jc w:val="center"/>
              <w:rPr>
                <w:sz w:val="20"/>
              </w:rPr>
            </w:pPr>
            <w:r>
              <w:rPr>
                <w:rFonts w:eastAsia="Arial" w:cs="Arial"/>
                <w:color w:val="000000"/>
                <w:kern w:val="0"/>
                <w:sz w:val="20"/>
                <w:szCs w:val="20"/>
                <w:lang w:val="pt-BR" w:eastAsia="zh-CN" w:bidi="hi-IN"/>
              </w:rPr>
              <w:t>3 – Média</w:t>
            </w:r>
          </w:p>
        </w:tc>
        <w:tc>
          <w:tcPr>
            <w:tcW w:w="3998"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uppressAutoHyphens w:val="true"/>
              <w:spacing w:before="60" w:after="60"/>
              <w:jc w:val="start"/>
              <w:rPr>
                <w:sz w:val="20"/>
              </w:rPr>
            </w:pPr>
            <w:r>
              <w:rPr>
                <w:rFonts w:eastAsia="Arial" w:cs="Arial"/>
                <w:color w:val="000000"/>
                <w:kern w:val="0"/>
                <w:sz w:val="20"/>
                <w:szCs w:val="20"/>
                <w:lang w:val="pt-BR" w:eastAsia="zh-CN" w:bidi="hi-IN"/>
              </w:rPr>
              <w:t>Perda menor de performance ou inconveniência operacional, funcionalidade ainda utilizável.</w:t>
            </w:r>
          </w:p>
        </w:tc>
        <w:tc>
          <w:tcPr>
            <w:tcW w:w="17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uppressAutoHyphens w:val="true"/>
              <w:spacing w:before="60" w:after="60"/>
              <w:jc w:val="center"/>
              <w:rPr>
                <w:sz w:val="20"/>
              </w:rPr>
            </w:pPr>
            <w:r>
              <w:rPr>
                <w:rFonts w:eastAsia="Arial" w:cs="Arial"/>
                <w:color w:val="000000"/>
                <w:kern w:val="0"/>
                <w:sz w:val="20"/>
                <w:szCs w:val="20"/>
                <w:lang w:val="pt-BR" w:eastAsia="zh-CN" w:bidi="hi-IN"/>
              </w:rPr>
              <w:t>até 4h úteis</w:t>
            </w:r>
          </w:p>
        </w:tc>
        <w:tc>
          <w:tcPr>
            <w:tcW w:w="1752"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uppressAutoHyphens w:val="true"/>
              <w:spacing w:before="60" w:after="60"/>
              <w:jc w:val="center"/>
              <w:rPr>
                <w:sz w:val="20"/>
              </w:rPr>
            </w:pPr>
            <w:r>
              <w:rPr>
                <w:rFonts w:eastAsia="Arial" w:cs="Arial"/>
                <w:color w:val="000000"/>
                <w:kern w:val="0"/>
                <w:sz w:val="20"/>
                <w:szCs w:val="20"/>
                <w:lang w:val="pt-BR" w:eastAsia="zh-CN" w:bidi="hi-IN"/>
              </w:rPr>
              <w:t>até 24h úteis (prorrogável a até 12 dias úteis, mediante justificativa e solução de contorno)</w:t>
            </w:r>
          </w:p>
        </w:tc>
      </w:tr>
      <w:tr>
        <w:trPr/>
        <w:tc>
          <w:tcPr>
            <w:tcW w:w="1526"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uppressAutoHyphens w:val="true"/>
              <w:spacing w:before="60" w:after="60"/>
              <w:jc w:val="center"/>
              <w:rPr>
                <w:sz w:val="20"/>
              </w:rPr>
            </w:pPr>
            <w:r>
              <w:rPr>
                <w:rFonts w:eastAsia="Arial" w:cs="Arial"/>
                <w:color w:val="000000"/>
                <w:kern w:val="0"/>
                <w:sz w:val="20"/>
                <w:szCs w:val="20"/>
                <w:lang w:val="pt-BR" w:eastAsia="zh-CN" w:bidi="hi-IN"/>
              </w:rPr>
              <w:t>Suporte (dúvidas)</w:t>
            </w:r>
          </w:p>
        </w:tc>
        <w:tc>
          <w:tcPr>
            <w:tcW w:w="3998"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uppressAutoHyphens w:val="true"/>
              <w:spacing w:before="60" w:after="60"/>
              <w:jc w:val="start"/>
              <w:rPr>
                <w:sz w:val="20"/>
              </w:rPr>
            </w:pPr>
            <w:r>
              <w:rPr>
                <w:rFonts w:eastAsia="Arial" w:cs="Arial"/>
                <w:color w:val="000000"/>
                <w:kern w:val="0"/>
                <w:sz w:val="20"/>
                <w:szCs w:val="20"/>
                <w:lang w:val="pt-BR" w:eastAsia="zh-CN" w:bidi="hi-IN"/>
              </w:rPr>
              <w:t>Esclarecimento de dúvidas funcionais/técnicas — classificado como Severidade 3 para fins de SLA.</w:t>
            </w:r>
          </w:p>
        </w:tc>
        <w:tc>
          <w:tcPr>
            <w:tcW w:w="1750"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uppressAutoHyphens w:val="true"/>
              <w:spacing w:before="60" w:after="60"/>
              <w:jc w:val="center"/>
              <w:rPr>
                <w:sz w:val="20"/>
              </w:rPr>
            </w:pPr>
            <w:r>
              <w:rPr>
                <w:rFonts w:eastAsia="Arial" w:cs="Arial"/>
                <w:color w:val="000000"/>
                <w:kern w:val="0"/>
                <w:sz w:val="20"/>
                <w:szCs w:val="20"/>
                <w:lang w:val="pt-BR" w:eastAsia="zh-CN" w:bidi="hi-IN"/>
              </w:rPr>
              <w:t>—</w:t>
            </w:r>
          </w:p>
        </w:tc>
        <w:tc>
          <w:tcPr>
            <w:tcW w:w="1752" w:type="dxa"/>
            <w:tcBorders>
              <w:top w:val="single" w:sz="4" w:space="0" w:color="CCCCCC"/>
              <w:start w:val="single" w:sz="4" w:space="0" w:color="CCCCCC"/>
              <w:bottom w:val="single" w:sz="4" w:space="0" w:color="CCCCCC"/>
              <w:end w:val="single" w:sz="4" w:space="0" w:color="CCCCCC"/>
            </w:tcBorders>
            <w:shd w:color="auto" w:fill="FFFFFF" w:val="clear"/>
          </w:tcPr>
          <w:p>
            <w:pPr>
              <w:pStyle w:val="Normal"/>
              <w:widowControl/>
              <w:suppressAutoHyphens w:val="true"/>
              <w:spacing w:before="60" w:after="60"/>
              <w:jc w:val="center"/>
              <w:rPr>
                <w:sz w:val="20"/>
              </w:rPr>
            </w:pPr>
            <w:r>
              <w:rPr>
                <w:rFonts w:eastAsia="Arial" w:cs="Arial"/>
                <w:color w:val="000000"/>
                <w:kern w:val="0"/>
                <w:sz w:val="20"/>
                <w:szCs w:val="20"/>
                <w:lang w:val="pt-BR" w:eastAsia="zh-CN" w:bidi="hi-IN"/>
              </w:rPr>
              <w:t>até 10 dias úteis</w:t>
            </w:r>
          </w:p>
        </w:tc>
      </w:tr>
    </w:tbl>
    <w:p>
      <w:pPr>
        <w:pStyle w:val="Normal"/>
        <w:spacing w:before="0" w:after="120"/>
        <w:rPr/>
      </w:pPr>
      <w:r>
        <w:rPr>
          <w:color w:val="333333"/>
        </w:rPr>
        <w:t>O decurso do prazo de solução previsto para um chamado será suspenso quando a CONTRATADA comunicar formalmente à CONTRATANTE que a solução encontra-se disponível para validação em ambiente de Homologação, voltando a correr caso a CONTRATANTE identifique que o problema não foi solucionado ou que a solução apresenta o mesmo erro — hipótese em que não haverá reinício da contagem do prazo original.</w:t>
      </w:r>
    </w:p>
    <w:p>
      <w:pPr>
        <w:pStyle w:val="Normal"/>
        <w:spacing w:before="0" w:after="120"/>
        <w:rPr/>
      </w:pPr>
      <w:r>
        <w:rPr>
          <w:color w:val="333333"/>
        </w:rPr>
        <w:t>Para os chamados de Severidade 1 a 3, a CONTRATANTE disporá de prazo de até 2 (duas) vezes o prazo de solução definitiva para realizar a homologação da correção entregue. Esgotado esse prazo sem manifestação, o chamado será considerado aceito parcialmente por decurso de prazo, ficando a CONTRATADA autorizada a promover a implantação em ambiente de Produção, sem prejuízo de a CONTRATANTE relatar eventuais problemas remanescentes em até 30 (trinta) dias corridos da implantação.</w:t>
      </w:r>
    </w:p>
    <w:p>
      <w:pPr>
        <w:pStyle w:val="Normal"/>
        <w:spacing w:before="0" w:after="120"/>
        <w:rPr/>
      </w:pPr>
      <w:r>
        <w:rPr>
          <w:color w:val="333333"/>
        </w:rPr>
        <w:t>A CONTRATADA deverá garantir disponibilidade mínima mensal de 99% (noventa e nove por cento) do ambiente de Produção, excluídas as janelas de manutenção programada, que deverão ser comunicadas à CONTRATANTE com antecedência mínima de 48 (quarenta e oito) horas e, preferencialmente, realizadas fora do horário de maior utilização do SISTEMA (períodos de matrícula e divulgação de notas).</w:t>
      </w:r>
    </w:p>
    <w:p>
      <w:pPr>
        <w:pStyle w:val="Normal"/>
        <w:spacing w:before="0" w:after="120"/>
        <w:rPr/>
      </w:pPr>
      <w:r>
        <w:rPr>
          <w:color w:val="333333"/>
        </w:rPr>
        <w:t>Mensalmente, a CONTRATADA encaminhará à CONTRATANTE relatório comprobatório dos serviços, contendo, no mínimo: número do chamado, data e hora de abertura e de encerramento, severidade atribuída, responsável pela abertura, prazos previstos e efetivamente cumpridos, e situação final do chamado, o qual servirá de base para a apuração prevista na Cláusula 11ª.</w:t>
      </w:r>
    </w:p>
    <w:p>
      <w:pPr>
        <w:pStyle w:val="Normal"/>
        <w:spacing w:before="240" w:after="40"/>
        <w:rPr>
          <w:b/>
          <w:bCs/>
        </w:rPr>
      </w:pPr>
      <w:r>
        <w:rPr>
          <w:b/>
          <w:bCs/>
        </w:rPr>
        <w:t>CLÁUSULA 6ª — DAS OBRIGAÇÕES DA CONTRATADA</w:t>
      </w:r>
    </w:p>
    <w:p>
      <w:pPr>
        <w:pStyle w:val="Normal"/>
        <w:spacing w:before="0" w:after="120"/>
        <w:rPr/>
      </w:pPr>
      <w:r>
        <w:rPr>
          <w:color w:val="333333"/>
        </w:rPr>
        <w:t>Sem prejuízo de outras obrigações previstas neste Acordo, a CONTRATADA obriga-se a:</w:t>
      </w:r>
    </w:p>
    <w:p>
      <w:pPr>
        <w:pStyle w:val="Normal"/>
        <w:spacing w:before="0" w:after="120"/>
        <w:rPr/>
      </w:pPr>
      <w:r>
        <w:rPr>
          <w:color w:val="333333"/>
        </w:rPr>
        <w:t>a) manter equipe técnica capacitada e em quantidade suficiente para o cumprimento dos prazos estabelecidos na Cláusula 5ª;</w:t>
      </w:r>
    </w:p>
    <w:p>
      <w:pPr>
        <w:pStyle w:val="Normal"/>
        <w:spacing w:before="0" w:after="120"/>
        <w:rPr/>
      </w:pPr>
      <w:r>
        <w:rPr>
          <w:color w:val="333333"/>
        </w:rPr>
        <w:t>b) disponibilizar e manter o sistema de gestão de chamados (Service Desk) referido na Cláusula 4ª durante o Horário de Atendimento;</w:t>
      </w:r>
    </w:p>
    <w:p>
      <w:pPr>
        <w:pStyle w:val="Normal"/>
        <w:spacing w:before="0" w:after="120"/>
        <w:rPr/>
      </w:pPr>
      <w:r>
        <w:rPr>
          <w:color w:val="333333"/>
        </w:rPr>
        <w:t>c) aplicar tempestivamente patches de segurança e atualizações de dependências críticas do SISTEMA, no âmbito da Manutenção Preventiva;</w:t>
      </w:r>
    </w:p>
    <w:p>
      <w:pPr>
        <w:pStyle w:val="Normal"/>
        <w:spacing w:before="0" w:after="120"/>
        <w:rPr/>
      </w:pPr>
      <w:r>
        <w:rPr>
          <w:color w:val="333333"/>
        </w:rPr>
        <w:t>d) manter o código-fonte, a documentação técnica e os diagramas de processo (BPMN) atualizados e disponíveis à CONTRATANTE, conforme detalhado na Cláusula 9ª;</w:t>
      </w:r>
    </w:p>
    <w:p>
      <w:pPr>
        <w:pStyle w:val="Normal"/>
        <w:spacing w:before="0" w:after="120"/>
        <w:rPr/>
      </w:pPr>
      <w:r>
        <w:rPr>
          <w:color w:val="333333"/>
        </w:rPr>
        <w:t>e) executar rotinas periódicas de backup dos dados do SISTEMA, com a integridade das cópias comprovada mediante testes periódicos de restauração em ambiente de Homologação, comunicando à CONTRATANTE o cronograma adotado;</w:t>
      </w:r>
    </w:p>
    <w:p>
      <w:pPr>
        <w:pStyle w:val="Normal"/>
        <w:spacing w:before="0" w:after="120"/>
        <w:rPr/>
      </w:pPr>
      <w:r>
        <w:rPr>
          <w:color w:val="333333"/>
        </w:rPr>
        <w:t>f) comunicar previamente as janelas de Manutenção Preventiva, conforme prazo estabelecido na Cláusula 5ª;</w:t>
      </w:r>
    </w:p>
    <w:p>
      <w:pPr>
        <w:pStyle w:val="Normal"/>
        <w:spacing w:before="0" w:after="120"/>
        <w:rPr/>
      </w:pPr>
      <w:r>
        <w:rPr>
          <w:color w:val="333333"/>
        </w:rPr>
        <w:t>g) implementar as adequações de Manutenção Legal dentro dos prazos definidos na alínea “d” da Cláusula 2ª, sem custo adicional à CONTRATANTE;</w:t>
      </w:r>
    </w:p>
    <w:p>
      <w:pPr>
        <w:pStyle w:val="Normal"/>
        <w:spacing w:before="0" w:after="120"/>
        <w:rPr/>
      </w:pPr>
      <w:r>
        <w:rPr>
          <w:color w:val="333333"/>
        </w:rPr>
        <w:t>h) garantir que toda alteração realizada no SISTEMA — corretiva, evolutiva, preventiva ou legal — preserve a aderência à Lei Geral de Proteção de Dados Pessoais (LGPD), nos termos da Cláusula 8ª, e apresentar à CONTRATANTE, sempre que solicitado, evidências de testes de segurança e de vulnerabilidade do SISTEMA;</w:t>
      </w:r>
    </w:p>
    <w:p>
      <w:pPr>
        <w:pStyle w:val="Normal"/>
        <w:spacing w:before="0" w:after="120"/>
        <w:rPr/>
      </w:pPr>
      <w:r>
        <w:rPr>
          <w:color w:val="333333"/>
        </w:rPr>
        <w:t>i) apresentar à CONTRATANTE, no prazo de [30 (trinta)] dias da assinatura, plano de contingência que assegure a continuidade dos serviços em caso de indisponibilidade de sua equipe técnica ou de seu ambiente computacional, descrevendo, no mínimo, os procedimentos a serem adotados em cada hipótese.</w:t>
      </w:r>
    </w:p>
    <w:p>
      <w:pPr>
        <w:pStyle w:val="Normal"/>
        <w:spacing w:before="240" w:after="40"/>
        <w:rPr>
          <w:b/>
          <w:bCs/>
        </w:rPr>
      </w:pPr>
      <w:r>
        <w:rPr>
          <w:b/>
          <w:bCs/>
        </w:rPr>
        <w:t>CLÁUSULA 7ª — DAS OBRIGAÇÕES DA CONTRATANTE</w:t>
      </w:r>
    </w:p>
    <w:p>
      <w:pPr>
        <w:pStyle w:val="Normal"/>
        <w:spacing w:before="0" w:after="120"/>
        <w:rPr/>
      </w:pPr>
      <w:r>
        <w:rPr>
          <w:color w:val="333333"/>
        </w:rPr>
        <w:t>Sem prejuízo de outras obrigações previstas neste Acordo, a CONTRATANTE obriga-se a:</w:t>
      </w:r>
    </w:p>
    <w:p>
      <w:pPr>
        <w:pStyle w:val="Normal"/>
        <w:spacing w:before="0" w:after="120"/>
        <w:rPr/>
      </w:pPr>
      <w:r>
        <w:rPr>
          <w:color w:val="333333"/>
        </w:rPr>
        <w:t>a) designar formalmente um Gestor do Acordo, responsável pela interlocução técnica e administrativa com a CONTRATADA;</w:t>
      </w:r>
    </w:p>
    <w:p>
      <w:pPr>
        <w:pStyle w:val="Normal"/>
        <w:spacing w:before="0" w:after="120"/>
        <w:rPr/>
      </w:pPr>
      <w:r>
        <w:rPr>
          <w:color w:val="333333"/>
        </w:rPr>
        <w:t>b) efetuar os pagamentos devidos nas condições, valores e prazos pactuados na Cláusula 3ª;</w:t>
      </w:r>
    </w:p>
    <w:p>
      <w:pPr>
        <w:pStyle w:val="Normal"/>
        <w:spacing w:before="0" w:after="120"/>
        <w:rPr/>
      </w:pPr>
      <w:r>
        <w:rPr>
          <w:color w:val="333333"/>
        </w:rPr>
        <w:t>c) fornecer os acessos necessários aos ambientes de Homologação e Produção, bem como as credenciais e a infraestrutura indispensáveis à execução dos serviços;</w:t>
      </w:r>
    </w:p>
    <w:p>
      <w:pPr>
        <w:pStyle w:val="Normal"/>
        <w:spacing w:before="0" w:after="120"/>
        <w:rPr/>
      </w:pPr>
      <w:r>
        <w:rPr>
          <w:color w:val="333333"/>
        </w:rPr>
        <w:t>d) designar, conforme a Cláusula 4ª, os colaboradores autorizados a abrir, acompanhar e encerrar chamados, fornecendo, na abertura de cada chamado, informações detalhadas sobre a ocorrência e as evidências necessárias ao diagnóstico pela CONTRATADA;</w:t>
      </w:r>
    </w:p>
    <w:p>
      <w:pPr>
        <w:pStyle w:val="Normal"/>
        <w:spacing w:before="0" w:after="120"/>
        <w:rPr/>
      </w:pPr>
      <w:r>
        <w:rPr>
          <w:color w:val="333333"/>
        </w:rPr>
        <w:t>e) comunicar formalmente à CONTRATADA qualquer alteração legal ou normativa de seu conhecimento que possa impactar o SISTEMA, para fins de Manutenção Legal;</w:t>
      </w:r>
    </w:p>
    <w:p>
      <w:pPr>
        <w:pStyle w:val="Normal"/>
        <w:spacing w:before="0" w:after="120"/>
        <w:rPr/>
      </w:pPr>
      <w:r>
        <w:rPr>
          <w:color w:val="333333"/>
        </w:rPr>
        <w:t>f) homologar as entregas de Manutenção Corretiva e Evolutiva/Adaptativa dentro dos prazos previstos na Cláusula 5ª, sob pena de aceite parcial por decurso de prazo.</w:t>
      </w:r>
    </w:p>
    <w:p>
      <w:pPr>
        <w:pStyle w:val="Normal"/>
        <w:spacing w:before="240" w:after="40"/>
        <w:rPr>
          <w:b/>
          <w:bCs/>
        </w:rPr>
      </w:pPr>
      <w:r>
        <w:rPr>
          <w:b/>
          <w:bCs/>
        </w:rPr>
        <w:t>CLÁUSULA 8ª — DA PROTEÇÃO DE DADOS PESSOAIS (LGPD)</w:t>
      </w:r>
    </w:p>
    <w:p>
      <w:pPr>
        <w:pStyle w:val="Normal"/>
        <w:spacing w:before="0" w:after="120"/>
        <w:rPr/>
      </w:pPr>
      <w:r>
        <w:rPr>
          <w:color w:val="333333"/>
        </w:rPr>
        <w:t>As partes reconhecem que o Sistema Sapien realiza o tratamento de dados pessoais de alunos, professores e colaboradores — incluindo dados cadastrais, acadêmicos e financeiros — e se obrigam a observar integralmente a Lei Geral de Proteção de Dados Pessoais (Lei nº 13.709/2018) e as normas regulamentares editadas pela Autoridade Nacional de Proteção de Dados (ANPD).</w:t>
      </w:r>
    </w:p>
    <w:p>
      <w:pPr>
        <w:pStyle w:val="Normal"/>
        <w:spacing w:before="0" w:after="120"/>
        <w:rPr/>
      </w:pPr>
      <w:r>
        <w:rPr>
          <w:color w:val="333333"/>
        </w:rPr>
        <w:t>Para os fins deste Acordo, a CONTRATANTE figura como Controladora dos dados pessoais tratados pelo SISTEMA, e a CONTRATADA figura como Operadora, atuando estritamente conforme as instruções da CONTRATANTE e as finalidades definidas na documentação do projeto, em especial o Termo de Consentimento Livre e Esclarecido (TCLE) referido no Requisito RF01 (Seção 4.2).</w:t>
      </w:r>
    </w:p>
    <w:p>
      <w:pPr>
        <w:pStyle w:val="Normal"/>
        <w:spacing w:before="0" w:after="120"/>
        <w:rPr/>
      </w:pPr>
      <w:r>
        <w:rPr>
          <w:color w:val="333333"/>
        </w:rPr>
        <w:t>A CONTRATADA obriga-se a:</w:t>
      </w:r>
    </w:p>
    <w:p>
      <w:pPr>
        <w:pStyle w:val="Normal"/>
        <w:spacing w:before="0" w:after="120"/>
        <w:rPr/>
      </w:pPr>
      <w:r>
        <w:rPr>
          <w:color w:val="333333"/>
        </w:rPr>
        <w:t>a) adotar medidas técnicas e administrativas de segurança da informação aptas a proteger os dados pessoais contra acessos não autorizados e contra situações acidentais ou ilícitas de destruição, perda, alteração, comunicação ou difusão;</w:t>
      </w:r>
    </w:p>
    <w:p>
      <w:pPr>
        <w:pStyle w:val="Normal"/>
        <w:spacing w:before="0" w:after="120"/>
        <w:rPr/>
      </w:pPr>
      <w:r>
        <w:rPr>
          <w:color w:val="333333"/>
        </w:rPr>
        <w:t>b) não utilizar os dados pessoais tratados no âmbito do SISTEMA para finalidade distinta da execução deste Acordo;</w:t>
      </w:r>
    </w:p>
    <w:p>
      <w:pPr>
        <w:pStyle w:val="Normal"/>
        <w:spacing w:before="0" w:after="120"/>
        <w:rPr/>
      </w:pPr>
      <w:r>
        <w:rPr>
          <w:color w:val="333333"/>
        </w:rPr>
        <w:t>c) comunicar à CONTRATANTE, em prazo não superior a 24 (vinte e quatro) horas a partir do conhecimento do fato, qualquer incidente de segurança que possa acarretar risco ou dano relevante aos titulares de dados, nos termos do art. 48 da LGPD;</w:t>
      </w:r>
    </w:p>
    <w:p>
      <w:pPr>
        <w:pStyle w:val="Normal"/>
        <w:spacing w:before="0" w:after="120"/>
        <w:rPr/>
      </w:pPr>
      <w:r>
        <w:rPr>
          <w:color w:val="333333"/>
        </w:rPr>
        <w:t>d) apoiar a CONTRATANTE no atendimento a requisições de titulares de dados (acesso, correção, eliminação e portabilidade) e em eventuais fiscalizações da ANPD;</w:t>
      </w:r>
    </w:p>
    <w:p>
      <w:pPr>
        <w:pStyle w:val="Normal"/>
        <w:spacing w:before="0" w:after="120"/>
        <w:rPr/>
      </w:pPr>
      <w:r>
        <w:rPr>
          <w:color w:val="333333"/>
        </w:rPr>
        <w:t>e) garantir que toda Manutenção Evolutiva, Preventiva ou Legal observe os princípios de Privacy by Design e Privacy by Default.</w:t>
      </w:r>
    </w:p>
    <w:p>
      <w:pPr>
        <w:pStyle w:val="Normal"/>
        <w:spacing w:before="0" w:after="120"/>
        <w:rPr/>
      </w:pPr>
      <w:r>
        <w:rPr>
          <w:color w:val="333333"/>
        </w:rPr>
        <w:t>Em caso de extinção deste Acordo, a CONTRATADA deverá, no prazo de [30 (trinta)] dias, eliminar ou devolver à CONTRATANTE todos os dados pessoais a que teve acesso em razão da execução deste Acordo, salvo nas hipóteses de guarda obrigatória previstas em lei.</w:t>
      </w:r>
    </w:p>
    <w:p>
      <w:pPr>
        <w:pStyle w:val="Normal"/>
        <w:spacing w:before="240" w:after="40"/>
        <w:rPr>
          <w:b/>
          <w:bCs/>
        </w:rPr>
      </w:pPr>
      <w:r>
        <w:rPr>
          <w:b/>
          <w:bCs/>
        </w:rPr>
        <w:t>CLÁUSULA 9ª — DA PROPRIEDADE INTELECTUAL, DO CÓDIGO-FONTE E DA CONTINUIDADE</w:t>
      </w:r>
    </w:p>
    <w:p>
      <w:pPr>
        <w:pStyle w:val="Normal"/>
        <w:spacing w:before="120" w:after="160"/>
        <w:rPr/>
      </w:pPr>
      <w:r>
        <w:rPr/>
      </w:r>
    </w:p>
    <w:p>
      <w:pPr>
        <w:pStyle w:val="Normal"/>
        <w:spacing w:before="0" w:after="120"/>
        <w:rPr/>
      </w:pPr>
      <w:r>
        <w:rPr>
          <w:color w:val="333333"/>
        </w:rPr>
        <w:t>A CONTRATADA deverá manter a documentação técnica do SISTEMA — diagramas de arquitetura, modelos BPMN dos processos mapeados (Seção 4.2), dicionário de dados e manuais de operação — permanentemente atualizada e disponível à CONTRATANTE em repositório de acesso compartilhado.</w:t>
      </w:r>
    </w:p>
    <w:p>
      <w:pPr>
        <w:pStyle w:val="Normal"/>
        <w:spacing w:before="0" w:after="120"/>
        <w:rPr/>
      </w:pPr>
      <w:r>
        <w:rPr>
          <w:color w:val="333333"/>
        </w:rPr>
        <w:t>Em caso de descontinuidade do SISTEMA por iniciativa da CONTRATADA, esta deverá apresentar e implantar, antes da descontinuidade, solução substituta equivalente ou superior, em todos os módulos e funcionalidades descritos nas Seções 2 e 4, sem custo adicional à CONTRATANTE, cabendo às partes avaliar em conjunto a equivalência da solução proposta. O não cumprimento desta obrigação sujeitará a CONTRATADA a responder por perdas e danos correspondentes ao valor de aquisição e implantação de solução equivalente pela CONTRATANTE.</w:t>
      </w:r>
    </w:p>
    <w:p>
      <w:pPr>
        <w:pStyle w:val="Normal"/>
        <w:spacing w:before="0" w:after="120"/>
        <w:rPr/>
      </w:pPr>
      <w:r>
        <w:rPr>
          <w:color w:val="333333"/>
        </w:rPr>
        <w:t>Independentemente da hipótese de rescisão prevista na Cláusula 13ª, a CONTRATADA fornecerá à CONTRATANTE o código-fonte completo e atualizado do SISTEMA, sem custo adicional, caso venha a ingressar em processo de recuperação judicial ou falência, no prazo de até 15 (quinze) dias da respectiva decisão judicial.</w:t>
      </w:r>
    </w:p>
    <w:p>
      <w:pPr>
        <w:pStyle w:val="Normal"/>
        <w:spacing w:before="0" w:after="120"/>
        <w:rPr/>
      </w:pPr>
      <w:r>
        <w:rPr>
          <w:color w:val="333333"/>
        </w:rPr>
        <w:t>Em caso de extinção deste Acordo, por qualquer outro motivo, a CONTRATADA obriga-se a fornecer à CONTRATANTE, no prazo de até 15 (quinze) dias, o código-fonte completo e atualizado, a documentação técnica vigente e todos os artefatos necessários à continuidade da operação ou à migração do SISTEMA para outra equipe técnica, sem custo adicional.</w:t>
      </w:r>
    </w:p>
    <w:p>
      <w:pPr>
        <w:pStyle w:val="Normal"/>
        <w:spacing w:before="240" w:after="40"/>
        <w:rPr>
          <w:b/>
          <w:bCs/>
        </w:rPr>
      </w:pPr>
      <w:r>
        <w:rPr>
          <w:b/>
          <w:bCs/>
        </w:rPr>
        <w:t>CLÁUSULA 10ª — DA CONFIDENCIALIDADE</w:t>
      </w:r>
    </w:p>
    <w:p>
      <w:pPr>
        <w:pStyle w:val="Normal"/>
        <w:spacing w:before="0" w:after="120"/>
        <w:rPr/>
      </w:pPr>
      <w:r>
        <w:rPr>
          <w:color w:val="333333"/>
        </w:rPr>
        <w:t>As partes obrigam-se a manter sigilo absoluto sobre quaisquer informações, dados, códigos-fonte e documentos a que tenham acesso em razão da execução deste Acordo, não podendo divulgá-los a terceiros sem autorização expressa e por escrito da outra parte, sob pena de responsabilização civil e, quando aplicável, criminal.</w:t>
      </w:r>
    </w:p>
    <w:p>
      <w:pPr>
        <w:pStyle w:val="Normal"/>
        <w:spacing w:before="0" w:after="120"/>
        <w:rPr/>
      </w:pPr>
      <w:r>
        <w:rPr>
          <w:color w:val="333333"/>
        </w:rPr>
        <w:t>A obrigação de confidencialidade subsiste mesmo após a extinção deste Acordo, pelo prazo de 5 (cinco) anos, ou por prazo superior quando exigido por norma legal aplicável à proteção de dados pessoais.</w:t>
      </w:r>
    </w:p>
    <w:p>
      <w:pPr>
        <w:pStyle w:val="Normal"/>
        <w:spacing w:before="0" w:after="120"/>
        <w:rPr/>
      </w:pPr>
      <w:r>
        <w:rPr>
          <w:color w:val="333333"/>
        </w:rPr>
        <w:t>As obrigações desta cláusula poderão ser formalizadas em Termo de Confidencialidade e Não Divulgação específico, a ser firmado, como anexo a este Acordo, pela CONTRATADA e por todos os seus profissionais envolvidos na execução dos serviços.</w:t>
      </w:r>
    </w:p>
    <w:p>
      <w:pPr>
        <w:pStyle w:val="Normal"/>
        <w:spacing w:before="240" w:after="40"/>
        <w:rPr>
          <w:b/>
          <w:bCs/>
        </w:rPr>
      </w:pPr>
      <w:r>
        <w:rPr>
          <w:b/>
          <w:bCs/>
        </w:rPr>
        <w:t>CLÁUSULA 11ª — DAS PENALIDADES POR DESCUMPRIMENTO DO SLA</w:t>
      </w:r>
    </w:p>
    <w:p>
      <w:pPr>
        <w:pStyle w:val="Normal"/>
        <w:spacing w:before="0" w:after="120"/>
        <w:rPr/>
      </w:pPr>
      <w:r>
        <w:rPr>
          <w:color w:val="333333"/>
        </w:rPr>
        <w:t>Nenhuma penalidade será aplicada sem o devido processo, assegurados à CONTRATADA o contraditório e a ampla defesa, com prazo de manifestação de 5 (cinco) dias úteis a contar da notificação da ocorrência.</w:t>
      </w:r>
    </w:p>
    <w:p>
      <w:pPr>
        <w:pStyle w:val="Normal"/>
        <w:spacing w:before="0" w:after="120"/>
        <w:rPr/>
      </w:pPr>
      <w:r>
        <w:rPr>
          <w:color w:val="333333"/>
        </w:rPr>
        <w:t>a) cada ocorrência de descumprimento dos prazos previstos na Cláusula 5ª, devidamente apurada em reunião entre as partes, gerará 1 (um) ponto negativo, classificado conforme a severidade do chamado a que se refere;</w:t>
      </w:r>
    </w:p>
    <w:p>
      <w:pPr>
        <w:pStyle w:val="Normal"/>
        <w:spacing w:before="0" w:after="120"/>
        <w:rPr/>
      </w:pPr>
      <w:r>
        <w:rPr>
          <w:color w:val="333333"/>
        </w:rPr>
        <w:t>b) os pontos negativos serão apurados mensalmente e ensejarão reduções sobre o valor da fatura do mês de referência, da seguinte forma: 1ª ocorrência de Severidade 1 no mês — redução de 3% (três por cento); 2ª ocorrência de Severidade 1 no mês — redução de 4% (quatro por cento); a partir da 3ª ocorrência de Severidade 1, ou em caso de 3 (três) ou mais ocorrências de Severidade 2 ou 3 no mesmo mês — redução adicional, limitada a 10% (dez por cento) do faturamento mensal da CONTRATADA;</w:t>
      </w:r>
    </w:p>
    <w:p>
      <w:pPr>
        <w:pStyle w:val="Normal"/>
        <w:spacing w:before="0" w:after="120"/>
        <w:rPr/>
      </w:pPr>
      <w:r>
        <w:rPr>
          <w:color w:val="333333"/>
        </w:rPr>
        <w:t>c) as reduções previstas nesta cláusula não serão cumulativas entre meses e serão aplicadas na fatura subsequente à apuração;</w:t>
      </w:r>
    </w:p>
    <w:p>
      <w:pPr>
        <w:pStyle w:val="Normal"/>
        <w:spacing w:before="0" w:after="120"/>
        <w:rPr/>
      </w:pPr>
      <w:r>
        <w:rPr>
          <w:color w:val="333333"/>
        </w:rPr>
        <w:t>d) a reincidência de ocorrências de Severidade 1 que comprometa de forma recorrente a continuidade da operação do SISTEMA poderá ensejar a rescisão deste Acordo, sem ônus para a CONTRATANTE, nos termos da Cláusula 13ª.</w:t>
      </w:r>
    </w:p>
    <w:p>
      <w:pPr>
        <w:pStyle w:val="isselectedend"/>
        <w:spacing w:before="280" w:after="280"/>
        <w:rPr>
          <w:rFonts w:ascii="Arial" w:hAnsi="Arial" w:eastAsia="Arial" w:cs="Arial"/>
          <w:color w:val="333333"/>
          <w:sz w:val="22"/>
          <w:szCs w:val="22"/>
          <w:lang w:eastAsia="zh-CN" w:bidi="hi-IN"/>
        </w:rPr>
      </w:pPr>
      <w:r>
        <w:rPr>
          <w:b/>
          <w:bCs/>
        </w:rPr>
        <w:t>CLÁUSULA 12ª — DA GARANTIA CONTRATUAL</w:t>
        <w:br/>
        <w:br/>
      </w:r>
      <w:r>
        <w:rPr>
          <w:rFonts w:eastAsia="Arial" w:cs="Arial" w:ascii="Arial" w:hAnsi="Arial"/>
          <w:color w:val="333333"/>
          <w:sz w:val="22"/>
          <w:szCs w:val="22"/>
          <w:lang w:eastAsia="zh-CN" w:bidi="hi-IN"/>
        </w:rPr>
        <w:t>12.1. Para assegurar o fiel cumprimento das obrigações assumidas no presente Acordo de Manutenção, Suporte e Sustentação do Sistema Sapien, a CONTRATADA deverá apresentar garantia contratual correspondente a 5% (cinco por cento) do valor anual estimado deste instrumento.</w:t>
      </w:r>
    </w:p>
    <w:p>
      <w:pPr>
        <w:pStyle w:val="isselectedend"/>
        <w:spacing w:before="280" w:after="280"/>
        <w:rPr>
          <w:rFonts w:ascii="Arial" w:hAnsi="Arial" w:eastAsia="Arial" w:cs="Arial"/>
          <w:color w:val="333333"/>
          <w:sz w:val="22"/>
          <w:szCs w:val="22"/>
          <w:lang w:eastAsia="zh-CN" w:bidi="hi-IN"/>
        </w:rPr>
      </w:pPr>
      <w:r>
        <w:rPr>
          <w:rFonts w:eastAsia="Arial" w:cs="Arial" w:ascii="Arial" w:hAnsi="Arial"/>
          <w:color w:val="333333"/>
          <w:sz w:val="22"/>
          <w:szCs w:val="22"/>
          <w:lang w:eastAsia="zh-CN" w:bidi="hi-IN"/>
        </w:rPr>
        <w:t>12.2. A garantia contratual poderá ser prestada, a critério da CONTRATADA e mediante aceitação da CONTRATANTE, por uma das seguintes modalidades:</w:t>
      </w:r>
    </w:p>
    <w:p>
      <w:pPr>
        <w:pStyle w:val="isselectedend"/>
        <w:spacing w:before="280" w:after="280"/>
        <w:rPr>
          <w:rFonts w:ascii="Arial" w:hAnsi="Arial" w:eastAsia="Arial" w:cs="Arial"/>
          <w:color w:val="333333"/>
          <w:sz w:val="22"/>
          <w:szCs w:val="22"/>
          <w:lang w:eastAsia="zh-CN" w:bidi="hi-IN"/>
        </w:rPr>
      </w:pPr>
      <w:r>
        <w:rPr>
          <w:rFonts w:eastAsia="Arial" w:cs="Arial" w:ascii="Arial" w:hAnsi="Arial"/>
          <w:color w:val="333333"/>
          <w:sz w:val="22"/>
          <w:szCs w:val="22"/>
          <w:lang w:eastAsia="zh-CN" w:bidi="hi-IN"/>
        </w:rPr>
        <w:t>I — caução em dinheiro;</w:t>
      </w:r>
    </w:p>
    <w:p>
      <w:pPr>
        <w:pStyle w:val="isselectedend"/>
        <w:spacing w:before="280" w:after="280"/>
        <w:rPr>
          <w:rFonts w:ascii="Arial" w:hAnsi="Arial" w:eastAsia="Arial" w:cs="Arial"/>
          <w:color w:val="333333"/>
          <w:sz w:val="22"/>
          <w:szCs w:val="22"/>
          <w:lang w:eastAsia="zh-CN" w:bidi="hi-IN"/>
        </w:rPr>
      </w:pPr>
      <w:r>
        <w:rPr>
          <w:rFonts w:eastAsia="Arial" w:cs="Arial" w:ascii="Arial" w:hAnsi="Arial"/>
          <w:color w:val="333333"/>
          <w:sz w:val="22"/>
          <w:szCs w:val="22"/>
          <w:lang w:eastAsia="zh-CN" w:bidi="hi-IN"/>
        </w:rPr>
        <w:t>II — seguro-garantia;</w:t>
      </w:r>
    </w:p>
    <w:p>
      <w:pPr>
        <w:pStyle w:val="isselectedend"/>
        <w:spacing w:before="280" w:after="280"/>
        <w:rPr>
          <w:rFonts w:ascii="Arial" w:hAnsi="Arial" w:eastAsia="Arial" w:cs="Arial"/>
          <w:color w:val="333333"/>
          <w:sz w:val="22"/>
          <w:szCs w:val="22"/>
          <w:lang w:eastAsia="zh-CN" w:bidi="hi-IN"/>
        </w:rPr>
      </w:pPr>
      <w:r>
        <w:rPr>
          <w:rFonts w:eastAsia="Arial" w:cs="Arial" w:ascii="Arial" w:hAnsi="Arial"/>
          <w:color w:val="333333"/>
          <w:sz w:val="22"/>
          <w:szCs w:val="22"/>
          <w:lang w:eastAsia="zh-CN" w:bidi="hi-IN"/>
        </w:rPr>
        <w:t>III — fiança bancária.</w:t>
      </w:r>
    </w:p>
    <w:p>
      <w:pPr>
        <w:pStyle w:val="isselectedend"/>
        <w:spacing w:before="280" w:after="280"/>
        <w:rPr>
          <w:rFonts w:ascii="Arial" w:hAnsi="Arial" w:eastAsia="Arial" w:cs="Arial"/>
          <w:color w:val="333333"/>
          <w:sz w:val="22"/>
          <w:szCs w:val="22"/>
          <w:lang w:eastAsia="zh-CN" w:bidi="hi-IN"/>
        </w:rPr>
      </w:pPr>
      <w:r>
        <w:rPr>
          <w:rFonts w:eastAsia="Arial" w:cs="Arial" w:ascii="Arial" w:hAnsi="Arial"/>
          <w:color w:val="333333"/>
          <w:sz w:val="22"/>
          <w:szCs w:val="22"/>
          <w:lang w:eastAsia="zh-CN" w:bidi="hi-IN"/>
        </w:rPr>
        <w:t>12.3. A garantia deverá permanecer válida durante toda a vigência contratual, incluindo eventuais prorrogações, devendo ser renovada ou complementada sempre que houver alteração no valor do contrato, prorrogação de prazo, aplicação parcial da garantia ou qualquer situação que reduza sua cobertura original.</w:t>
      </w:r>
    </w:p>
    <w:p>
      <w:pPr>
        <w:pStyle w:val="isselectedend"/>
        <w:spacing w:before="280" w:after="280"/>
        <w:rPr>
          <w:rFonts w:ascii="Arial" w:hAnsi="Arial" w:eastAsia="Arial" w:cs="Arial"/>
          <w:color w:val="333333"/>
          <w:sz w:val="22"/>
          <w:szCs w:val="22"/>
          <w:lang w:eastAsia="zh-CN" w:bidi="hi-IN"/>
        </w:rPr>
      </w:pPr>
      <w:r>
        <w:rPr>
          <w:rFonts w:eastAsia="Arial" w:cs="Arial" w:ascii="Arial" w:hAnsi="Arial"/>
          <w:color w:val="333333"/>
          <w:sz w:val="22"/>
          <w:szCs w:val="22"/>
          <w:lang w:eastAsia="zh-CN" w:bidi="hi-IN"/>
        </w:rPr>
        <w:t>12.4. A garantia contratual poderá ser utilizada pela CONTRATANTE para ressarcimento de prejuízos decorrentes do inadimplemento contratual da CONTRATADA, incluindo, mas não se limitando a:</w:t>
      </w:r>
    </w:p>
    <w:p>
      <w:pPr>
        <w:pStyle w:val="isselectedend"/>
        <w:spacing w:before="280" w:after="280"/>
        <w:rPr>
          <w:rFonts w:ascii="Arial" w:hAnsi="Arial" w:eastAsia="Arial" w:cs="Arial"/>
          <w:color w:val="333333"/>
          <w:sz w:val="22"/>
          <w:szCs w:val="22"/>
          <w:lang w:eastAsia="zh-CN" w:bidi="hi-IN"/>
        </w:rPr>
      </w:pPr>
      <w:r>
        <w:rPr>
          <w:rFonts w:eastAsia="Arial" w:cs="Arial" w:ascii="Arial" w:hAnsi="Arial"/>
          <w:color w:val="333333"/>
          <w:sz w:val="22"/>
          <w:szCs w:val="22"/>
          <w:lang w:eastAsia="zh-CN" w:bidi="hi-IN"/>
        </w:rPr>
        <w:t>I — descumprimento dos prazos de atendimento e solução previstos nos Acordos de Nível de Serviço;</w:t>
      </w:r>
    </w:p>
    <w:p>
      <w:pPr>
        <w:pStyle w:val="isselectedend"/>
        <w:spacing w:before="280" w:after="280"/>
        <w:rPr>
          <w:rFonts w:ascii="Arial" w:hAnsi="Arial" w:eastAsia="Arial" w:cs="Arial"/>
          <w:color w:val="333333"/>
          <w:sz w:val="22"/>
          <w:szCs w:val="22"/>
          <w:lang w:eastAsia="zh-CN" w:bidi="hi-IN"/>
        </w:rPr>
      </w:pPr>
      <w:r>
        <w:rPr>
          <w:rFonts w:eastAsia="Arial" w:cs="Arial" w:ascii="Arial" w:hAnsi="Arial"/>
          <w:color w:val="333333"/>
          <w:sz w:val="22"/>
          <w:szCs w:val="22"/>
          <w:lang w:eastAsia="zh-CN" w:bidi="hi-IN"/>
        </w:rPr>
        <w:t>II — inexecução total ou parcial dos serviços de manutenção, suporte e sustentação;</w:t>
      </w:r>
    </w:p>
    <w:p>
      <w:pPr>
        <w:pStyle w:val="isselectedend"/>
        <w:spacing w:before="280" w:after="280"/>
        <w:rPr>
          <w:rFonts w:ascii="Arial" w:hAnsi="Arial" w:eastAsia="Arial" w:cs="Arial"/>
          <w:color w:val="333333"/>
          <w:sz w:val="22"/>
          <w:szCs w:val="22"/>
          <w:lang w:eastAsia="zh-CN" w:bidi="hi-IN"/>
        </w:rPr>
      </w:pPr>
      <w:r>
        <w:rPr>
          <w:rFonts w:eastAsia="Arial" w:cs="Arial" w:ascii="Arial" w:hAnsi="Arial"/>
          <w:color w:val="333333"/>
          <w:sz w:val="22"/>
          <w:szCs w:val="22"/>
          <w:lang w:eastAsia="zh-CN" w:bidi="hi-IN"/>
        </w:rPr>
        <w:t>III — falhas graves que comprometam a disponibilidade, integridade, segurança ou continuidade operacional do Sistema Sapien;</w:t>
      </w:r>
    </w:p>
    <w:p>
      <w:pPr>
        <w:pStyle w:val="isselectedend"/>
        <w:spacing w:before="280" w:after="280"/>
        <w:rPr>
          <w:rFonts w:ascii="Arial" w:hAnsi="Arial" w:eastAsia="Arial" w:cs="Arial"/>
          <w:color w:val="333333"/>
          <w:sz w:val="22"/>
          <w:szCs w:val="22"/>
          <w:lang w:eastAsia="zh-CN" w:bidi="hi-IN"/>
        </w:rPr>
      </w:pPr>
      <w:r>
        <w:rPr>
          <w:rFonts w:eastAsia="Arial" w:cs="Arial" w:ascii="Arial" w:hAnsi="Arial"/>
          <w:color w:val="333333"/>
          <w:sz w:val="22"/>
          <w:szCs w:val="22"/>
          <w:lang w:eastAsia="zh-CN" w:bidi="hi-IN"/>
        </w:rPr>
        <w:t>IV — descumprimento das obrigações relacionadas à segurança da informação, confidencialidade e proteção de dados pessoais;</w:t>
      </w:r>
    </w:p>
    <w:p>
      <w:pPr>
        <w:pStyle w:val="isselectedend"/>
        <w:spacing w:before="280" w:after="280"/>
        <w:rPr>
          <w:rFonts w:ascii="Arial" w:hAnsi="Arial" w:eastAsia="Arial" w:cs="Arial"/>
          <w:color w:val="333333"/>
          <w:sz w:val="22"/>
          <w:szCs w:val="22"/>
          <w:lang w:eastAsia="zh-CN" w:bidi="hi-IN"/>
        </w:rPr>
      </w:pPr>
      <w:r>
        <w:rPr>
          <w:rFonts w:eastAsia="Arial" w:cs="Arial" w:ascii="Arial" w:hAnsi="Arial"/>
          <w:color w:val="333333"/>
          <w:sz w:val="22"/>
          <w:szCs w:val="22"/>
          <w:lang w:eastAsia="zh-CN" w:bidi="hi-IN"/>
        </w:rPr>
        <w:t>V — não correção de falhas identificadas durante a vigência contratual;</w:t>
      </w:r>
    </w:p>
    <w:p>
      <w:pPr>
        <w:pStyle w:val="isselectedend"/>
        <w:spacing w:before="280" w:after="280"/>
        <w:rPr>
          <w:rFonts w:ascii="Arial" w:hAnsi="Arial" w:eastAsia="Arial" w:cs="Arial"/>
          <w:color w:val="333333"/>
          <w:sz w:val="22"/>
          <w:szCs w:val="22"/>
          <w:lang w:eastAsia="zh-CN" w:bidi="hi-IN"/>
        </w:rPr>
      </w:pPr>
      <w:r>
        <w:rPr>
          <w:rFonts w:eastAsia="Arial" w:cs="Arial" w:ascii="Arial" w:hAnsi="Arial"/>
          <w:color w:val="333333"/>
          <w:sz w:val="22"/>
          <w:szCs w:val="22"/>
          <w:lang w:eastAsia="zh-CN" w:bidi="hi-IN"/>
        </w:rPr>
        <w:t>VI — abandono injustificado da prestação dos serviços;</w:t>
      </w:r>
    </w:p>
    <w:p>
      <w:pPr>
        <w:pStyle w:val="isselectedend"/>
        <w:spacing w:before="280" w:after="280"/>
        <w:rPr>
          <w:rFonts w:ascii="Arial" w:hAnsi="Arial" w:eastAsia="Arial" w:cs="Arial"/>
          <w:color w:val="333333"/>
          <w:sz w:val="22"/>
          <w:szCs w:val="22"/>
          <w:lang w:eastAsia="zh-CN" w:bidi="hi-IN"/>
        </w:rPr>
      </w:pPr>
      <w:r>
        <w:rPr>
          <w:rFonts w:eastAsia="Arial" w:cs="Arial" w:ascii="Arial" w:hAnsi="Arial"/>
          <w:color w:val="333333"/>
          <w:sz w:val="22"/>
          <w:szCs w:val="22"/>
          <w:lang w:eastAsia="zh-CN" w:bidi="hi-IN"/>
        </w:rPr>
        <w:t>VII — custos decorrentes de transição contratual, quando a CONTRATADA deixar de prestar o apoio necessário à continuidade dos serviços.</w:t>
      </w:r>
    </w:p>
    <w:p>
      <w:pPr>
        <w:pStyle w:val="isselectedend"/>
        <w:spacing w:before="280" w:after="280"/>
        <w:rPr>
          <w:rFonts w:ascii="Arial" w:hAnsi="Arial" w:eastAsia="Arial" w:cs="Arial"/>
          <w:color w:val="333333"/>
          <w:sz w:val="22"/>
          <w:szCs w:val="22"/>
          <w:lang w:eastAsia="zh-CN" w:bidi="hi-IN"/>
        </w:rPr>
      </w:pPr>
      <w:r>
        <w:rPr>
          <w:rFonts w:eastAsia="Arial" w:cs="Arial" w:ascii="Arial" w:hAnsi="Arial"/>
          <w:color w:val="333333"/>
          <w:sz w:val="22"/>
          <w:szCs w:val="22"/>
          <w:lang w:eastAsia="zh-CN" w:bidi="hi-IN"/>
        </w:rPr>
        <w:t>12.5. A execução da garantia contratual não exime a CONTRATADA da responsabilidade pela reparação integral de eventuais danos que ultrapassem o valor garantido, nem impede a aplicação das penalidades previstas neste instrumento.</w:t>
      </w:r>
    </w:p>
    <w:p>
      <w:pPr>
        <w:pStyle w:val="isselectedend"/>
        <w:spacing w:before="280" w:after="280"/>
        <w:rPr>
          <w:rFonts w:ascii="Arial" w:hAnsi="Arial" w:eastAsia="Arial" w:cs="Arial"/>
          <w:color w:val="333333"/>
          <w:sz w:val="22"/>
          <w:szCs w:val="22"/>
          <w:lang w:eastAsia="zh-CN" w:bidi="hi-IN"/>
        </w:rPr>
      </w:pPr>
      <w:r>
        <w:rPr>
          <w:rFonts w:eastAsia="Arial" w:cs="Arial" w:ascii="Arial" w:hAnsi="Arial"/>
          <w:color w:val="333333"/>
          <w:sz w:val="22"/>
          <w:szCs w:val="22"/>
          <w:lang w:eastAsia="zh-CN" w:bidi="hi-IN"/>
        </w:rPr>
        <w:t>12.6. Caso a garantia seja utilizada total ou parcialmente, a CONTRATADA deverá recompor o valor original no prazo máximo de 10 (dez) dias úteis, contados da notificação formal emitida pela CONTRATANTE.</w:t>
      </w:r>
    </w:p>
    <w:p>
      <w:pPr>
        <w:pStyle w:val="isselectedend"/>
        <w:spacing w:before="280" w:after="280"/>
        <w:rPr>
          <w:rFonts w:ascii="Arial" w:hAnsi="Arial" w:eastAsia="Arial" w:cs="Arial"/>
          <w:color w:val="333333"/>
          <w:sz w:val="22"/>
          <w:szCs w:val="22"/>
          <w:lang w:eastAsia="zh-CN" w:bidi="hi-IN"/>
        </w:rPr>
      </w:pPr>
      <w:r>
        <w:rPr>
          <w:rFonts w:eastAsia="Arial" w:cs="Arial" w:ascii="Arial" w:hAnsi="Arial"/>
          <w:color w:val="333333"/>
          <w:sz w:val="22"/>
          <w:szCs w:val="22"/>
          <w:lang w:eastAsia="zh-CN" w:bidi="hi-IN"/>
        </w:rPr>
        <w:t>12.7. A garantia contratual será liberada ou restituída à CONTRATADA após o encerramento da vigência contratual, desde que comprovado o cumprimento integral das obrigações assumidas, a inexistência de pendências técnicas, financeiras, operacionais ou documentais, e a conclusão satisfatória de eventual processo de transição dos serviços.</w:t>
      </w:r>
    </w:p>
    <w:p>
      <w:pPr>
        <w:pStyle w:val="NormalWeb"/>
        <w:spacing w:before="280" w:after="280"/>
        <w:rPr/>
      </w:pPr>
      <w:r>
        <w:rPr>
          <w:rFonts w:eastAsia="Arial" w:cs="Arial" w:ascii="Arial" w:hAnsi="Arial"/>
          <w:color w:val="333333"/>
          <w:sz w:val="22"/>
          <w:szCs w:val="22"/>
          <w:lang w:eastAsia="zh-CN" w:bidi="hi-IN"/>
        </w:rPr>
        <w:t>12.8. A liberação da garantia não prejudica a responsabilidade da CONTRATADA por vícios ocultos, falhas posteriormente identificadas, obrigações de confidencialidade, proteção de dados pessoais ou quaisquer responsabilidades que, por sua natureza, devam permanecer vigentes após o encerramento contratual</w:t>
      </w:r>
      <w:r>
        <w:rPr/>
        <w:t>.</w:t>
      </w:r>
    </w:p>
    <w:p>
      <w:pPr>
        <w:pStyle w:val="Normal"/>
        <w:spacing w:before="240" w:after="40"/>
        <w:rPr>
          <w:b/>
          <w:bCs/>
        </w:rPr>
      </w:pPr>
      <w:r>
        <w:rPr>
          <w:b/>
          <w:bCs/>
        </w:rPr>
        <w:t>CLÁUSULA 13ª — DA RESCISÃO E DA TRANSIÇÃO CONTRATUAL</w:t>
      </w:r>
    </w:p>
    <w:p>
      <w:pPr>
        <w:pStyle w:val="Normal"/>
        <w:spacing w:before="0" w:after="120"/>
        <w:rPr/>
      </w:pPr>
      <w:r>
        <w:rPr>
          <w:color w:val="333333"/>
        </w:rPr>
        <w:t>a) o presente Acordo poderá ser rescindido por qualquer das partes, mediante notificação prévia por escrito com antecedência mínima de 60 (sessenta) dias, independentemente de motivação;</w:t>
      </w:r>
    </w:p>
    <w:p>
      <w:pPr>
        <w:pStyle w:val="Normal"/>
        <w:spacing w:before="0" w:after="120"/>
        <w:rPr/>
      </w:pPr>
      <w:r>
        <w:rPr>
          <w:color w:val="333333"/>
        </w:rPr>
        <w:t>b) poderá ainda ser rescindido de imediato, independentemente de notificação prévia, em caso de descumprimento reiterado das obrigações previstas neste Acordo, ou de falência, recuperação judicial ou extinção de qualquer das partes;</w:t>
      </w:r>
    </w:p>
    <w:p>
      <w:pPr>
        <w:pStyle w:val="Normal"/>
        <w:spacing w:before="0" w:after="120"/>
        <w:rPr/>
      </w:pPr>
      <w:r>
        <w:rPr>
          <w:color w:val="333333"/>
        </w:rPr>
        <w:t>c) em qualquer hipótese de rescisão, fica assegurado à CONTRATANTE o direito à transição assistida, cabendo à CONTRATADA prestar suporte à migração do SISTEMA, de seus dados e de sua documentação técnica para outra equipe, por período de até 30 (trinta) dias após a rescisão, sem custo adicional, sem prejuízo das obrigações de entrega previstas na Cláusula 9ª.</w:t>
      </w:r>
    </w:p>
    <w:p>
      <w:pPr>
        <w:pStyle w:val="Normal"/>
        <w:spacing w:before="240" w:after="40"/>
        <w:rPr>
          <w:b/>
          <w:bCs/>
        </w:rPr>
      </w:pPr>
      <w:r>
        <w:rPr>
          <w:b/>
          <w:bCs/>
        </w:rPr>
        <w:t>CLÁUSULA 14ª — DO FORO E DAS DISPOSIÇÕES GERAIS</w:t>
      </w:r>
    </w:p>
    <w:p>
      <w:pPr>
        <w:pStyle w:val="Normal"/>
        <w:spacing w:before="0" w:after="120"/>
        <w:rPr>
          <w:color w:val="333333"/>
        </w:rPr>
      </w:pPr>
      <w:r>
        <w:rPr>
          <w:color w:val="333333"/>
        </w:rPr>
        <w:t>As partes elegem o foro da comarca de Goiânia/GO para dirimir quaisquer controvérsias decorrentes deste Acordo, com renúncia expressa a qualquer outro, por mais privilegiado que seja, aplicando-se subsidiariamente as disposições do Código Civil relativas à prestação de serviços.</w:t>
      </w:r>
    </w:p>
    <w:p>
      <w:pPr>
        <w:pStyle w:val="Normal"/>
        <w:spacing w:before="0" w:after="120"/>
        <w:rPr/>
      </w:pPr>
      <w:r>
        <w:rPr>
          <w:color w:val="333333"/>
        </w:rPr>
        <w:t>Este Acordo poderá ser complementado por anexos específicos — tais como o Termo de Confidencialidade e Não Divulgação referido na Cláusula 10ª e uma Matriz de Riscos do projeto — os quais, uma vez firmados, integrarão este instrumento para todos os efeitos.</w:t>
      </w:r>
    </w:p>
    <w:p>
      <w:pPr>
        <w:pStyle w:val="Normal"/>
        <w:spacing w:before="0" w:after="120"/>
        <w:rPr/>
      </w:pPr>
      <w:r>
        <w:rPr>
          <w:color w:val="333333"/>
        </w:rPr>
        <w:t>Este Acordo integra a documentação do projeto Sapien, vinculando-se às demais seções deste documento, em especial aos Requisitos Funcionais (Seção 2) e aos processos mapeados em BPMN (Seção 4.2), que constituem a base de referência para a classificação dos chamados de Manutenção Corretiva.</w:t>
      </w:r>
    </w:p>
    <w:p>
      <w:pPr>
        <w:pStyle w:val="Normal"/>
        <w:spacing w:before="0" w:after="160"/>
        <w:rPr/>
      </w:pPr>
      <w:r>
        <w:rPr>
          <w:rFonts w:eastAsia="Arial" w:cs="Arial"/>
          <w:b/>
          <w:bCs/>
          <w:i/>
          <w:iCs/>
          <w:color w:val="333333"/>
          <w:sz w:val="22"/>
          <w:szCs w:val="22"/>
        </w:rPr>
        <w:t>E por estarem assim justas e acordadas, as partes firmam o presente Acordo em 2 (duas) vias de igual teor e forma, conforme assinaturas registradas na seção “Encerramento e Assinaturas” deste documento.</w:t>
      </w:r>
    </w:p>
    <w:p>
      <w:pPr>
        <w:pStyle w:val="Normal"/>
        <w:spacing w:before="200" w:after="0"/>
        <w:rPr>
          <w:rFonts w:eastAsia="Arial" w:cs="Arial"/>
          <w:color w:val="333333"/>
          <w:sz w:val="22"/>
          <w:szCs w:val="22"/>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000000"/>
      <w:kern w:val="0"/>
      <w:sz w:val="22"/>
      <w:szCs w:val="22"/>
      <w:lang w:val="pt-BR"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000000"/>
      <w:kern w:val="0"/>
      <w:sz w:val="22"/>
      <w:szCs w:val="22"/>
      <w:lang w:val="pt-BR"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000000"/>
      <w:kern w:val="0"/>
      <w:sz w:val="22"/>
      <w:szCs w:val="22"/>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sselectedend">
    <w:name w:val="isselectedend"/>
    <w:basedOn w:val="Normal"/>
    <w:qFormat/>
    <w:pPr>
      <w:suppressAutoHyphens w:val="false"/>
      <w:spacing w:beforeAutospacing="1" w:afterAutospacing="1"/>
    </w:pPr>
    <w:rPr>
      <w:rFonts w:ascii="Times New Roman" w:hAnsi="Times New Roman" w:eastAsia="Times New Roman" w:cs="Times New Roman"/>
      <w:color w:val="auto"/>
      <w:sz w:val="24"/>
      <w:szCs w:val="24"/>
      <w:lang w:eastAsia="pt-BR" w:bidi="ar-SA"/>
    </w:rPr>
  </w:style>
  <w:style w:type="paragraph" w:styleId="NormalWeb">
    <w:name w:val="Normal (Web)"/>
    <w:basedOn w:val="Normal"/>
    <w:qFormat/>
    <w:pPr>
      <w:suppressAutoHyphens w:val="false"/>
      <w:spacing w:beforeAutospacing="1" w:afterAutospacing="1"/>
    </w:pPr>
    <w:rPr>
      <w:rFonts w:ascii="Times New Roman" w:hAnsi="Times New Roman" w:eastAsia="Times New Roman" w:cs="Times New Roman"/>
      <w:color w:val="auto"/>
      <w:sz w:val="24"/>
      <w:szCs w:val="24"/>
      <w:lang w:eastAsia="pt-BR"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LibreOffice/26.2.3.2$Linux_X86_64 LibreOffice_project/620$Build-2</Application>
  <AppVersion>15.0000</AppVersion>
  <Pages>10</Pages>
  <Words>3776</Words>
  <Characters>21928</Characters>
  <CharactersWithSpaces>25617</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2026-06-13T19:19:24Z</dcterms:created>
  <dc:creator>Un-named</dc:creator>
  <dc:description/>
  <dc:language>pt-BR</dc:language>
  <cp:lastModifiedBy/>
  <dcterms:modified xsi:type="dcterms:W3CDTF">2026-06-14T21:54:51Z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