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Arial" w:cs="Arial" w:eastAsia="Arial" w:hAnsi="Arial"/>
          <w:b/>
          <w:bCs/>
          <w:color w:val="1A365D"/>
          <w:sz w:val="80"/>
          <w:szCs w:val="80"/>
        </w:rPr>
        <w:t xml:space="preserve">lather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4A5568"/>
          <w:sz w:val="28"/>
          <w:szCs w:val="28"/>
        </w:rPr>
        <w:t xml:space="preserve">SDK de Processamento e Leitura de Dados para IA</w:t>
      </w:r>
    </w:p>
    <w:p>
      <w:pPr>
        <w:spacing w:after="2000" w:before="0"/>
        <w:jc w:val="center"/>
      </w:pPr>
      <w:r>
        <w:rPr>
          <w:rFonts w:ascii="Arial" w:cs="Arial" w:eastAsia="Arial" w:hAnsi="Arial"/>
          <w:color w:val="A0AEC0"/>
          <w:sz w:val="22"/>
          <w:szCs w:val="22"/>
        </w:rPr>
        <w:t xml:space="preserve">Documentação de Decisões de Projeto</w:t>
      </w:r>
    </w:p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1. Visão Geral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lather é uma SDK Python cujo objetivo é converter fontes de dados heterogêneas em representações textuais estruturadas e otimizadas para consumo por modelos de linguagem, com máxima precisão semântica e mínima ambiguidade sintática.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Motivação: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Modelos de linguagem não processam imagens contidas em documentos PDF. O lather resolve esse problema no nível do pipeline de processamento, tratando cada tipo de conteúdo com o método algorítmico mais preciso disponível.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Escopo atual — Core: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Leitura de arquivos via drivers algorítmicos, sem dependência de LLM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Controle de volume de dados processados via data_limit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Interface pública instanciável com gerenciamento de estado interno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Escopo futuro — Advanced: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Integração com provedores de LLM via LangChain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Processamento de imagens em documentos 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Sumarização e extração semântica de conteúdo</w:t>
      </w:r>
    </w:p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2. Interface Pública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SDK é instanciada como objeto, seguindo o modelo de design do FastAPI: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20"/>
          <w:szCs w:val="20"/>
        </w:rPr>
        <w:t xml:space="preserve">lather = Lather()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Uso com configure() separado: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20"/>
          <w:szCs w:val="20"/>
        </w:rPr>
        <w:t xml:space="preserve">lather = Lather()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20"/>
          <w:szCs w:val="20"/>
        </w:rPr>
        <w:t xml:space="preserve">lather.configure({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20"/>
          <w:szCs w:val="20"/>
        </w:rPr>
        <w:t xml:space="preserve">    "privacy":    True,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20"/>
          <w:szCs w:val="20"/>
        </w:rPr>
        <w:t xml:space="preserve">    "data_limit": "medium",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20"/>
          <w:szCs w:val="20"/>
        </w:rPr>
        <w:t xml:space="preserve">    "drivers":    ["pdf", "excel"]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20"/>
          <w:szCs w:val="20"/>
        </w:rPr>
        <w:t xml:space="preserve">})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20"/>
          <w:szCs w:val="20"/>
        </w:rPr>
        <w:t xml:space="preserve">lather.read("contrato.pdf")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20"/>
          <w:szCs w:val="20"/>
        </w:rPr>
        <w:t xml:space="preserve">lather.read("planilha.xlsx")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20"/>
          <w:szCs w:val="20"/>
        </w:rPr>
        <w:t xml:space="preserve">resultado = lather.dump()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Uso com configurações inline: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20"/>
          <w:szCs w:val="20"/>
        </w:rPr>
        <w:t xml:space="preserve">lather = Lather()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20"/>
          <w:szCs w:val="20"/>
        </w:rPr>
        <w:t xml:space="preserve">lather.read("contrato.pdf", configurations={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20"/>
          <w:szCs w:val="20"/>
        </w:rPr>
        <w:t xml:space="preserve">    "privacy":    False,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20"/>
          <w:szCs w:val="20"/>
        </w:rPr>
        <w:t xml:space="preserve">    "data_limit": "rich",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20"/>
          <w:szCs w:val="20"/>
        </w:rPr>
        <w:t xml:space="preserve">    "drivers":    ["pdf"]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20"/>
          <w:szCs w:val="20"/>
        </w:rPr>
        <w:t xml:space="preserve">})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Configurações fornecidas em read() sobrescrevem configure() pontualmente. Ambas as abordagens são suportadas — o consumidor escolhe conforme a necessidade.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2.1 Métodos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c>
          <w:tcPr>
            <w:tcW w:type="dxa" w:w="24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516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8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configure({...})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Define as configurações da instância. Pode ser chamado antes de read() ou omitido quando as configurações forem fornecidas inline.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read(source)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Lê e processa um arquivo. Aceita configurações opcionais que sobrescrevem configure() pontualmente. Acumula o resultado no estado interno da instância.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Principal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dump()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Retorna string única contendo todos os documentos processados, separados por delimitadores explícitos. Formato otimizado para consumo por LLMs.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Saída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store()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Retorna lista com um item por arquivo processado. Permite ao consumidor controlar a composição do contexto antes de enviar para a LLM.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Saída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history()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Retorna lista de metadados de todos os processamentos realizados na instância corrente.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clear()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Limpa o estado interno da instância. Permite reutilizar o objeto para um novo conjunto de arquivos.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Estado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2.2 Saída — dump()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Retorna string única com delimitadores explícitos entre documentos: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20"/>
          <w:szCs w:val="20"/>
        </w:rPr>
        <w:t xml:space="preserve">[DOCUMENTO 1] contrato.pdf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20"/>
          <w:szCs w:val="20"/>
        </w:rPr>
        <w:t xml:space="preserve">...conteúdo processado...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20"/>
          <w:szCs w:val="20"/>
        </w:rPr>
        <w:t xml:space="preserve">[DOCUMENTO 2] planilha.xlsx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20"/>
          <w:szCs w:val="20"/>
        </w:rPr>
        <w:t xml:space="preserve">...conteúdo processado...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delimitação explícita é intencional: modelos de linguagem identificam com precisão onde cada documento inicia e termina, reduzindo erros de interpretação contextual.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2.3 Saída — store()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Retorna lista Python com um item por arquivo processado. O consumidor tem controle total sobre a composição e ordenação do contexto antes de enviá-lo ao modelo.</w:t>
      </w:r>
    </w:p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3. Parâmetro configurations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20"/>
          <w:szCs w:val="20"/>
        </w:rPr>
        <w:t xml:space="preserve">configurations =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20"/>
          <w:szCs w:val="20"/>
        </w:rPr>
        <w:t xml:space="preserve">    "privacy":    True,       # bool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20"/>
          <w:szCs w:val="20"/>
        </w:rPr>
        <w:t xml:space="preserve">    "data_limit": "medium",   # str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20"/>
          <w:szCs w:val="20"/>
        </w:rPr>
        <w:t xml:space="preserve">    "drivers":    ["pdf"]     # list[str]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20"/>
          <w:szCs w:val="20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3.1 privacy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Tipo: bool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True: reservado para anonimização de dados sensíveis via Presidio (implementação futura)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False: os dados são processados sem tratamento de privacidade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3.2 data_limit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Tipo: str. Define o volume máximo de dados processados por execução. A segmentação é realizada pelos text splitters do LangChain, preservando a coerência semântica do conteúdo.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800"/>
        <w:gridCol w:w="1800"/>
        <w:gridCol w:w="1800"/>
        <w:gridCol w:w="2400"/>
      </w:tblGrid>
      <w:tr>
        <w:tc>
          <w:tcPr>
            <w:tcW w:type="dxa" w:w="156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Preset</w:t>
            </w:r>
          </w:p>
        </w:tc>
        <w:tc>
          <w:tcPr>
            <w:tcW w:type="dxa" w:w="18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Páginas PDF</w:t>
            </w:r>
          </w:p>
        </w:tc>
        <w:tc>
          <w:tcPr>
            <w:tcW w:type="dxa" w:w="18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Linhas Excel</w:t>
            </w:r>
          </w:p>
        </w:tc>
        <w:tc>
          <w:tcPr>
            <w:tcW w:type="dxa" w:w="18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Chars total</w:t>
            </w:r>
          </w:p>
        </w:tc>
        <w:tc>
          <w:tcPr>
            <w:tcW w:type="dxa" w:w="24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indicado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Validação durante o desenvolvimento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Documentos de pequeno porte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20.000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Uso padrão em produção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10.000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100.000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Documentos extensos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unlimited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∞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∞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∞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 restrições — utilizar com cautela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3.3 drivers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Tipo: list[str]. Define os drivers elegíveis para a execução. O DriverRegistry seleciona automaticamente o driver adequado com base na extensão do arquivo fornecido em read().</w:t>
      </w:r>
    </w:p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4. Arquitetura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4.1 Padrões arquiteturais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4800"/>
      </w:tblGrid>
      <w:tr>
        <w:tc>
          <w:tcPr>
            <w:tcW w:type="dxa" w:w="216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Padrão</w:t>
            </w:r>
          </w:p>
        </w:tc>
        <w:tc>
          <w:tcPr>
            <w:tcW w:type="dxa" w:w="24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8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Facade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Lather()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Interface pública unificada. Encapsula toda a complexidade interna — o consumidor nunca interage diretamente com drivers, registry ou renderer.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Plugin Architecture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Drivers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Cada driver é um módulo independente que segue o contrato do BaseDriver. Novos formatos são adicionados sem alteração do núcleo.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Pipeline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Fluxo do read()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processamento interno é sequencial e linear. Cada etapa é isolada, testável e substituível sem impacto nas demais.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Functional 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Transformações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 funções de transformação (limit, privacy, render) são implementadas como funções puras, sem efeitos colaterais. O estado é gerenciado exclusivamente pela camada Lather().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4.2 Modelo de drivers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sistema de drivers do lather segue o mesmo princípio dos drivers de hardware: o núcleo da aplicação não conhece a implementação interna de cada formato. Ele delega a leitura para o driver registrado, comunicando-se exclusivamente pelo contrato definido em BaseDriver.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Cada componente tem uma responsabilidade exclusiva: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Lather() — orquestra o fluxo e gerencia o estado interno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BaseDriver — define o contrato que todos os drivers devem implementar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DriverRegistry — mapeia extensões de arquivo para o driver responsável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Drivers (PdfDriver, ExcelDriver...) — implementações isoladas por formato</w:t>
      </w:r>
    </w:p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5. Drivers — Core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Cada driver é uma pasta dentro de lather/drivers/ que implementa a interface BaseDriver. O contrato exige a declaração das extensões suportadas e a implementação do método read().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instanciação de um driver que não implementa read() gera erro imediato em Python — antes de qualquer execução em runtime. Isso garante que drivers incompletos nunca alcancem o ambiente de produção.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2340"/>
        <w:gridCol w:w="3120"/>
      </w:tblGrid>
      <w:tr>
        <w:tc>
          <w:tcPr>
            <w:tcW w:type="dxa" w:w="156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Driver</w:t>
            </w:r>
          </w:p>
        </w:tc>
        <w:tc>
          <w:tcPr>
            <w:tcW w:type="dxa" w:w="234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Biblioteca</w:t>
            </w:r>
          </w:p>
        </w:tc>
        <w:tc>
          <w:tcPr>
            <w:tcW w:type="dxa" w:w="234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Formatos</w:t>
            </w:r>
          </w:p>
        </w:tc>
        <w:tc>
          <w:tcPr>
            <w:tcW w:type="dxa" w:w="312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Conteúdo extraído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pdf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pdfplumber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.pdf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Texto nativo por página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excel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openpyxl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.xlsx, .xls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Células e planilhas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csv (stdlib)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.csv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Linhas e colunas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python-docx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.docx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Parágrafos e tabelas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Imagens contidas em documentos PDF são ignoradas no Core. O processamento é restrito ao texto nativo extraído pelo pdfplumber. O suporte a imagens está previsto no Advanced Mode.</w:t>
      </w:r>
    </w:p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6. DriverRegistry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DriverRegistry é o catálogo central da SDK. Mantém um mapeamento de extensões de arquivo para os respectivos drivers e é responsável por resolver qual driver utilizar em cada chamada de read().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Estrutura interna: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20"/>
          <w:szCs w:val="20"/>
        </w:rPr>
        <w:t xml:space="preserve">{ ".pdf": PdfDriver, ".xlsx": ExcelDriver, ".csv": CsvDriver, ".docx": WordDriver }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Lather() consulta o Registry sem nenhuma lógica condicional explícita: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20"/>
          <w:szCs w:val="20"/>
        </w:rPr>
        <w:t xml:space="preserve">driver = DriverRegistry.resolve('relatorio.pdf')  # → PdfDriver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20"/>
          <w:szCs w:val="20"/>
        </w:rPr>
        <w:t xml:space="preserve">resultado = driver.read('relatorio.pdf')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Cada driver declara suas extensões no BaseDriver. O Registry as lê automaticamente na inicialização da SDK — a adição de um novo driver não requer nenhuma alteração no Registry ou no núcleo.</w:t>
      </w:r>
    </w:p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7. Fluxo de Execução — read()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Recebe o path do arquivo como argumento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Consulta o DriverRegistry e obtém o driver adequado pela extensão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Aplica data_limit via text splitters do LangChain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Executa a leitura do arquivo com o driver selecionado (processamento algorítmico)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Aplica o filtro de privacidade se privacy: True (placeholder — Presidio previsto)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Renderiza a string estruturada no formato Markdown com JSON inline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Acumula o resultado no estado interno da instância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Entrada suportada no Core: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Somente path de arquivo em disco. Suporte a bytes e stream está previsto como feature futura e não impacta a arquitetura atual.</w:t>
      </w:r>
    </w:p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8. Formato de Saída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formato de saída adotado é Markdown estruturado com JSON inline para dados tabulares. A escolha é fundamentada nos seguintes princípios: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Delimitadores explícitos — o modelo identifica com precisão os limites de cada documento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Metadados precedem o conteúdo — o modelo recebe contexto antes de processar o dado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Markdown semântico — tabelas para dados tabulares, cabeçalhos para seções hierárquicas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Ausência de ruído — encoding UTF-8 normalizado, sem caracteres de controle ou espaços desnecessários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Estrutura por documento: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20"/>
          <w:szCs w:val="20"/>
        </w:rPr>
        <w:t xml:space="preserve"># [TIPO] Nome do arquivo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20"/>
          <w:szCs w:val="20"/>
        </w:rPr>
        <w:t xml:space="preserve">## Metadados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20"/>
          <w:szCs w:val="20"/>
        </w:rPr>
        <w:t xml:space="preserve">- fonte: relatorio.pdf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20"/>
          <w:szCs w:val="20"/>
        </w:rPr>
        <w:t xml:space="preserve">- driver: pdf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20"/>
          <w:szCs w:val="20"/>
        </w:rPr>
        <w:t xml:space="preserve">- paginas: 3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20"/>
          <w:szCs w:val="20"/>
        </w:rPr>
        <w:t xml:space="preserve">## Conteúdo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20"/>
          <w:szCs w:val="20"/>
        </w:rPr>
        <w:t xml:space="preserve">### Página 1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20"/>
          <w:szCs w:val="20"/>
        </w:rPr>
        <w:t xml:space="preserve">Texto extraído...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20"/>
          <w:szCs w:val="20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20"/>
          <w:szCs w:val="20"/>
        </w:rPr>
        <w:t xml:space="preserve">### Tabela — Página 2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20"/>
          <w:szCs w:val="20"/>
        </w:rPr>
        <w:t xml:space="preserve">| coluna_1 | coluna_2 |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20"/>
          <w:szCs w:val="20"/>
        </w:rPr>
        <w:t xml:space="preserve">|----------|----------|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20"/>
          <w:szCs w:val="20"/>
        </w:rPr>
        <w:t xml:space="preserve">| valor    | valor    |</w:t>
      </w:r>
    </w:p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9. Estrutura de Pastas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20"/>
          <w:szCs w:val="20"/>
        </w:rPr>
        <w:t xml:space="preserve">lather/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20"/>
          <w:szCs w:val="20"/>
        </w:rPr>
        <w:t xml:space="preserve">├── lather/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20"/>
          <w:szCs w:val="20"/>
        </w:rPr>
        <w:t xml:space="preserve">│   ├── core/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20"/>
          <w:szCs w:val="20"/>
        </w:rPr>
        <w:t xml:space="preserve">│   │   ├── lather.py         # Classe Lather() — interface pública e estado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20"/>
          <w:szCs w:val="20"/>
        </w:rPr>
        <w:t xml:space="preserve">│   │   ├── config.py         # Leitura e aplicação do configurations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20"/>
          <w:szCs w:val="20"/>
        </w:rPr>
        <w:t xml:space="preserve">│   │   ├── registry.py       # DriverRegistry — resolução de drivers por extensão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20"/>
          <w:szCs w:val="20"/>
        </w:rPr>
        <w:t xml:space="preserve">│   │   └── renderer.py       # SemanticRenderer — geração da string de saída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20"/>
          <w:szCs w:val="20"/>
        </w:rPr>
        <w:t xml:space="preserve">│   ├── drivers/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20"/>
          <w:szCs w:val="20"/>
        </w:rPr>
        <w:t xml:space="preserve">│   │   ├── base.py           # BaseDriver (ABC) — contrato de todos os drivers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20"/>
          <w:szCs w:val="20"/>
        </w:rPr>
        <w:t xml:space="preserve">│   │   ├── pdf/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20"/>
          <w:szCs w:val="20"/>
        </w:rPr>
        <w:t xml:space="preserve">│   │   │   └── driver.py     # PdfDriver — pdfplumber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20"/>
          <w:szCs w:val="20"/>
        </w:rPr>
        <w:t xml:space="preserve">│   │   ├── excel/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20"/>
          <w:szCs w:val="20"/>
        </w:rPr>
        <w:t xml:space="preserve">│   │   │   └── driver.py     # ExcelDriver — openpyxl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20"/>
          <w:szCs w:val="20"/>
        </w:rPr>
        <w:t xml:space="preserve">│   │   ├── csv/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20"/>
          <w:szCs w:val="20"/>
        </w:rPr>
        <w:t xml:space="preserve">│   │   │   └── driver.py     # CsvDriver — csv stdlib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20"/>
          <w:szCs w:val="20"/>
        </w:rPr>
        <w:t xml:space="preserve">│   │   └── word/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20"/>
          <w:szCs w:val="20"/>
        </w:rPr>
        <w:t xml:space="preserve">│   │       └── driver.py     # WordDriver — python-docx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20"/>
          <w:szCs w:val="20"/>
        </w:rPr>
        <w:t xml:space="preserve">│   └── limits.py             # Constantes dos presets de data_limit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20"/>
          <w:szCs w:val="20"/>
        </w:rPr>
        <w:t xml:space="preserve">├── pyproject.toml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2D3748"/>
          <w:sz w:val="20"/>
          <w:szCs w:val="20"/>
        </w:rPr>
        <w:t xml:space="preserve">└── README.md</w:t>
      </w:r>
    </w:p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10. Tecnologia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Linguagem: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Python 3.14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Type hints nativos aplicados nas interfaces públicas e no contrato do BaseDriver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Sem frameworks de validação de dados — Pydantic não é necessário para o escopo do Core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LangChain: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Core: somente langchain-text-splitters, para segmentação de texto no data_limit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Advanced (previsto): providers de LLM, vision e output parsers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Isolado em lather/llm/client.py — substituição futura não afeta o restante da SDK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C5282"/>
          <w:sz w:val="26"/>
          <w:szCs w:val="26"/>
        </w:rPr>
        <w:t xml:space="preserve">10.1 Dependências — Core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500"/>
        <w:gridCol w:w="2160"/>
      </w:tblGrid>
      <w:tr>
        <w:tc>
          <w:tcPr>
            <w:tcW w:type="dxa" w:w="27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Pacote</w:t>
            </w:r>
          </w:p>
        </w:tc>
        <w:tc>
          <w:tcPr>
            <w:tcW w:type="dxa" w:w="450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  <w:tc>
          <w:tcPr>
            <w:tcW w:type="dxa" w:w="216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pdfplumber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Extração de texto nativo de documentos PDF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Driver pdf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openpyxl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Leitura de planilhas Excel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Driver excel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python-docx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Leitura de documentos Word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Driver word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csv (stdlib)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Leitura de arquivos CSV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Driver csv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langchain-text-splitters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Segmentação inteligente de texto para aplicação do data_limit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</w:t>
            </w:r>
          </w:p>
        </w:tc>
      </w:tr>
    </w:tbl>
    <w:p>
      <w:pPr>
        <w:pBdr>
          <w:bottom w:val="single" w:color="CBD5E0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365D"/>
          <w:sz w:val="32"/>
          <w:szCs w:val="32"/>
        </w:rPr>
        <w:t xml:space="preserve">11. Funcionalidades Previstas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4680"/>
        <w:gridCol w:w="2160"/>
      </w:tblGrid>
      <w:tr>
        <w:tc>
          <w:tcPr>
            <w:tcW w:type="dxa" w:w="252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68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160"/>
            <w:tcBorders>
              <w:top w:val="single" w:color="1A365D" w:sz="1"/>
              <w:left w:val="single" w:color="1A365D" w:sz="1"/>
              <w:bottom w:val="single" w:color="1A365D" w:sz="1"/>
              <w:right w:val="single" w:color="1A365D" w:sz="1"/>
            </w:tcBorders>
            <w:shd w:fill="1A365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Advanced Mode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Ativa recursos que requerem LLM. Habilitado via advanced: True no configure().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Feature futura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LangChain — Providers de LLM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Abstração de provider no Advanced Mode. O consumidor configura o provedor desejado (Anthropic, OpenAI, Google, Ollama). LangChain resolve a interface internamente.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Futura — Advanced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Vision para imagens em PDF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Classificador que roteia cada imagem para o processador adequado: OCR para texto, img2table para tabelas, pyzbar para códigos, LLM de visão para gráficos e diagramas.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Futura — Advanced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Sumarização inteligente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Quando data_limit é restritivo, sumariza o conteúdo ao invés de truncar. Utiliza LangChain com o provedor configurado.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Futura — Advanced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Extração semântica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Identificação de campos-chave em documentos não estruturados (notas fiscais, contratos, formulários). Requer LLM.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Futura — Advanced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Privacy Engine (Presidio)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Anonimização de dados sensíveis quando privacy: True. Entidades suportadas: CPF, e-mail, telefone, entre outras.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Futura — Core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Bytes / Stream como entrada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Suporte a fontes além de path em disco: bytes brutos e objetos file-like. Útil para integrações com APIs e arquivos em memória.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Futura — Core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Novos drivers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arquitetura de plugins permite adição de drivers sem alteração do núcleo. Candidatos: JSON, XML, imagem, banco de dados.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Futura — Core</w:t>
            </w:r>
          </w:p>
        </w:tc>
      </w:tr>
    </w:tbl>
    <w:p>
      <w:pPr>
        <w:spacing w:after="100" w:before="100"/>
      </w:pPr>
      <w:r>
        <w:t xml:space="preserve"/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718096"/>
        <w:sz w:val="18"/>
        <w:szCs w:val="18"/>
      </w:rPr>
      <w:t xml:space="preserve">lather SDK  —  Documentação de Projeto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C528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2026-05-26T01:38:53.528Z</dcterms:created>
  <dcterms:modified xsi:type="dcterms:W3CDTF">2026-05-26T01:38:53.529Z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