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advocatus-online-gdd-v5.9"/>
    <w:p>
      <w:pPr>
        <w:pStyle w:val="Heading1"/>
      </w:pPr>
      <w:r>
        <w:t xml:space="preserve">ADVOCATUS ONLINE — GDD v5.9</w:t>
      </w:r>
    </w:p>
    <w:bookmarkStart w:id="20" w:name="Xc979fb15d4d8d359a9a6f0ab3f3c720e4be571c"/>
    <w:p>
      <w:pPr>
        <w:pStyle w:val="Heading2"/>
      </w:pPr>
      <w:r>
        <w:t xml:space="preserve">Confronto Direto: Efeito Externo com Identidade Própria</w:t>
      </w:r>
    </w:p>
    <w:p>
      <w:pPr>
        <w:pStyle w:val="FirstParagraph"/>
      </w:pPr>
      <w:r>
        <w:rPr>
          <w:bCs/>
          <w:b/>
        </w:rPr>
        <w:t xml:space="preserve">Versão 5.9 — Julho 2026 | Substitui a v5.8 na íntegra.</w:t>
      </w:r>
    </w:p>
    <w:p>
      <w:r>
        <w:pict>
          <v:rect style="width:0;height:1.5pt" o:hralign="center" o:hrstd="t" o:hr="t"/>
        </w:pict>
      </w:r>
    </w:p>
    <w:bookmarkEnd w:id="20"/>
    <w:bookmarkStart w:id="25" w:name="changelog-v5.8-v5.9"/>
    <w:p>
      <w:pPr>
        <w:pStyle w:val="Heading2"/>
      </w:pPr>
      <w:r>
        <w:t xml:space="preserve">CHANGELOG v5.8 → v5.9</w:t>
      </w:r>
    </w:p>
    <w:p>
      <w:pPr>
        <w:pStyle w:val="FirstParagraph"/>
      </w:pPr>
      <w:r>
        <w:t xml:space="preserve">Numeração entre colchetes referencia os itens da 7ª auditoria.</w:t>
      </w:r>
    </w:p>
    <w:bookmarkStart w:id="21" w:name="X046c0b05e8e446b7ed826c0d21ff5cfed77d766"/>
    <w:p>
      <w:pPr>
        <w:pStyle w:val="Heading3"/>
      </w:pPr>
      <w:r>
        <w:t xml:space="preserve">🟠 Correções P1 — as duas janelas de idempotência que faltavam fechar</w:t>
      </w:r>
    </w:p>
    <w:p>
      <w:pPr>
        <w:pStyle w:val="FirstParagraph"/>
      </w:pPr>
      <w:r>
        <w:t xml:space="preserve">Ambas eram a mesma falha de fundo, e a mesma que já havíamos corrigido no pipeline de resolução:</w:t>
      </w:r>
      <w:r>
        <w:t xml:space="preserve"> </w:t>
      </w:r>
      <w:r>
        <w:rPr>
          <w:bCs/>
          <w:b/>
        </w:rPr>
        <w:t xml:space="preserve">o efeito externo acontecia antes do seu marcador, com uma janela de crash entre os dois.</w:t>
      </w:r>
      <w:r>
        <w:t xml:space="preserve"> </w:t>
      </w:r>
      <w:r>
        <w:t xml:space="preserve">A auditoria formulou o problema com precisão: o sistema só sabia responder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 slot gravou que consumiu a vaga?</w:t>
      </w:r>
      <w:r>
        <w:rPr>
          <w:iCs/>
          <w:i/>
        </w:rPr>
        <w:t xml:space="preserve">”</w:t>
      </w:r>
      <w:r>
        <w:t xml:space="preserve">, não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esta vaga já foi consumida por esta reserva?</w:t>
      </w:r>
      <w:r>
        <w:rPr>
          <w:iCs/>
          <w:i/>
        </w:rPr>
        <w:t xml:space="preserve">”</w:t>
      </w:r>
      <w:r>
        <w:t xml:space="preserve">. A correção, nos dois casos, foi dar</w:t>
      </w:r>
      <w:r>
        <w:t xml:space="preserve"> </w:t>
      </w:r>
      <w:r>
        <w:rPr>
          <w:bCs/>
          <w:b/>
        </w:rPr>
        <w:t xml:space="preserve">identidade própria ao efeito externo</w:t>
      </w:r>
      <w:r>
        <w:t xml:space="preserve"> </w:t>
      </w:r>
      <w:r>
        <w:t xml:space="preserve">e verificá-la na mesma transaction que o executa.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[P1.1] Reserva de vaga agora é idempotente por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reservaId</w:t>
      </w:r>
      <w:r>
        <w:rPr>
          <w:bCs/>
          <w:b/>
        </w:rPr>
        <w:t xml:space="preserve">, não por um booleano gravado depois.</w:t>
      </w:r>
      <w:r>
        <w:t xml:space="preserve"> </w:t>
      </w:r>
      <w:r>
        <w:t xml:space="preserve">Antes,</w:t>
      </w:r>
      <w:r>
        <w:t xml:space="preserve"> </w:t>
      </w:r>
      <w:r>
        <w:rPr>
          <w:rStyle w:val="VerbatimChar"/>
        </w:rPr>
        <w:t xml:space="preserve">recursos_reservados: true</w:t>
      </w:r>
      <w:r>
        <w:t xml:space="preserve"> </w:t>
      </w:r>
      <w:r>
        <w:t xml:space="preserve">só protegia retries</w:t>
      </w:r>
      <w:r>
        <w:t xml:space="preserve"> </w:t>
      </w:r>
      <w:r>
        <w:rPr>
          <w:iCs/>
          <w:i/>
        </w:rPr>
        <w:t xml:space="preserve">depois</w:t>
      </w:r>
      <w:r>
        <w:t xml:space="preserve"> </w:t>
      </w:r>
      <w:r>
        <w:t xml:space="preserve">que a receita completa era persistida no slot — um crash entre decrementar a vaga e persistir a receita fazia o retry decrementar de novo. Agora</w:t>
      </w:r>
      <w:r>
        <w:t xml:space="preserve"> </w:t>
      </w:r>
      <w:r>
        <w:rPr>
          <w:rStyle w:val="VerbatimChar"/>
        </w:rPr>
        <w:t xml:space="preserve">vincularEscritorioNPC()</w:t>
      </w:r>
      <w:r>
        <w:t xml:space="preserve"> </w:t>
      </w:r>
      <w:r>
        <w:t xml:space="preserve">grava um marcador</w:t>
      </w:r>
      <w:r>
        <w:t xml:space="preserve"> </w:t>
      </w:r>
      <w:r>
        <w:rPr>
          <w:rStyle w:val="VerbatimChar"/>
        </w:rPr>
        <w:t xml:space="preserve">/escritorios/{id}/reservas_npc/{reservaId}</w:t>
      </w:r>
      <w:r>
        <w:t xml:space="preserve"> </w:t>
      </w:r>
      <w:r>
        <w:rPr>
          <w:bCs/>
          <w:b/>
        </w:rPr>
        <w:t xml:space="preserve">na mesma transaction que decrementa a vaga</w:t>
      </w:r>
      <w:r>
        <w:t xml:space="preserve">. No retry, a função primeiro procura (via</w:t>
      </w:r>
      <w:r>
        <w:t xml:space="preserve"> </w:t>
      </w:r>
      <w:r>
        <w:rPr>
          <w:rStyle w:val="VerbatimChar"/>
        </w:rPr>
        <w:t xml:space="preserve">collectionGroup</w:t>
      </w:r>
      <w:r>
        <w:t xml:space="preserve">) se aquele</w:t>
      </w:r>
      <w:r>
        <w:t xml:space="preserve"> </w:t>
      </w:r>
      <w:r>
        <w:rPr>
          <w:rStyle w:val="VerbatimChar"/>
        </w:rPr>
        <w:t xml:space="preserve">reservaId</w:t>
      </w:r>
      <w:r>
        <w:t xml:space="preserve"> </w:t>
      </w:r>
      <w:r>
        <w:t xml:space="preserve">já consumiu uma vaga em qualquer escritório — se sim, devolve o mesmo escritório sem decrementar. O</w:t>
      </w:r>
      <w:r>
        <w:t xml:space="preserve"> </w:t>
      </w:r>
      <w:r>
        <w:rPr>
          <w:rStyle w:val="VerbatimChar"/>
        </w:rPr>
        <w:t xml:space="preserve">reservaId</w:t>
      </w:r>
      <w:r>
        <w:t xml:space="preserve"> </w:t>
      </w:r>
      <w:r>
        <w:t xml:space="preserve">é o</w:t>
      </w:r>
      <w:r>
        <w:t xml:space="preserve"> </w:t>
      </w:r>
      <w:r>
        <w:rPr>
          <w:rStyle w:val="VerbatimChar"/>
        </w:rPr>
        <w:t xml:space="preserve">slotId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pid_{profileId}</w:t>
      </w:r>
      <w:r>
        <w:t xml:space="preserve"> </w:t>
      </w:r>
      <w:r>
        <w:t xml:space="preserve">nos caminhos diretos). Testado: crash entre reserva e persistência → retry mantém a vaga em 0, mesmo escritório, nenhum escritório extra.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[P1.2] Catálogo agora reivindica atomicamente cada peça antes de qualquer efeito colateral.</w:t>
      </w:r>
      <w:r>
        <w:t xml:space="preserve"> </w:t>
      </w:r>
      <w:r>
        <w:t xml:space="preserve">Antes, a idempotência dependia de o adapter respeitar</w:t>
      </w:r>
      <w:r>
        <w:t xml:space="preserve"> </w:t>
      </w:r>
      <w:r>
        <w:rPr>
          <w:rStyle w:val="VerbatimChar"/>
        </w:rPr>
        <w:t xml:space="preserve">id_determinista</w:t>
      </w:r>
      <w:r>
        <w:t xml:space="preserve">, e duas materializações concorrentes podiam passar juntas pela checagem check-then-create. Agora, antes de chamar</w:t>
      </w:r>
      <w:r>
        <w:t xml:space="preserve"> </w:t>
      </w:r>
      <w:r>
        <w:rPr>
          <w:rStyle w:val="VerbatimChar"/>
        </w:rPr>
        <w:t xml:space="preserve">confeccionarPecaSincrona()</w:t>
      </w:r>
      <w:r>
        <w:t xml:space="preserve">, uma transaction reivindica</w:t>
      </w:r>
      <w:r>
        <w:t xml:space="preserve"> </w:t>
      </w:r>
      <w:r>
        <w:rPr>
          <w:rStyle w:val="VerbatimChar"/>
        </w:rPr>
        <w:t xml:space="preserve">/peticoes_claims/{idPeca}</w:t>
      </w:r>
      <w:r>
        <w:t xml:space="preserve"> </w:t>
      </w:r>
      <w:r>
        <w:t xml:space="preserve">— só quem vence o claim confecciona; quem perde pula. O efeito externo (confecção, XP, custo) deixa de poder rodar duas vezes para a mesma peça, independentemente do adapter. Testado: duas</w:t>
      </w:r>
      <w:r>
        <w:t xml:space="preserve"> </w:t>
      </w:r>
      <w:r>
        <w:rPr>
          <w:rStyle w:val="VerbatimChar"/>
        </w:rPr>
        <w:t xml:space="preserve">materializarNPC()</w:t>
      </w:r>
      <w:r>
        <w:t xml:space="preserve"> </w:t>
      </w:r>
      <w:r>
        <w:t xml:space="preserve">concorrentes para o mesmo perfil → exatamente 2 peças (civil/inicial + civil/contestacao), confecção rodou exatamente 2×, sem duplicação de efeito.</w:t>
      </w:r>
    </w:p>
    <w:bookmarkEnd w:id="21"/>
    <w:bookmarkStart w:id="22" w:name="o-princípio-consolidado"/>
    <w:p>
      <w:pPr>
        <w:pStyle w:val="Heading3"/>
      </w:pPr>
      <w:r>
        <w:t xml:space="preserve">O princípio consolidado</w:t>
      </w:r>
    </w:p>
    <w:p>
      <w:pPr>
        <w:pStyle w:val="FirstParagraph"/>
      </w:pPr>
      <w:r>
        <w:t xml:space="preserve">Estas duas correções fecham a categoria de bug que apareceu repetidamente ao longo das auditorias (pipeline de resolução, slot travado, vaga vazada, catálogo):</w:t>
      </w:r>
      <w:r>
        <w:t xml:space="preserve"> </w:t>
      </w:r>
      <w:r>
        <w:rPr>
          <w:bCs/>
          <w:b/>
        </w:rPr>
        <w:t xml:space="preserve">todo efeito externo precisa de uma identidade determinística verificada na mesma transaction que o produz.</w:t>
      </w:r>
      <w:r>
        <w:t xml:space="preserve"> </w:t>
      </w:r>
      <w:r>
        <w:t xml:space="preserve">Não é mais uma correção pontual — é a regra que os caminhos ainda no backlog (aposentadoria/reposição, distribuição mínima, expansão institucional) devem seguir ao serem implementados. Cada um desses tem, hoje, exatamente a mesma janela; a técnica para fechá-la já está estabelecida e testada em dois lugares.</w:t>
      </w:r>
    </w:p>
    <w:bookmarkEnd w:id="22"/>
    <w:bookmarkStart w:id="23" w:name="efeitos-colaterais-positivos"/>
    <w:p>
      <w:pPr>
        <w:pStyle w:val="Heading3"/>
      </w:pPr>
      <w:r>
        <w:t xml:space="preserve">Efeitos colaterais positivos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[P2.12 parcial]</w:t>
      </w:r>
      <w:r>
        <w:t xml:space="preserve"> </w:t>
      </w:r>
      <w:r>
        <w:t xml:space="preserve">O escritório de fallback agora tem ID derivado do</w:t>
      </w:r>
      <w:r>
        <w:t xml:space="preserve"> </w:t>
      </w:r>
      <w:r>
        <w:rPr>
          <w:rStyle w:val="VerbatimChar"/>
        </w:rPr>
        <w:t xml:space="preserve">reservaId</w:t>
      </w:r>
      <w:r>
        <w:t xml:space="preserve"> </w:t>
      </w:r>
      <w:r>
        <w:t xml:space="preserve">(</w:t>
      </w:r>
      <w:r>
        <w:rPr>
          <w:rStyle w:val="VerbatimChar"/>
        </w:rPr>
        <w:t xml:space="preserve">npc_esc_{reservaId}</w:t>
      </w:r>
      <w:r>
        <w:t xml:space="preserve">), então um retry encontra o mesmo escritório em vez de criar outro — reduz a inflação de escritórios sob retry (embora a inflação sob concorrência genuína de reservas</w:t>
      </w:r>
      <w:r>
        <w:t xml:space="preserve"> </w:t>
      </w:r>
      <w:r>
        <w:rPr>
          <w:iCs/>
          <w:i/>
        </w:rPr>
        <w:t xml:space="preserve">distintas</w:t>
      </w:r>
      <w:r>
        <w:t xml:space="preserve"> </w:t>
      </w:r>
      <w:r>
        <w:t xml:space="preserve">continue no backlog).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Mock de teste</w:t>
      </w:r>
      <w:r>
        <w:t xml:space="preserve"> </w:t>
      </w:r>
      <w:r>
        <w:t xml:space="preserve">ganhou suporte a</w:t>
      </w:r>
      <w:r>
        <w:t xml:space="preserve"> </w:t>
      </w:r>
      <w:r>
        <w:rPr>
          <w:rStyle w:val="VerbatimChar"/>
        </w:rPr>
        <w:t xml:space="preserve">collectionGroup</w:t>
      </w:r>
      <w:r>
        <w:t xml:space="preserve"> </w:t>
      </w:r>
      <w:r>
        <w:t xml:space="preserve">e navegação</w:t>
      </w:r>
      <w:r>
        <w:t xml:space="preserve"> </w:t>
      </w:r>
      <w:r>
        <w:rPr>
          <w:rStyle w:val="VerbatimChar"/>
        </w:rPr>
        <w:t xml:space="preserve">parent.parent</w:t>
      </w:r>
      <w:r>
        <w:t xml:space="preserve">, necessários para a busca de reserva idempotente.</w:t>
      </w:r>
    </w:p>
    <w:bookmarkEnd w:id="23"/>
    <w:bookmarkStart w:id="24" w:name="X8e933b22b98a8f30264a6505d7ac9721dcac714"/>
    <w:p>
      <w:pPr>
        <w:pStyle w:val="Heading3"/>
      </w:pPr>
      <w:r>
        <w:t xml:space="preserve">Backlog remanescente (sem mudança de prioridade)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[P1.3, P1.4]</w:t>
      </w:r>
      <w:r>
        <w:t xml:space="preserve"> </w:t>
      </w:r>
      <w:r>
        <w:t xml:space="preserve">Aposentadoria+reposição atômicas (ledger de evento); RNG de aposentadoria determinístico por</w:t>
      </w:r>
      <w:r>
        <w:t xml:space="preserve"> </w:t>
      </w:r>
      <w:r>
        <w:rPr>
          <w:rStyle w:val="VerbatimChar"/>
        </w:rPr>
        <w:t xml:space="preserve">npcId + tick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[P1.5, P1.6]</w:t>
      </w:r>
      <w:r>
        <w:t xml:space="preserve"> </w:t>
      </w:r>
      <w:r>
        <w:t xml:space="preserve">Distribuição mínima e expansão institucional — aplicar o padrão</w:t>
      </w:r>
      <w:r>
        <w:t xml:space="preserve"> </w:t>
      </w:r>
      <w:r>
        <w:t xml:space="preserve">“</w:t>
      </w:r>
      <w:r>
        <w:t xml:space="preserve">identidade do efeito + claim transacional</w:t>
      </w:r>
      <w:r>
        <w:t xml:space="preserve">”</w:t>
      </w:r>
      <w:r>
        <w:t xml:space="preserve"> </w:t>
      </w:r>
      <w:r>
        <w:t xml:space="preserve">já estabelecido aqui.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[P1.7]</w:t>
      </w:r>
      <w:r>
        <w:t xml:space="preserve"> </w:t>
      </w:r>
      <w:r>
        <w:t xml:space="preserve">Nonce end-to-end (persistência + Rules) em ambiente Firebase real.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[P2.x, P3.x]</w:t>
      </w:r>
      <w:r>
        <w:t xml:space="preserve"> </w:t>
      </w:r>
      <w:r>
        <w:t xml:space="preserve">Canonicalização de</w:t>
      </w:r>
      <w:r>
        <w:t xml:space="preserve"> </w:t>
      </w:r>
      <w:r>
        <w:rPr>
          <w:rStyle w:val="VerbatimChar"/>
        </w:rPr>
        <w:t xml:space="preserve">profile_id</w:t>
      </w:r>
      <w:r>
        <w:t xml:space="preserve">, validação de deltas econômicos, whitelist de skills, balanceamento,</w:t>
      </w:r>
      <w:r>
        <w:t xml:space="preserve"> </w:t>
      </w:r>
      <w:r>
        <w:rPr>
          <w:rStyle w:val="VerbatimChar"/>
        </w:rPr>
        <w:t xml:space="preserve">node:test</w:t>
      </w:r>
      <w:r>
        <w:t xml:space="preserve">, e — o mais importante estruturalmente —</w:t>
      </w:r>
      <w:r>
        <w:t xml:space="preserve"> </w:t>
      </w:r>
      <w:r>
        <w:rPr>
          <w:bCs/>
          <w:b/>
        </w:rPr>
        <w:t xml:space="preserve">migração dos testes de concorrência para o Firebase Emulator Suite</w:t>
      </w:r>
      <w:r>
        <w:t xml:space="preserve">, porque o mock (mesmo com a fila de transactions e</w:t>
      </w:r>
      <w:r>
        <w:t xml:space="preserve"> </w:t>
      </w:r>
      <w:r>
        <w:rPr>
          <w:rStyle w:val="VerbatimChar"/>
        </w:rPr>
        <w:t xml:space="preserve">collectionGroup</w:t>
      </w:r>
      <w:r>
        <w:t xml:space="preserve">) não prova retry automático de transaction real nem contenção entre processos.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PARTE III — RESERVA DE VAGA IDEMPOTENTE (§11 revisado)</w:t>
      </w:r>
    </w:p>
    <w:bookmarkEnd w:id="24"/>
    <w:bookmarkEnd w:id="25"/>
    <w:bookmarkStart w:id="26" w:name="X66f058166e5c0cf069560b5d2905b459bce58ef"/>
    <w:p>
      <w:pPr>
        <w:pStyle w:val="Heading2"/>
      </w:pPr>
      <w:r>
        <w:t xml:space="preserve">11. Vaga com identidade de reserva</w:t>
      </w:r>
      <w:r>
        <w:t xml:space="preserve"> </w:t>
      </w:r>
      <w:r>
        <w:rPr>
          <w:bCs/>
          <w:b/>
        </w:rPr>
        <w:t xml:space="preserve">[Correção P1.1]</w:t>
      </w:r>
    </w:p>
    <w:p>
      <w:pPr>
        <w:pStyle w:val="SourceCode"/>
      </w:pPr>
      <w:r>
        <w:rPr>
          <w:rStyle w:val="CommentTok"/>
        </w:rPr>
        <w:t xml:space="preserve">// npc/vincularEscritorioNPC.js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vincularEscritorioNPC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jurisdicao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tiersElegiveis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tickAtualFn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reservaId)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reservaId)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'vincularEscritorioNPC: reservaId obrigatório (idempotência — P1.1)'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Esta reserva já consumiu uma vaga em alguma tentativa anterior?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(o escritório pode estar com 0 vagas agora, fora do filtro abaixo —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por isso a busca por reservaId vem ANTES da busca por vaga livre)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jaReservado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collectionGroup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'reservas_npc'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reservaId)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jaReservado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escritorioRef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jaReservado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escritorio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escritorioRef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escritorio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escritorio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Procura escritório com vaga e reserva ATOMICAMENTE (decremento 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marcador na mesma transaction):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'escritorios'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'jurisdicao'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jurisdicao)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tiersElegiveis)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'e_npc'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'vagas_advogado_disponiveis'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candidatos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reserva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reservaRef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'reservas_npc'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(reservaId)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(reservaRef))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exists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atual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atual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vagas_advogado_disponiveis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vagas_advogado_disponiveis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atual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vagas_advogado_disponiveis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(reservaRef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reserva_id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reservaId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marcador ATÔMICO com o decremento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atual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(reserva)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reserva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Sem vaga — cria escritório com ID derivado do reservaId (retry acha o mesmo)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(novoRef = doc(`npc_esc_${reservaId}`), criação + marcador na mesma transaction)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 pergunta que o sistema agora sabe responder:</w:t>
      </w:r>
      <w:r>
        <w:t xml:space="preserve"> </w:t>
      </w:r>
      <w:r>
        <w:t xml:space="preserve">não é mais</w:t>
      </w:r>
      <w:r>
        <w:t xml:space="preserve"> </w:t>
      </w:r>
      <w:r>
        <w:t xml:space="preserve">“</w:t>
      </w:r>
      <w:r>
        <w:t xml:space="preserve">o slot gravou que consumiu a vaga?</w:t>
      </w:r>
      <w:r>
        <w:t xml:space="preserve">”</w:t>
      </w:r>
      <w:r>
        <w:t xml:space="preserve"> </w:t>
      </w:r>
      <w:r>
        <w:t xml:space="preserve">e sim</w:t>
      </w:r>
      <w:r>
        <w:t xml:space="preserve"> </w:t>
      </w:r>
      <w:r>
        <w:t xml:space="preserve">“</w:t>
      </w:r>
      <w:r>
        <w:t xml:space="preserve">esta reserva já consumiu uma vaga?</w:t>
      </w:r>
      <w:r>
        <w:t xml:space="preserve">”</w:t>
      </w:r>
      <w:r>
        <w:t xml:space="preserve">. O marcador</w:t>
      </w:r>
      <w:r>
        <w:t xml:space="preserve"> </w:t>
      </w:r>
      <w:r>
        <w:rPr>
          <w:rStyle w:val="VerbatimChar"/>
        </w:rPr>
        <w:t xml:space="preserve">reservas_npc/{reservaId}</w:t>
      </w:r>
      <w:r>
        <w:t xml:space="preserve"> </w:t>
      </w:r>
      <w:r>
        <w:t xml:space="preserve">é a identidade do efeito, e ele é escrito junto com o efeito.</w:t>
      </w:r>
    </w:p>
    <w:bookmarkEnd w:id="26"/>
    <w:bookmarkStart w:id="29" w:name="X2eb7cf45de939a9d796c3a80e556253f34b7ec9"/>
    <w:p>
      <w:pPr>
        <w:pStyle w:val="Heading2"/>
      </w:pPr>
      <w:r>
        <w:t xml:space="preserve">12. Catálogo com claim atômico por peça</w:t>
      </w:r>
      <w:r>
        <w:t xml:space="preserve"> </w:t>
      </w:r>
      <w:r>
        <w:rPr>
          <w:bCs/>
          <w:b/>
        </w:rPr>
        <w:t xml:space="preserve">[Correção P1.2]</w:t>
      </w:r>
    </w:p>
    <w:p>
      <w:pPr>
        <w:pStyle w:val="SourceCode"/>
      </w:pPr>
      <w:r>
        <w:rPr>
          <w:rStyle w:val="CommentTok"/>
        </w:rPr>
        <w:t xml:space="preserve">// npc/seedCatalogoInicial.js — dentro do loop de área×tipo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idPeca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idPecaEssencial</w:t>
      </w:r>
      <w:r>
        <w:rPr>
          <w:rStyle w:val="NormalTok"/>
        </w:rPr>
        <w:t xml:space="preserve">(profileId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tipo)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atalho barato de retry sequencial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jaExiste</w:t>
      </w:r>
      <w:r>
        <w:rPr>
          <w:rStyle w:val="NormalTok"/>
        </w:rPr>
        <w:t xml:space="preserve">(idPeca))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claim ATÔMICO do direito de confeccionar esta peça, ANTES de qualquer efeito: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venceuClaim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claimRef</w:t>
      </w:r>
      <w:r>
        <w:rPr>
          <w:rStyle w:val="NormalTok"/>
        </w:rPr>
        <w:t xml:space="preserve">(idPeca)))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exists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peticaoRef</w:t>
      </w:r>
      <w:r>
        <w:rPr>
          <w:rStyle w:val="NormalTok"/>
        </w:rPr>
        <w:t xml:space="preserve">(idPeca)))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exists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claimRef</w:t>
      </w:r>
      <w:r>
        <w:rPr>
          <w:rStyle w:val="NormalTok"/>
        </w:rPr>
        <w:t xml:space="preserve">(idPeca)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id_peca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idPeca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profile_id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venceuClaim)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outra materialização já reivindicou — pula, idempotente</w:t>
      </w:r>
      <w:r>
        <w:br/>
      </w:r>
      <w:r>
        <w:br/>
      </w:r>
      <w:r>
        <w:rPr>
          <w:rStyle w:val="CommentTok"/>
        </w:rPr>
        <w:t xml:space="preserve">// só quem venceu o claim confecciona (efeito externo roda no máx. 1x por peça):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confeccionarPecaSincrona</w:t>
      </w:r>
      <w:r>
        <w:rPr>
          <w:rStyle w:val="NormalTok"/>
        </w:rPr>
        <w:t xml:space="preserve">({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id_determinista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idPeca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 acoplamento com o adapter continua existindo (ele deve usar</w:t>
      </w:r>
      <w:r>
        <w:t xml:space="preserve"> </w:t>
      </w:r>
      <w:r>
        <w:rPr>
          <w:rStyle w:val="VerbatimChar"/>
        </w:rPr>
        <w:t xml:space="preserve">id_determinista</w:t>
      </w:r>
      <w:r>
        <w:t xml:space="preserve"> </w:t>
      </w:r>
      <w:r>
        <w:t xml:space="preserve">como doc ID em</w:t>
      </w:r>
      <w:r>
        <w:t xml:space="preserve"> </w:t>
      </w:r>
      <w:r>
        <w:rPr>
          <w:rStyle w:val="VerbatimChar"/>
        </w:rPr>
        <w:t xml:space="preserve">/peticoes</w:t>
      </w:r>
      <w:r>
        <w:t xml:space="preserve">), mas a</w:t>
      </w:r>
      <w:r>
        <w:t xml:space="preserve"> </w:t>
      </w:r>
      <w:r>
        <w:rPr>
          <w:bCs/>
          <w:b/>
        </w:rPr>
        <w:t xml:space="preserve">unicidade do efeito</w:t>
      </w:r>
      <w:r>
        <w:t xml:space="preserve"> </w:t>
      </w:r>
      <w:r>
        <w:t xml:space="preserve">já não depende disso — depende do claim transacional, que roda antes da confecção. Mesmo que o adapter use IDs automáticos, a confecção só é chamada uma vez por peça.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PARTE X — CHECKLIST (atualizado)</w:t>
      </w:r>
    </w:p>
    <w:bookmarkStart w:id="27" w:name="X3d04501b421a0bd31619607c8c8167a88cfd18a"/>
    <w:p>
      <w:pPr>
        <w:pStyle w:val="Heading3"/>
      </w:pPr>
      <w:r>
        <w:t xml:space="preserve">Idempotência de efeito externo (P1 desta versão)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vincularEscritorioNPC()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reservaId</w:t>
      </w:r>
      <w:r>
        <w:t xml:space="preserve"> </w:t>
      </w:r>
      <w:r>
        <w:t xml:space="preserve">e grava</w:t>
      </w:r>
      <w:r>
        <w:t xml:space="preserve"> </w:t>
      </w:r>
      <w:r>
        <w:rPr>
          <w:rStyle w:val="VerbatimChar"/>
        </w:rPr>
        <w:t xml:space="preserve">reservas_npc/{reservaId}</w:t>
      </w:r>
      <w:r>
        <w:t xml:space="preserve"> </w:t>
      </w:r>
      <w:r>
        <w:t xml:space="preserve">na mesma transaction que decrementa a vaga</w:t>
      </w:r>
    </w:p>
    <w:p>
      <w:pPr>
        <w:numPr>
          <w:ilvl w:val="0"/>
          <w:numId w:val="1004"/>
        </w:numPr>
        <w:pStyle w:val="Compact"/>
      </w:pPr>
      <w:r>
        <w:t xml:space="preserve">☐ Busca por</w:t>
      </w:r>
      <w:r>
        <w:t xml:space="preserve"> </w:t>
      </w:r>
      <w:r>
        <w:rPr>
          <w:rStyle w:val="VerbatimChar"/>
        </w:rPr>
        <w:t xml:space="preserve">reservaId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collectionGroup</w:t>
      </w:r>
      <w:r>
        <w:t xml:space="preserve"> </w:t>
      </w:r>
      <w:r>
        <w:t xml:space="preserve">ANTES da busca por vaga livre (acha escritório já reservado mesmo com 0 vagas)</w:t>
      </w:r>
    </w:p>
    <w:p>
      <w:pPr>
        <w:numPr>
          <w:ilvl w:val="0"/>
          <w:numId w:val="1004"/>
        </w:numPr>
        <w:pStyle w:val="Compact"/>
      </w:pPr>
      <w:r>
        <w:t xml:space="preserve">☐ Escritório de fallback com ID</w:t>
      </w:r>
      <w:r>
        <w:t xml:space="preserve"> </w:t>
      </w:r>
      <w:r>
        <w:rPr>
          <w:rStyle w:val="VerbatimChar"/>
        </w:rPr>
        <w:t xml:space="preserve">npc_esc_{reservaId}</w:t>
      </w:r>
      <w:r>
        <w:t xml:space="preserve"> </w:t>
      </w:r>
      <w:r>
        <w:t xml:space="preserve">(retry acha o mesmo)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reservarRecursosDaReceita()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decidirReceitaNPC()</w:t>
      </w:r>
      <w:r>
        <w:t xml:space="preserve"> </w:t>
      </w:r>
      <w:r>
        <w:t xml:space="preserve">propagam</w:t>
      </w:r>
      <w:r>
        <w:t xml:space="preserve"> </w:t>
      </w:r>
      <w:r>
        <w:rPr>
          <w:rStyle w:val="VerbatimChar"/>
        </w:rPr>
        <w:t xml:space="preserve">reservaId</w:t>
      </w:r>
      <w:r>
        <w:t xml:space="preserve"> </w:t>
      </w:r>
      <w:r>
        <w:t xml:space="preserve">(slotId no fluxo de slot,</w:t>
      </w:r>
      <w:r>
        <w:t xml:space="preserve"> </w:t>
      </w:r>
      <w:r>
        <w:rPr>
          <w:rStyle w:val="VerbatimChar"/>
        </w:rPr>
        <w:t xml:space="preserve">pid_{profileId}</w:t>
      </w:r>
      <w:r>
        <w:t xml:space="preserve"> </w:t>
      </w:r>
      <w:r>
        <w:t xml:space="preserve">nos diretos)</w:t>
      </w:r>
    </w:p>
    <w:p>
      <w:pPr>
        <w:numPr>
          <w:ilvl w:val="0"/>
          <w:numId w:val="1004"/>
        </w:numPr>
        <w:pStyle w:val="Compact"/>
      </w:pPr>
      <w:r>
        <w:t xml:space="preserve">☐ Catálogo reivindica</w:t>
      </w:r>
      <w:r>
        <w:t xml:space="preserve"> </w:t>
      </w:r>
      <w:r>
        <w:rPr>
          <w:rStyle w:val="VerbatimChar"/>
        </w:rPr>
        <w:t xml:space="preserve">/peticoes_claims/{idPeca}</w:t>
      </w:r>
      <w:r>
        <w:t xml:space="preserve"> </w:t>
      </w:r>
      <w:r>
        <w:t xml:space="preserve">atomicamente antes de confeccionar</w:t>
      </w:r>
    </w:p>
    <w:p>
      <w:pPr>
        <w:numPr>
          <w:ilvl w:val="0"/>
          <w:numId w:val="1004"/>
        </w:numPr>
        <w:pStyle w:val="Compact"/>
      </w:pPr>
      <w:r>
        <w:t xml:space="preserve">☐ Testado: crash entre reserva e persistência → 1 vaga; materializações concorrentes → 1 confecção por peça</w:t>
      </w:r>
    </w:p>
    <w:bookmarkEnd w:id="27"/>
    <w:bookmarkStart w:id="28" w:name="backlog-para-v5.10-mesmo-padrão-a-reusar"/>
    <w:p>
      <w:pPr>
        <w:pStyle w:val="Heading3"/>
      </w:pPr>
      <w:r>
        <w:t xml:space="preserve">Backlog para v5.10 (mesmo padrão a reusar)</w:t>
      </w:r>
    </w:p>
    <w:p>
      <w:pPr>
        <w:numPr>
          <w:ilvl w:val="0"/>
          <w:numId w:val="1005"/>
        </w:numPr>
        <w:pStyle w:val="Compact"/>
      </w:pPr>
      <w:r>
        <w:t xml:space="preserve">☐ Aposentadoria+reposição e distribuição mínima e expansão institucional: cada efeito externo com identidade determinística + claim transacional</w:t>
      </w:r>
    </w:p>
    <w:p>
      <w:pPr>
        <w:numPr>
          <w:ilvl w:val="0"/>
          <w:numId w:val="1005"/>
        </w:numPr>
        <w:pStyle w:val="Compact"/>
      </w:pPr>
      <w:r>
        <w:t xml:space="preserve">☐ RNG de aposentadoria determinístico (P1.4)</w:t>
      </w:r>
    </w:p>
    <w:p>
      <w:pPr>
        <w:numPr>
          <w:ilvl w:val="0"/>
          <w:numId w:val="1005"/>
        </w:numPr>
        <w:pStyle w:val="Compact"/>
      </w:pPr>
      <w:r>
        <w:t xml:space="preserve">☐ Nonce end-to-end (P1.7) e migração de concorrência para Firebase Emulator (P3.4)</w:t>
      </w:r>
    </w:p>
    <w:p>
      <w:pPr>
        <w:numPr>
          <w:ilvl w:val="0"/>
          <w:numId w:val="1005"/>
        </w:numPr>
        <w:pStyle w:val="Compact"/>
      </w:pPr>
      <w:r>
        <w:t xml:space="preserve">☐ P2/P3 históricos de canonicalização, validação econômica e balanceamento</w:t>
      </w:r>
    </w:p>
    <w:p>
      <w:pPr>
        <w:pStyle w:val="FirstParagraph"/>
      </w:pPr>
      <w:r>
        <w:rPr>
          <w:iCs/>
          <w:i/>
        </w:rPr>
        <w:t xml:space="preserve">ADVOCATUS ONLINE — GDD v5.9 — Julho 2026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2026-07-10T22:42:39Z</dcterms:created>
  <dcterms:modified xsi:type="dcterms:W3CDTF">2026-07-10T22:42:39Z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