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5CD6" w14:textId="77777777" w:rsidR="00A951E7" w:rsidRPr="00F9196E" w:rsidRDefault="00A951E7" w:rsidP="00A951E7">
      <w:pPr>
        <w:spacing w:after="0" w:line="360" w:lineRule="auto"/>
        <w:ind w:left="142" w:right="566"/>
        <w:jc w:val="both"/>
        <w:rPr>
          <w:rFonts w:ascii="Inter" w:hAnsi="Inter"/>
        </w:rPr>
      </w:pPr>
    </w:p>
    <w:p w14:paraId="4E2C4E5D" w14:textId="77777777" w:rsidR="00A951E7" w:rsidRPr="00F9196E" w:rsidRDefault="00A951E7" w:rsidP="00A951E7">
      <w:pPr>
        <w:spacing w:after="0" w:line="360" w:lineRule="auto"/>
        <w:ind w:left="142" w:right="567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I. APRESENTAÇÃO INSTITUCIONAL</w:t>
      </w:r>
    </w:p>
    <w:p w14:paraId="14C730B6" w14:textId="77777777" w:rsidR="00A951E7" w:rsidRPr="00F9196E" w:rsidRDefault="00A951E7" w:rsidP="00A951E7">
      <w:pPr>
        <w:spacing w:after="0" w:line="240" w:lineRule="auto"/>
        <w:ind w:left="142" w:right="567"/>
        <w:jc w:val="both"/>
        <w:rPr>
          <w:rFonts w:ascii="Inter" w:hAnsi="Inter"/>
        </w:rPr>
      </w:pPr>
    </w:p>
    <w:p w14:paraId="38A47150" w14:textId="77777777" w:rsidR="00A951E7" w:rsidRPr="00F9196E" w:rsidRDefault="00A951E7" w:rsidP="00A951E7">
      <w:pPr>
        <w:spacing w:after="0" w:line="240" w:lineRule="auto"/>
        <w:ind w:left="142" w:right="567"/>
        <w:jc w:val="both"/>
        <w:rPr>
          <w:rFonts w:ascii="Inter" w:hAnsi="Inter"/>
        </w:rPr>
      </w:pPr>
      <w:r w:rsidRPr="00F9196E">
        <w:rPr>
          <w:rFonts w:ascii="Inter" w:hAnsi="Inter"/>
        </w:rPr>
        <w:t xml:space="preserve">A </w:t>
      </w:r>
      <w:r w:rsidRPr="00F9196E">
        <w:rPr>
          <w:rFonts w:ascii="Inter" w:hAnsi="Inter"/>
          <w:b/>
          <w:bCs/>
        </w:rPr>
        <w:t>Freire, Vaccari e Silva Advogados Associados</w:t>
      </w:r>
      <w:r w:rsidRPr="00F9196E">
        <w:rPr>
          <w:rFonts w:ascii="Inter" w:hAnsi="Inter"/>
        </w:rPr>
        <w:t xml:space="preserve"> nasceu com a proposta de oferecer uma advocacia estratégica, técnica e próxima do cliente, pautada na transparência, inteligência jurídica e atendimento humanizado. </w:t>
      </w:r>
    </w:p>
    <w:p w14:paraId="179BD093" w14:textId="77777777" w:rsidR="00A951E7" w:rsidRPr="00F9196E" w:rsidRDefault="00A951E7" w:rsidP="00A951E7">
      <w:pPr>
        <w:spacing w:after="0" w:line="240" w:lineRule="auto"/>
        <w:ind w:left="142" w:right="567"/>
        <w:jc w:val="both"/>
        <w:rPr>
          <w:rFonts w:ascii="Inter" w:hAnsi="Inter"/>
        </w:rPr>
      </w:pPr>
    </w:p>
    <w:p w14:paraId="4F9D47F5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Nossa atuação é direcionada à prevenção de riscos, estruturação empresarial e condução assertiva de conflitos, sempre com foco na continuidade saudável da operação empresarial e na proteção patrimonial de nossos clientes.</w:t>
      </w:r>
    </w:p>
    <w:p w14:paraId="5FDE5074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6EC152CC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Acreditamos que a advocacia empresarial moderna deve atuar não apenas na resolução de problemas, mas principalmente na antecipação de riscos, construção de segurança jurídica e suporte estratégico para tomada de decisões.</w:t>
      </w:r>
    </w:p>
    <w:p w14:paraId="09924217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4AFE2813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Missão</w:t>
      </w:r>
    </w:p>
    <w:p w14:paraId="135431D4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 xml:space="preserve">Oferecer soluções jurídicas inteligentes, transparentes e eficazes, com atendimento próximo, personalizado e comprometido com a realidade operacional de cada cliente. </w:t>
      </w:r>
    </w:p>
    <w:p w14:paraId="20084C16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795BB910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Visão</w:t>
      </w:r>
    </w:p>
    <w:p w14:paraId="4ED7892E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Consolidar-se como escritório de referência em assessoria empresarial estratégica, reconhecido pela excelência técnica, confiabilidade e atuação humanizada.</w:t>
      </w:r>
    </w:p>
    <w:p w14:paraId="3DB698FB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2117A4E9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Valores</w:t>
      </w:r>
    </w:p>
    <w:p w14:paraId="231E3C50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>Transparência;</w:t>
      </w:r>
    </w:p>
    <w:p w14:paraId="59FC8F58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>Qualidade técnica;</w:t>
      </w:r>
    </w:p>
    <w:p w14:paraId="49140B58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>Inteligência estratégica;</w:t>
      </w:r>
    </w:p>
    <w:p w14:paraId="210409C9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>Atendimento humanizado;</w:t>
      </w:r>
    </w:p>
    <w:p w14:paraId="32F81D31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>Responsabilidade e comprometimento;</w:t>
      </w:r>
    </w:p>
    <w:p w14:paraId="7384AAFA" w14:textId="77777777" w:rsidR="00A951E7" w:rsidRPr="00F9196E" w:rsidRDefault="00A951E7" w:rsidP="00A951E7">
      <w:pPr>
        <w:numPr>
          <w:ilvl w:val="0"/>
          <w:numId w:val="1"/>
        </w:numPr>
        <w:spacing w:after="0" w:line="240" w:lineRule="auto"/>
        <w:ind w:left="142" w:right="566" w:firstLine="0"/>
        <w:jc w:val="both"/>
        <w:rPr>
          <w:rFonts w:ascii="Inter" w:hAnsi="Inter"/>
        </w:rPr>
      </w:pPr>
      <w:r w:rsidRPr="00F9196E">
        <w:rPr>
          <w:rFonts w:ascii="Inter" w:hAnsi="Inter"/>
        </w:rPr>
        <w:t xml:space="preserve">Atuação ética e preventiva. </w:t>
      </w:r>
    </w:p>
    <w:p w14:paraId="43A03247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73B5B890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II. CORPO DIRETIVO E EQUIPE ESTRATÉGICA</w:t>
      </w:r>
    </w:p>
    <w:p w14:paraId="1D76664C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 Freire, Vaccari e Silva Advogados Associados é composta por profissionais com atuação multidisciplinar, experiência prática em gestão de conflitos empresariais e foco em soluções estratégicas preventivas.</w:t>
      </w:r>
    </w:p>
    <w:p w14:paraId="623F405B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</w:p>
    <w:p w14:paraId="2F94DF97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Dr. GUSTAVO DA SILVA FREIRE</w:t>
      </w:r>
    </w:p>
    <w:p w14:paraId="7D527958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Advogado responsável pela gestão da carteira trabalhista do escritório, com atuação voltada à advocacia empresarial preventiva e contenciosa.</w:t>
      </w:r>
    </w:p>
    <w:p w14:paraId="60062ED6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Entusiasta do Direito do Trabalho contemporâneo e da jurisprudência atual dos Tribunais Superiores, possui expertise na análise estratégica de passivos trabalhistas, adequação de rotinas empresariais, estruturação preventiva e condução de demandas envolvendo relações de trabalho.</w:t>
      </w:r>
    </w:p>
    <w:p w14:paraId="683FA9F9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Atua diretamente na revisão de fluxos operacionais, contratos de trabalho, aplicação de normas coletivas e mitigação de riscos trabalhistas empresariais.</w:t>
      </w:r>
    </w:p>
    <w:p w14:paraId="6D689450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Sua atuação possui enfoque técnico e preventivo, especialmente direcionado à redução de contingências e fortalecimento da segurança jurídica empresarial.</w:t>
      </w:r>
    </w:p>
    <w:p w14:paraId="600EBF9D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30D9E24C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Dr. GENILTON FREIRE</w:t>
      </w:r>
    </w:p>
    <w:p w14:paraId="31CB458B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Profissional com mais de 20 anos de experiência em gestão empresarial, trazendo ao escritório visão estratégica prática sobre operações empresariais, gestão organizacional e desenvolvimento estrutural de empresas.</w:t>
      </w:r>
    </w:p>
    <w:p w14:paraId="5E37A75B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 xml:space="preserve">Com formação também em Administração de Empresas, </w:t>
      </w:r>
      <w:proofErr w:type="gramStart"/>
      <w:r w:rsidRPr="00F9196E">
        <w:rPr>
          <w:rFonts w:ascii="Inter" w:hAnsi="Inter"/>
        </w:rPr>
        <w:t>Pós graduado</w:t>
      </w:r>
      <w:proofErr w:type="gramEnd"/>
      <w:r w:rsidRPr="00F9196E">
        <w:rPr>
          <w:rFonts w:ascii="Inter" w:hAnsi="Inter"/>
        </w:rPr>
        <w:t xml:space="preserve"> em Logística Integrada e </w:t>
      </w:r>
      <w:proofErr w:type="spellStart"/>
      <w:r w:rsidRPr="00F9196E">
        <w:rPr>
          <w:rFonts w:ascii="Inter" w:hAnsi="Inter"/>
        </w:rPr>
        <w:t>Suplly</w:t>
      </w:r>
      <w:proofErr w:type="spellEnd"/>
      <w:r w:rsidRPr="00F9196E">
        <w:rPr>
          <w:rFonts w:ascii="Inter" w:hAnsi="Inter"/>
        </w:rPr>
        <w:t xml:space="preserve"> Chain e Direito e Processo do Trabalho, sua expertise agrega importante diferencial consultivo à atuação jurídica do escritório, permitindo compreensão aprofundada das necessidades operacionais, administrativas e financeiras enfrentadas pelas empresas.</w:t>
      </w:r>
    </w:p>
    <w:p w14:paraId="181C414D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Atua como suporte estratégico na análise organizacional, desenvolvimento de soluções práticas e alinhamento entre segurança jurídica e viabilidade operacional do negócio.</w:t>
      </w:r>
    </w:p>
    <w:p w14:paraId="0F01E863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</w:p>
    <w:p w14:paraId="573CE765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Dra. KATE MAZIN VACCARI</w:t>
      </w:r>
    </w:p>
    <w:p w14:paraId="5685E7D4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Advogada com mais de 20 anos de experiência jurídica, com atuação estratégica nas áreas cível, empresarial, família, consumidor e trabalhista.</w:t>
      </w:r>
    </w:p>
    <w:p w14:paraId="6A1B9D8F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Especialista em Direito Processual Civil e Direito do Trabalho, possui sólida experiência na condução de demandas complexas, gestão de passivos judiciais e de estratégias preventivas empresariais.</w:t>
      </w:r>
    </w:p>
    <w:p w14:paraId="40786638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Responsável pela gestão da carteira cível do escritório, também atua diretamente na gestão operacional e estratégica do escritório, coordenando fluxos internos, relacionamento com clientes, análise de risco e desenvolvimento de soluções jurídicas personalizadas.</w:t>
      </w:r>
    </w:p>
    <w:p w14:paraId="65F64211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</w:p>
    <w:p w14:paraId="33516A35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  <w:r w:rsidRPr="00F9196E">
        <w:rPr>
          <w:rFonts w:ascii="Inter" w:hAnsi="Inter"/>
          <w:b/>
          <w:bCs/>
        </w:rPr>
        <w:t>Dr. MISAEL FRANCISCO DA SILVA</w:t>
      </w:r>
    </w:p>
    <w:p w14:paraId="55643989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Advogado com mais de 10 anos de experiencia jurídica, com atuação voltada às áreas cível, imobiliária e de família, com enfoque estratégico na condução de demandas patrimoniais, estruturação contratual e prevenção de riscos jurídicos.</w:t>
      </w:r>
    </w:p>
    <w:p w14:paraId="01002526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Possui pós-graduação em Direito Imobiliário, com expertise em análise contratual, regularização patrimonial, relações locatícias, estruturação de negócios imobiliários e gestão preventiva de riscos envolvendo patrimônio e operações empresariais.</w:t>
      </w:r>
    </w:p>
    <w:p w14:paraId="7D9DD740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Atualmente exerce:</w:t>
      </w:r>
    </w:p>
    <w:p w14:paraId="2B57B826" w14:textId="77777777" w:rsidR="00A951E7" w:rsidRPr="00F9196E" w:rsidRDefault="00A951E7" w:rsidP="00A951E7">
      <w:pPr>
        <w:numPr>
          <w:ilvl w:val="0"/>
          <w:numId w:val="6"/>
        </w:numPr>
        <w:spacing w:after="0" w:line="240" w:lineRule="auto"/>
        <w:ind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função de Vice-Presidente da Comissão de Direito de Família da OAB Subseção Itaquera;</w:t>
      </w:r>
    </w:p>
    <w:p w14:paraId="5F405F99" w14:textId="77777777" w:rsidR="00A951E7" w:rsidRPr="00F9196E" w:rsidRDefault="00A951E7" w:rsidP="00A951E7">
      <w:pPr>
        <w:numPr>
          <w:ilvl w:val="0"/>
          <w:numId w:val="6"/>
        </w:numPr>
        <w:spacing w:after="0" w:line="240" w:lineRule="auto"/>
        <w:ind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cargo de Membro Efetivo da Comissão de Direito Imobiliário da OAB Subseção Itaquera.</w:t>
      </w:r>
    </w:p>
    <w:p w14:paraId="43A04999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Sua atuação é marcada pela condução técnica e estratégica de conflitos, com foco em soluções seguras, prevenção de litígios e proteção patrimonial, especialmente em demandas que envolvam relações empresariais, familiares e imobiliárias.</w:t>
      </w:r>
    </w:p>
    <w:p w14:paraId="77344453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Atua ainda na elaboração e revisão de instrumentos contratuais, análise de riscos negociais e suporte jurídico preventivo voltado à segurança das operações empresariais.</w:t>
      </w:r>
    </w:p>
    <w:p w14:paraId="2B2E2AE0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  <w:b/>
          <w:bCs/>
        </w:rPr>
      </w:pPr>
    </w:p>
    <w:p w14:paraId="252F9DA2" w14:textId="77777777" w:rsidR="00A951E7" w:rsidRPr="00F9196E" w:rsidRDefault="00A951E7" w:rsidP="00A951E7">
      <w:pPr>
        <w:spacing w:after="0" w:line="240" w:lineRule="auto"/>
        <w:ind w:left="142" w:right="566"/>
        <w:jc w:val="both"/>
        <w:rPr>
          <w:rFonts w:ascii="Inter" w:hAnsi="Inter"/>
        </w:rPr>
      </w:pPr>
      <w:r w:rsidRPr="00F9196E">
        <w:rPr>
          <w:rFonts w:ascii="Inter" w:hAnsi="Inter"/>
        </w:rPr>
        <w:t>A atuação integrada dos profissionais permite que o escritório ofereça não apenas suporte jurídico técnico, mas também visão estratégica empresarial, gestão preventiva de riscos e acompanhamento próximo da realidade operacional de cada cliente.</w:t>
      </w:r>
    </w:p>
    <w:sectPr w:rsidR="00A951E7" w:rsidRPr="00F9196E" w:rsidSect="008971B5">
      <w:headerReference w:type="default" r:id="rId7"/>
      <w:footerReference w:type="default" r:id="rId8"/>
      <w:pgSz w:w="11906" w:h="16838"/>
      <w:pgMar w:top="1440" w:right="567" w:bottom="0" w:left="567" w:header="709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CA17F" w14:textId="77777777" w:rsidR="00B16306" w:rsidRDefault="00B16306" w:rsidP="00A00A76">
      <w:pPr>
        <w:spacing w:after="0" w:line="240" w:lineRule="auto"/>
      </w:pPr>
      <w:r>
        <w:separator/>
      </w:r>
    </w:p>
  </w:endnote>
  <w:endnote w:type="continuationSeparator" w:id="0">
    <w:p w14:paraId="4D7F3BAF" w14:textId="77777777" w:rsidR="00B16306" w:rsidRDefault="00B16306" w:rsidP="00A0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E087E" w14:textId="359C0645" w:rsidR="00A00A76" w:rsidRPr="008971B5" w:rsidRDefault="00A00A76" w:rsidP="00A00A76">
    <w:pPr>
      <w:pStyle w:val="Rodap"/>
      <w:tabs>
        <w:tab w:val="clear" w:pos="4513"/>
        <w:tab w:val="clear" w:pos="9026"/>
        <w:tab w:val="left" w:pos="1234"/>
      </w:tabs>
      <w:rPr>
        <w:rFonts w:ascii="Inter" w:hAnsi="Inter"/>
        <w:color w:val="024ABA"/>
        <w:sz w:val="20"/>
        <w:szCs w:val="20"/>
      </w:rPr>
    </w:pPr>
    <w:r w:rsidRPr="008971B5">
      <w:rPr>
        <w:rFonts w:ascii="Inter" w:hAnsi="Inter"/>
        <w:color w:val="024ABA"/>
        <w:sz w:val="20"/>
        <w:szCs w:val="20"/>
      </w:rPr>
      <w:t xml:space="preserve">Rua </w:t>
    </w:r>
    <w:r w:rsidR="008971B5" w:rsidRPr="008971B5">
      <w:rPr>
        <w:rFonts w:ascii="Inter" w:hAnsi="Inter"/>
        <w:color w:val="024ABA"/>
        <w:sz w:val="20"/>
        <w:szCs w:val="20"/>
      </w:rPr>
      <w:t>Padre Adelino</w:t>
    </w:r>
    <w:r w:rsidRPr="008971B5">
      <w:rPr>
        <w:rFonts w:ascii="Inter" w:hAnsi="Inter"/>
        <w:color w:val="024ABA"/>
        <w:sz w:val="20"/>
        <w:szCs w:val="20"/>
      </w:rPr>
      <w:t xml:space="preserve"> n° </w:t>
    </w:r>
    <w:r w:rsidR="008971B5" w:rsidRPr="008971B5">
      <w:rPr>
        <w:rFonts w:ascii="Inter" w:hAnsi="Inter"/>
        <w:color w:val="024ABA"/>
        <w:sz w:val="20"/>
        <w:szCs w:val="20"/>
      </w:rPr>
      <w:t>2.074</w:t>
    </w:r>
    <w:r w:rsidRPr="008971B5">
      <w:rPr>
        <w:rFonts w:ascii="Inter" w:hAnsi="Inter"/>
        <w:color w:val="024ABA"/>
        <w:sz w:val="20"/>
        <w:szCs w:val="20"/>
      </w:rPr>
      <w:t xml:space="preserve">, </w:t>
    </w:r>
    <w:r w:rsidR="008971B5" w:rsidRPr="008971B5">
      <w:rPr>
        <w:rFonts w:ascii="Inter" w:hAnsi="Inter"/>
        <w:color w:val="024ABA"/>
        <w:sz w:val="20"/>
        <w:szCs w:val="20"/>
      </w:rPr>
      <w:t>12º andar</w:t>
    </w:r>
    <w:r w:rsidRPr="008971B5">
      <w:rPr>
        <w:rFonts w:ascii="Inter" w:hAnsi="Inter"/>
        <w:color w:val="024ABA"/>
        <w:sz w:val="20"/>
        <w:szCs w:val="20"/>
      </w:rPr>
      <w:t xml:space="preserve">, </w:t>
    </w:r>
    <w:r w:rsidR="008971B5" w:rsidRPr="008971B5">
      <w:rPr>
        <w:rFonts w:ascii="Inter" w:hAnsi="Inter"/>
        <w:color w:val="024ABA"/>
        <w:sz w:val="20"/>
        <w:szCs w:val="20"/>
      </w:rPr>
      <w:t xml:space="preserve">Tatuapé </w:t>
    </w:r>
    <w:r w:rsidRPr="008971B5">
      <w:rPr>
        <w:rFonts w:ascii="Inter" w:hAnsi="Inter"/>
        <w:color w:val="024ABA"/>
        <w:sz w:val="20"/>
        <w:szCs w:val="20"/>
      </w:rPr>
      <w:t xml:space="preserve">         </w:t>
    </w:r>
    <w:r w:rsidR="008971B5">
      <w:rPr>
        <w:rFonts w:ascii="Inter" w:hAnsi="Inter"/>
        <w:color w:val="024ABA"/>
        <w:sz w:val="20"/>
        <w:szCs w:val="20"/>
      </w:rPr>
      <w:t xml:space="preserve">                                           </w:t>
    </w:r>
    <w:r w:rsidR="008971B5" w:rsidRPr="008971B5">
      <w:rPr>
        <w:rFonts w:ascii="Inter" w:hAnsi="Inter"/>
        <w:color w:val="024ABA"/>
        <w:sz w:val="20"/>
        <w:szCs w:val="20"/>
      </w:rPr>
      <w:t>contato.fvsadvogados@gmail.com</w:t>
    </w:r>
    <w:r w:rsidRPr="008971B5">
      <w:rPr>
        <w:rFonts w:ascii="Inter" w:hAnsi="Inter"/>
        <w:color w:val="024ABA"/>
        <w:sz w:val="20"/>
        <w:szCs w:val="20"/>
      </w:rPr>
      <w:t xml:space="preserve">                                              </w:t>
    </w:r>
  </w:p>
  <w:p w14:paraId="5C895B9F" w14:textId="28237196" w:rsidR="00A00A76" w:rsidRPr="008971B5" w:rsidRDefault="00A00A76" w:rsidP="00A00A76">
    <w:pPr>
      <w:pStyle w:val="Rodap"/>
      <w:tabs>
        <w:tab w:val="clear" w:pos="4513"/>
        <w:tab w:val="clear" w:pos="9026"/>
        <w:tab w:val="left" w:pos="1234"/>
      </w:tabs>
      <w:rPr>
        <w:rFonts w:ascii="Inter" w:hAnsi="Inter"/>
        <w:color w:val="024ABA"/>
        <w:sz w:val="20"/>
        <w:szCs w:val="20"/>
      </w:rPr>
    </w:pPr>
    <w:r w:rsidRPr="008971B5">
      <w:rPr>
        <w:rFonts w:ascii="Inter" w:hAnsi="Inter"/>
        <w:color w:val="024ABA"/>
        <w:sz w:val="20"/>
        <w:szCs w:val="20"/>
      </w:rPr>
      <w:t>São Paulo/SP, CEP 0</w:t>
    </w:r>
    <w:r w:rsidR="008971B5" w:rsidRPr="008971B5">
      <w:rPr>
        <w:rFonts w:ascii="Inter" w:hAnsi="Inter"/>
        <w:color w:val="024ABA"/>
        <w:sz w:val="20"/>
        <w:szCs w:val="20"/>
      </w:rPr>
      <w:t>3</w:t>
    </w:r>
    <w:r w:rsidRPr="008971B5">
      <w:rPr>
        <w:rFonts w:ascii="Inter" w:hAnsi="Inter"/>
        <w:color w:val="024ABA"/>
        <w:sz w:val="20"/>
        <w:szCs w:val="20"/>
      </w:rPr>
      <w:t>3</w:t>
    </w:r>
    <w:r w:rsidR="008971B5" w:rsidRPr="008971B5">
      <w:rPr>
        <w:rFonts w:ascii="Inter" w:hAnsi="Inter"/>
        <w:color w:val="024ABA"/>
        <w:sz w:val="20"/>
        <w:szCs w:val="20"/>
      </w:rPr>
      <w:t>03</w:t>
    </w:r>
    <w:r w:rsidRPr="008971B5">
      <w:rPr>
        <w:rFonts w:ascii="Inter" w:hAnsi="Inter"/>
        <w:color w:val="024ABA"/>
        <w:sz w:val="20"/>
        <w:szCs w:val="20"/>
      </w:rPr>
      <w:t>-0</w:t>
    </w:r>
    <w:r w:rsidR="008971B5" w:rsidRPr="008971B5">
      <w:rPr>
        <w:rFonts w:ascii="Inter" w:hAnsi="Inter"/>
        <w:color w:val="024ABA"/>
        <w:sz w:val="20"/>
        <w:szCs w:val="20"/>
      </w:rPr>
      <w:t>0</w:t>
    </w:r>
    <w:r w:rsidRPr="008971B5">
      <w:rPr>
        <w:rFonts w:ascii="Inter" w:hAnsi="Inter"/>
        <w:color w:val="024ABA"/>
        <w:sz w:val="20"/>
        <w:szCs w:val="20"/>
      </w:rPr>
      <w:t>0</w:t>
    </w:r>
    <w:r w:rsidRPr="008971B5">
      <w:rPr>
        <w:rFonts w:ascii="Inter" w:hAnsi="Inter"/>
        <w:color w:val="024ABA"/>
        <w:sz w:val="20"/>
        <w:szCs w:val="20"/>
      </w:rPr>
      <w:tab/>
      <w:t xml:space="preserve">                    </w:t>
    </w:r>
    <w:r w:rsidR="008971B5">
      <w:rPr>
        <w:rFonts w:ascii="Inter" w:hAnsi="Inter"/>
        <w:color w:val="024ABA"/>
        <w:sz w:val="20"/>
        <w:szCs w:val="20"/>
      </w:rPr>
      <w:t xml:space="preserve">                                                                           </w:t>
    </w:r>
    <w:r w:rsidR="008971B5" w:rsidRPr="008971B5">
      <w:rPr>
        <w:rFonts w:ascii="Inter" w:hAnsi="Inter"/>
        <w:color w:val="024ABA"/>
        <w:sz w:val="20"/>
        <w:szCs w:val="20"/>
      </w:rPr>
      <w:t>+55 11 99336-8670</w:t>
    </w:r>
    <w:r w:rsidRPr="008971B5">
      <w:rPr>
        <w:rFonts w:ascii="Inter" w:hAnsi="Inter"/>
        <w:color w:val="024ABA"/>
        <w:sz w:val="20"/>
        <w:szCs w:val="20"/>
      </w:rPr>
      <w:t xml:space="preserve">                                                                                                                                  </w:t>
    </w:r>
  </w:p>
  <w:p w14:paraId="624511EB" w14:textId="4107683D" w:rsidR="00A00A76" w:rsidRPr="008971B5" w:rsidRDefault="00A00A76" w:rsidP="00A00A76">
    <w:pPr>
      <w:pStyle w:val="Rodap"/>
      <w:tabs>
        <w:tab w:val="clear" w:pos="4513"/>
        <w:tab w:val="clear" w:pos="9026"/>
        <w:tab w:val="left" w:pos="1234"/>
      </w:tabs>
      <w:rPr>
        <w:rFonts w:ascii="Inter" w:hAnsi="Inter"/>
        <w:color w:val="024ABA"/>
        <w:sz w:val="20"/>
        <w:szCs w:val="20"/>
      </w:rPr>
    </w:pPr>
    <w:r w:rsidRPr="00A00A76">
      <w:rPr>
        <w:color w:val="024ABA"/>
        <w:sz w:val="20"/>
        <w:szCs w:val="20"/>
      </w:rPr>
      <w:t xml:space="preserve">               </w:t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</w:r>
    <w:r w:rsidRPr="00A00A76">
      <w:rPr>
        <w:color w:val="024ABA"/>
        <w:sz w:val="20"/>
        <w:szCs w:val="20"/>
      </w:rPr>
      <w:tab/>
      <w:t xml:space="preserve">                 </w:t>
    </w:r>
    <w:r w:rsidRPr="008971B5">
      <w:rPr>
        <w:rFonts w:ascii="Inter" w:hAnsi="Inter"/>
        <w:color w:val="024ABA"/>
        <w:sz w:val="20"/>
        <w:szCs w:val="20"/>
      </w:rPr>
      <w:t xml:space="preserve"> @fvslaw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6EB5" w14:textId="77777777" w:rsidR="00B16306" w:rsidRDefault="00B16306" w:rsidP="00A00A76">
      <w:pPr>
        <w:spacing w:after="0" w:line="240" w:lineRule="auto"/>
      </w:pPr>
      <w:r>
        <w:separator/>
      </w:r>
    </w:p>
  </w:footnote>
  <w:footnote w:type="continuationSeparator" w:id="0">
    <w:p w14:paraId="07F69CA2" w14:textId="77777777" w:rsidR="00B16306" w:rsidRDefault="00B16306" w:rsidP="00A00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DC150" w14:textId="063C03B4" w:rsidR="00A00A76" w:rsidRDefault="00A00A7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53CA39" wp14:editId="163682BE">
          <wp:simplePos x="0" y="0"/>
          <wp:positionH relativeFrom="page">
            <wp:align>right</wp:align>
          </wp:positionH>
          <wp:positionV relativeFrom="paragraph">
            <wp:posOffset>-445844</wp:posOffset>
          </wp:positionV>
          <wp:extent cx="7539381" cy="10675559"/>
          <wp:effectExtent l="0" t="0" r="4445" b="0"/>
          <wp:wrapNone/>
          <wp:docPr id="11621942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9412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81" cy="106755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1EB"/>
    <w:multiLevelType w:val="multilevel"/>
    <w:tmpl w:val="F6B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728D"/>
    <w:multiLevelType w:val="multilevel"/>
    <w:tmpl w:val="BB6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D27"/>
    <w:multiLevelType w:val="multilevel"/>
    <w:tmpl w:val="2EB689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20565"/>
    <w:multiLevelType w:val="multilevel"/>
    <w:tmpl w:val="3634F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753F5"/>
    <w:multiLevelType w:val="multilevel"/>
    <w:tmpl w:val="690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6C4E"/>
    <w:multiLevelType w:val="multilevel"/>
    <w:tmpl w:val="563807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B7E08"/>
    <w:multiLevelType w:val="multilevel"/>
    <w:tmpl w:val="BC0CC2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924AA8"/>
    <w:multiLevelType w:val="multilevel"/>
    <w:tmpl w:val="C712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B2EB4"/>
    <w:multiLevelType w:val="multilevel"/>
    <w:tmpl w:val="E1AADB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1E33FF"/>
    <w:multiLevelType w:val="multilevel"/>
    <w:tmpl w:val="1920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84122"/>
    <w:multiLevelType w:val="multilevel"/>
    <w:tmpl w:val="E062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56601"/>
    <w:multiLevelType w:val="multilevel"/>
    <w:tmpl w:val="F7EE2B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E968CC"/>
    <w:multiLevelType w:val="multilevel"/>
    <w:tmpl w:val="6AD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69003">
    <w:abstractNumId w:val="0"/>
  </w:num>
  <w:num w:numId="2" w16cid:durableId="707726472">
    <w:abstractNumId w:val="4"/>
  </w:num>
  <w:num w:numId="3" w16cid:durableId="1622228571">
    <w:abstractNumId w:val="9"/>
  </w:num>
  <w:num w:numId="4" w16cid:durableId="115873026">
    <w:abstractNumId w:val="12"/>
  </w:num>
  <w:num w:numId="5" w16cid:durableId="1841461063">
    <w:abstractNumId w:val="1"/>
  </w:num>
  <w:num w:numId="6" w16cid:durableId="50271458">
    <w:abstractNumId w:val="10"/>
  </w:num>
  <w:num w:numId="7" w16cid:durableId="1526938869">
    <w:abstractNumId w:val="7"/>
  </w:num>
  <w:num w:numId="8" w16cid:durableId="71121149">
    <w:abstractNumId w:val="6"/>
  </w:num>
  <w:num w:numId="9" w16cid:durableId="315692861">
    <w:abstractNumId w:val="11"/>
  </w:num>
  <w:num w:numId="10" w16cid:durableId="817720611">
    <w:abstractNumId w:val="3"/>
  </w:num>
  <w:num w:numId="11" w16cid:durableId="1670788782">
    <w:abstractNumId w:val="2"/>
  </w:num>
  <w:num w:numId="12" w16cid:durableId="666589814">
    <w:abstractNumId w:val="8"/>
  </w:num>
  <w:num w:numId="13" w16cid:durableId="2851577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6"/>
    <w:rsid w:val="00190B3F"/>
    <w:rsid w:val="001F6EDF"/>
    <w:rsid w:val="00282992"/>
    <w:rsid w:val="00457743"/>
    <w:rsid w:val="005646BB"/>
    <w:rsid w:val="00653609"/>
    <w:rsid w:val="007A6B8C"/>
    <w:rsid w:val="007B7878"/>
    <w:rsid w:val="008971B5"/>
    <w:rsid w:val="00A00A76"/>
    <w:rsid w:val="00A522C2"/>
    <w:rsid w:val="00A951E7"/>
    <w:rsid w:val="00AA1631"/>
    <w:rsid w:val="00B16306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968B9"/>
  <w15:chartTrackingRefBased/>
  <w15:docId w15:val="{E1750102-4BC8-4060-8F75-EEE43B8E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1E7"/>
  </w:style>
  <w:style w:type="paragraph" w:styleId="Ttulo1">
    <w:name w:val="heading 1"/>
    <w:basedOn w:val="Normal"/>
    <w:next w:val="Normal"/>
    <w:link w:val="Ttulo1Char"/>
    <w:uiPriority w:val="9"/>
    <w:qFormat/>
    <w:rsid w:val="00A0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A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A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A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0A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A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0A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0A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0A7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00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0A76"/>
  </w:style>
  <w:style w:type="paragraph" w:styleId="Rodap">
    <w:name w:val="footer"/>
    <w:basedOn w:val="Normal"/>
    <w:link w:val="RodapChar"/>
    <w:uiPriority w:val="99"/>
    <w:unhideWhenUsed/>
    <w:rsid w:val="00A00A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0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Rocha</dc:creator>
  <cp:keywords/>
  <dc:description/>
  <cp:lastModifiedBy>Kate Vaccari</cp:lastModifiedBy>
  <cp:revision>2</cp:revision>
  <dcterms:created xsi:type="dcterms:W3CDTF">2026-07-01T18:29:00Z</dcterms:created>
  <dcterms:modified xsi:type="dcterms:W3CDTF">2026-07-01T18:29:00Z</dcterms:modified>
</cp:coreProperties>
</file>