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 w:line="264" w:lineRule="auto"/>
      </w:pPr>
      <w:r>
        <w:rPr>
          <w:rFonts w:ascii="Calibri" w:hAnsi="Calibri" w:eastAsia="Microsoft YaHei"/>
          <w:b/>
          <w:color w:val="5A5A5A"/>
          <w:sz w:val="24"/>
        </w:rPr>
        <w:t>项目升级对比说明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141414"/>
          <w:sz w:val="44"/>
        </w:rPr>
        <w:t>面向脑卒中患者的头戴式眼部康复训练装置升级说明</w:t>
      </w:r>
    </w:p>
    <w:p>
      <w:pPr>
        <w:spacing w:before="0" w:after="240" w:line="264" w:lineRule="auto"/>
      </w:pPr>
      <w:r>
        <w:rPr>
          <w:rFonts w:ascii="Calibri" w:hAnsi="Calibri" w:eastAsia="Microsoft YaHei"/>
          <w:color w:val="5A5A5A"/>
          <w:sz w:val="24"/>
        </w:rPr>
        <w:t>基于原竞赛报告与当前固件/无线手持屏工程的硬件、软件和训练评估能力更新说明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41414"/>
          <w:sz w:val="21"/>
        </w:rPr>
        <w:t>适用场景：</w:t>
      </w:r>
      <w:r>
        <w:rPr>
          <w:rFonts w:ascii="Calibri" w:hAnsi="Calibri" w:eastAsia="Microsoft YaHei"/>
          <w:color w:val="141414"/>
          <w:sz w:val="21"/>
        </w:rPr>
        <w:t>新版竞赛报告补充材料、预赛答辩说明、后续正式报告并入章节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41414"/>
          <w:sz w:val="21"/>
        </w:rPr>
        <w:t>当前版本定位：</w:t>
      </w:r>
      <w:r>
        <w:rPr>
          <w:rFonts w:ascii="Calibri" w:hAnsi="Calibri" w:eastAsia="Microsoft YaHei"/>
          <w:color w:val="141414"/>
          <w:sz w:val="21"/>
        </w:rPr>
        <w:t>头戴训练装置 + 无线手持触摸屏 + 本地训练报告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41414"/>
          <w:sz w:val="21"/>
        </w:rPr>
        <w:t>资料依据：</w:t>
      </w:r>
      <w:r>
        <w:rPr>
          <w:rFonts w:ascii="Calibri" w:hAnsi="Calibri" w:eastAsia="Microsoft YaHei"/>
          <w:color w:val="141414"/>
          <w:sz w:val="21"/>
        </w:rPr>
        <w:t>旧版项目报告、STM32 固件工程、Wireless 手持屏与 XIAO ESP32C3 工程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41414"/>
          <w:sz w:val="21"/>
        </w:rPr>
        <w:t>生成日期：</w:t>
      </w:r>
      <w:r>
        <w:rPr>
          <w:rFonts w:ascii="Calibri" w:hAnsi="Calibri" w:eastAsia="Microsoft YaHei"/>
          <w:color w:val="141414"/>
          <w:sz w:val="21"/>
        </w:rPr>
        <w:t>2026年7月15日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核心结论： </w:t>
            </w:r>
            <w:r>
              <w:rPr>
                <w:rFonts w:ascii="Calibri" w:hAnsi="Calibri" w:eastAsia="Microsoft YaHei"/>
                <w:color w:val="141414"/>
                <w:sz w:val="21"/>
              </w:rPr>
              <w:t>当前项目已经从“单一头戴式训练原型”升级为具备无线手持控制、参数配置、标定入口和本地报告能力的训练系统。STM32 仍是训练执行和安全控制核心，屏幕与 XIAO ESP32C3 用于改善操作体验和数据可视化。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</w:pPr>
      <w:r>
        <w:t>1 升级概述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旧版本作品已经完成了低成本头戴式眼部康复训练原型：以 STM32H723VGT6/DM-MC02 为主控，结合 BMI088 姿态传感器、双轴舵机激光目标、CI1302 离线语音模块、PA2 患者反馈按键、蜂鸣器和状态灯，能够实现注视稳定、扫视、平稳追踪、视觉聚焦和空间忽略五种训练模式。该版本重点解决了训练刺激输出、头部姿态监测、语音引导和基础安全暂停等问题。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当前版本的升级目标不再只是验证训练逻辑能否运行，而是提高实际使用中的可操作性、参数可调性和训练数据可见性。因此系统新增了无线手持触摸屏和 XIAO ESP32C3 无线桥接模块，形成“头戴训练装置 + 无线手持屏 + 本地报告”的系统形态。患者或操作者可以通过屏幕选择完整训练或自选训练、修改训练参数、触发标定、查看实时状态，并在训练后读取本地报告。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需要明确的是，当前升级仍属于工程原型完善阶段。系统可以记录按键反应、头部偏移、训练完成情况和左右侧表现，但尚未接入眼动相机或眼动追踪算法，因此不能宣称已经直接测量眼球轨迹；训练评分用于过程参考，不作为医疗诊断或疗效结论。</w:t>
      </w:r>
    </w:p>
    <w:p>
      <w:pPr>
        <w:pStyle w:val="Heading1"/>
      </w:pPr>
      <w:r>
        <w:t>2 硬件系统升级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硬件升级主要集中在交互端、无线链路和结构集成三个方面。原系统以语音和单按键为主要交互方式，适合低负担操作；当前版本在保留语音和 PA2 按键的基础上，增加了独立手持触摸屏，使训练模式、训练参数和报告结果能够直接显示和调整。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550"/>
        <w:gridCol w:w="2380"/>
        <w:gridCol w:w="2580"/>
        <w:gridCol w:w="2850"/>
      </w:tblGrid>
      <w:tr>
        <w:tc>
          <w:tcPr>
            <w:tcW w:type="dxa" w:w="155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升级项</w:t>
            </w:r>
          </w:p>
        </w:tc>
        <w:tc>
          <w:tcPr>
            <w:tcW w:type="dxa" w:w="238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旧版本设计</w:t>
            </w:r>
          </w:p>
        </w:tc>
        <w:tc>
          <w:tcPr>
            <w:tcW w:type="dxa" w:w="258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当前版本设计</w:t>
            </w:r>
          </w:p>
        </w:tc>
        <w:tc>
          <w:tcPr>
            <w:tcW w:type="dxa" w:w="285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升级意义</w:t>
            </w:r>
          </w:p>
        </w:tc>
      </w:tr>
      <w:tr>
        <w:tc>
          <w:tcPr>
            <w:tcW w:type="dxa" w:w="15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交互方式</w:t>
            </w:r>
          </w:p>
        </w:tc>
        <w:tc>
          <w:tcPr>
            <w:tcW w:type="dxa" w:w="23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CI1302 语音 + PA2 单按键反馈</w:t>
            </w:r>
          </w:p>
        </w:tc>
        <w:tc>
          <w:tcPr>
            <w:tcW w:type="dxa" w:w="25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语音 + PA2 + 无线 5 寸触摸屏</w:t>
            </w:r>
          </w:p>
        </w:tc>
        <w:tc>
          <w:tcPr>
            <w:tcW w:type="dxa" w:w="28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降低现场调试和操作者设置难度，保留患者低负担操作</w:t>
            </w:r>
          </w:p>
        </w:tc>
      </w:tr>
      <w:tr>
        <w:tc>
          <w:tcPr>
            <w:tcW w:type="dxa" w:w="15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控制端</w:t>
            </w:r>
          </w:p>
        </w:tc>
        <w:tc>
          <w:tcPr>
            <w:tcW w:type="dxa" w:w="23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无独立手持端，主要依赖语音和串口调试</w:t>
            </w:r>
          </w:p>
        </w:tc>
        <w:tc>
          <w:tcPr>
            <w:tcW w:type="dxa" w:w="25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ESP32-S3-Touch-LCD-5 手持屏</w:t>
            </w:r>
          </w:p>
        </w:tc>
        <w:tc>
          <w:tcPr>
            <w:tcW w:type="dxa" w:w="28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显示状态、选择模式、调节参数、查看报告</w:t>
            </w:r>
          </w:p>
        </w:tc>
      </w:tr>
      <w:tr>
        <w:tc>
          <w:tcPr>
            <w:tcW w:type="dxa" w:w="15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无线链路</w:t>
            </w:r>
          </w:p>
        </w:tc>
        <w:tc>
          <w:tcPr>
            <w:tcW w:type="dxa" w:w="23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未形成稳定无线控制链路</w:t>
            </w:r>
          </w:p>
        </w:tc>
        <w:tc>
          <w:tcPr>
            <w:tcW w:type="dxa" w:w="25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ESP-NOW + XIAO ESP32C3 桥接</w:t>
            </w:r>
          </w:p>
        </w:tc>
        <w:tc>
          <w:tcPr>
            <w:tcW w:type="dxa" w:w="28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屏幕与头戴主控分离，便于手持操作</w:t>
            </w:r>
          </w:p>
        </w:tc>
      </w:tr>
      <w:tr>
        <w:tc>
          <w:tcPr>
            <w:tcW w:type="dxa" w:w="15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主控通信</w:t>
            </w:r>
          </w:p>
        </w:tc>
        <w:tc>
          <w:tcPr>
            <w:tcW w:type="dxa" w:w="23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USART1 主要用于 VOFA 调试输出</w:t>
            </w:r>
          </w:p>
        </w:tc>
        <w:tc>
          <w:tcPr>
            <w:tcW w:type="dxa" w:w="25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USART10 专用于无线控制，USART1 保留调试</w:t>
            </w:r>
          </w:p>
        </w:tc>
        <w:tc>
          <w:tcPr>
            <w:tcW w:type="dxa" w:w="28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避免控制链路与调试输出混用</w:t>
            </w:r>
          </w:p>
        </w:tc>
      </w:tr>
      <w:tr>
        <w:tc>
          <w:tcPr>
            <w:tcW w:type="dxa" w:w="15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结构状态</w:t>
            </w:r>
          </w:p>
        </w:tc>
        <w:tc>
          <w:tcPr>
            <w:tcW w:type="dxa" w:w="23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原型搭建与模块验证阶段</w:t>
            </w:r>
          </w:p>
        </w:tc>
        <w:tc>
          <w:tcPr>
            <w:tcW w:type="dxa" w:w="25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已集成到最终头盔外壳</w:t>
            </w:r>
          </w:p>
        </w:tc>
        <w:tc>
          <w:tcPr>
            <w:tcW w:type="dxa" w:w="28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更接近竞赛实物演示和佩戴场景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</w:pPr>
      <w:r>
        <w:t>2.1 新增无线手持控制器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新增的 ESP32-S3-Touch-LCD-5 不只是普通显示屏，而是集成触摸屏、ESP32-S3 MCU、WiFi/BLE 能力和本地存储能力的独立手持端。当前软件在屏幕端实现了训练控制、参数设置、训练报告和连接测试等页面。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XIAO ESP32C3 安装在主设备侧，作为无线通信桥。它不参与训练决策，不直接控制舵机和激光，只负责把屏幕端 ESP-NOW 数据帧转成 USART10 串口帧，再把 STM32 返回的数据转发回屏幕。这样可以保持 STM32 训练逻辑的唯一执行地位，降低控制责任分散带来的安全风险。</w:t>
      </w:r>
    </w:p>
    <w:p>
      <w:pPr>
        <w:pStyle w:val="Heading2"/>
      </w:pPr>
      <w:r>
        <w:t>2.2 USART10 接线与供电注意事项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当前无线桥接链路使用 USART10，串口参数为 115200 8N1。接线关系如下表所示。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650"/>
        <w:gridCol w:w="2650"/>
        <w:gridCol w:w="4060"/>
      </w:tblGrid>
      <w:tr>
        <w:tc>
          <w:tcPr>
            <w:tcW w:type="dxa" w:w="2650"/>
            <w:shd w:fill="F2F4F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STM32 / DM-MC02 端</w:t>
            </w:r>
          </w:p>
        </w:tc>
        <w:tc>
          <w:tcPr>
            <w:tcW w:type="dxa" w:w="2650"/>
            <w:shd w:fill="F2F4F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XIAO ESP32C3 端</w:t>
            </w:r>
          </w:p>
        </w:tc>
        <w:tc>
          <w:tcPr>
            <w:tcW w:type="dxa" w:w="4060"/>
            <w:shd w:fill="F2F4F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26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PE3 / USART10_TX</w:t>
            </w:r>
          </w:p>
        </w:tc>
        <w:tc>
          <w:tcPr>
            <w:tcW w:type="dxa" w:w="26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D7 / GPIO20 / RX</w:t>
            </w:r>
          </w:p>
        </w:tc>
        <w:tc>
          <w:tcPr>
            <w:tcW w:type="dxa" w:w="40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STM32 发送到 XIAO 接收</w:t>
            </w:r>
          </w:p>
        </w:tc>
      </w:tr>
      <w:tr>
        <w:tc>
          <w:tcPr>
            <w:tcW w:type="dxa" w:w="26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PE2 / USART10_RX</w:t>
            </w:r>
          </w:p>
        </w:tc>
        <w:tc>
          <w:tcPr>
            <w:tcW w:type="dxa" w:w="26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D6 / GPIO21 / TX</w:t>
            </w:r>
          </w:p>
        </w:tc>
        <w:tc>
          <w:tcPr>
            <w:tcW w:type="dxa" w:w="40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XIAO 发送到 STM32 接收</w:t>
            </w:r>
          </w:p>
        </w:tc>
      </w:tr>
      <w:tr>
        <w:tc>
          <w:tcPr>
            <w:tcW w:type="dxa" w:w="26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GND</w:t>
            </w:r>
          </w:p>
        </w:tc>
        <w:tc>
          <w:tcPr>
            <w:tcW w:type="dxa" w:w="26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GND</w:t>
            </w:r>
          </w:p>
        </w:tc>
        <w:tc>
          <w:tcPr>
            <w:tcW w:type="dxa" w:w="40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两块板必须共地</w:t>
            </w:r>
          </w:p>
        </w:tc>
      </w:tr>
      <w:tr>
        <w:tc>
          <w:tcPr>
            <w:tcW w:type="dxa" w:w="26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5V</w:t>
            </w:r>
          </w:p>
        </w:tc>
        <w:tc>
          <w:tcPr>
            <w:tcW w:type="dxa" w:w="26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5V</w:t>
            </w:r>
          </w:p>
        </w:tc>
        <w:tc>
          <w:tcPr>
            <w:tcW w:type="dxa" w:w="40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最终供电可使用 5V；同时插 USB 时需注意倒灌风险</w:t>
            </w:r>
          </w:p>
        </w:tc>
      </w:tr>
    </w:tbl>
    <w:p>
      <w:pPr>
        <w:spacing w:before="0" w:after="40" w:line="264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供电注意： </w:t>
            </w:r>
            <w:r>
              <w:rPr>
                <w:rFonts w:ascii="Calibri" w:hAnsi="Calibri" w:eastAsia="Microsoft YaHei"/>
                <w:color w:val="141414"/>
                <w:sz w:val="21"/>
              </w:rPr>
              <w:t>XIAO 使用主设备 5V 供电时，不应把 5V 接到 3V3 引脚。若调试时可能同时连接 XIAO USB 和外部 5V，建议在外部 5V 到 XIAO 5V 之间串联肖特基二极管，以降低 USB 倒灌风险。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</w:pPr>
      <w:r>
        <w:t>3 软件程序升级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软件升级后，系统形成三端协同架构：STM32 负责训练状态机、姿态安全、舵机激光执行、语音与 PA2 按键；XIAO ESP32C3 负责 ESP-NOW 与 USART10 的双向透明转发；ESP32-S3 屏幕负责中文界面、参数保存、命令重试、状态显示和本地报告浏览。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900"/>
        <w:gridCol w:w="2750"/>
        <w:gridCol w:w="4710"/>
      </w:tblGrid>
      <w:tr>
        <w:tc>
          <w:tcPr>
            <w:tcW w:type="dxa" w:w="190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软件端</w:t>
            </w:r>
          </w:p>
        </w:tc>
        <w:tc>
          <w:tcPr>
            <w:tcW w:type="dxa" w:w="275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主要职责</w:t>
            </w:r>
          </w:p>
        </w:tc>
        <w:tc>
          <w:tcPr>
            <w:tcW w:type="dxa" w:w="471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当前关键能力</w:t>
            </w:r>
          </w:p>
        </w:tc>
      </w:tr>
      <w:tr>
        <w:tc>
          <w:tcPr>
            <w:tcW w:type="dxa" w:w="19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STM32H723 固件</w:t>
            </w:r>
          </w:p>
        </w:tc>
        <w:tc>
          <w:tcPr>
            <w:tcW w:type="dxa" w:w="27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训练执行核心</w:t>
            </w:r>
          </w:p>
        </w:tc>
        <w:tc>
          <w:tcPr>
            <w:tcW w:type="dxa" w:w="47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五种训练模式、完整/自选训练、姿态保护、标定、训练报告原始数据</w:t>
            </w:r>
          </w:p>
        </w:tc>
      </w:tr>
      <w:tr>
        <w:tc>
          <w:tcPr>
            <w:tcW w:type="dxa" w:w="19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XIAO ESP32C3</w:t>
            </w:r>
          </w:p>
        </w:tc>
        <w:tc>
          <w:tcPr>
            <w:tcW w:type="dxa" w:w="27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无线桥接</w:t>
            </w:r>
          </w:p>
        </w:tc>
        <w:tc>
          <w:tcPr>
            <w:tcW w:type="dxa" w:w="47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ESP-NOW 固定 MAC 通信、USART10 转发、优先级帧重试、链路诊断输出</w:t>
            </w:r>
          </w:p>
        </w:tc>
      </w:tr>
      <w:tr>
        <w:tc>
          <w:tcPr>
            <w:tcW w:type="dxa" w:w="19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ESP32-S3 触摸屏</w:t>
            </w:r>
          </w:p>
        </w:tc>
        <w:tc>
          <w:tcPr>
            <w:tcW w:type="dxa" w:w="27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手持交互与报告端</w:t>
            </w:r>
          </w:p>
        </w:tc>
        <w:tc>
          <w:tcPr>
            <w:tcW w:type="dxa" w:w="47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中文 LVGL 界面、参数配置、命令 ACK/重试、本地 FFat 报告保存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</w:pPr>
      <w:r>
        <w:t>3.1 通信协议与控制链路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无线链路采用固定 44 字节 EyeFrame 帧格式，包含 magic、协议版本、消息类型、序号、载荷长度、32 字节载荷和 CRC16 校验。当前协议版本为 3，配置版本为 2，ESP-NOW 使用固定 MAC、固定信道 1，第一阶段不启用加密。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协议支持 PING/PONG、UART 测试、控制命令、控制确认、训练状态、配置设置/读取、报告查询/报告数据等消息类型。屏幕发送控制或配置命令后等待 STM32 ACK；若超时，则使用相同序号重试，STM32 根据序号去重，避免重复执行开始、停止或标定命令。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STM32 侧 USART10 使用 RX DMA 与中断接收数据，但中断中只完成接收和入队，不直接改变训练状态。真正的训练开始、暂停、继续、停止、标定和配置应用都在 10ms 主循环中执行。这种方式可以降低中断中执行复杂状态切换的风险，也便于与 BMI088 采样、PA2 按键扫描、语音模块和 VOFA 调试输出协调。</w:t>
      </w:r>
    </w:p>
    <w:p>
      <w:pPr>
        <w:pStyle w:val="Heading2"/>
      </w:pPr>
      <w:r>
        <w:t>3.2 屏幕界面与显示稳定性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屏幕端当前设计为四个主要页面：训练控制、参数设置、训练报告和连接测试。训练控制页显示完整训练/自选训练入口、开始/暂停/继续/停止、标定模式和实时训练指标；参数页用于修改训练范围和节奏；报告页读取并保存训练结果；连接测试页用于检查屏幕、XIAO 和 STM32 的链路状态。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为适配中文界面，屏幕端使用精简 Noto Sans SC 字库，只包含界面实际使用的中文字形。针对之前出现的黑屏、中文不显示和页面叠加问题，软件中增加了双帧缓存清空、全屏刷新、不透明页面背景、延迟保存 FFat/Preferences 等处理。当前仍需结合实物继续联调报告刷新超时和个别显示异常。</w:t>
      </w:r>
    </w:p>
    <w:p>
      <w:pPr>
        <w:pStyle w:val="Heading1"/>
      </w:pPr>
      <w:r>
        <w:t>4 训练功能升级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训练功能升级的核心是把原来相对固定的训练入口，扩展为可由屏幕选择、配置和连续执行的训练流程。语音和 PA2 按键仍然保留，屏幕不是替代原交互，而是为操作者提供更直观的控制和反馈入口。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700"/>
        <w:gridCol w:w="2500"/>
        <w:gridCol w:w="5160"/>
      </w:tblGrid>
      <w:tr>
        <w:tc>
          <w:tcPr>
            <w:tcW w:type="dxa" w:w="170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功能</w:t>
            </w:r>
          </w:p>
        </w:tc>
        <w:tc>
          <w:tcPr>
            <w:tcW w:type="dxa" w:w="250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当前实现</w:t>
            </w:r>
          </w:p>
        </w:tc>
        <w:tc>
          <w:tcPr>
            <w:tcW w:type="dxa" w:w="516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17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完整训练</w:t>
            </w:r>
          </w:p>
        </w:tc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固定执行五项训练</w:t>
            </w:r>
          </w:p>
        </w:tc>
        <w:tc>
          <w:tcPr>
            <w:tcW w:type="dxa" w:w="51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注视稳定、扫视、平稳追踪、视觉聚焦、空间忽略按顺序执行</w:t>
            </w:r>
          </w:p>
        </w:tc>
      </w:tr>
      <w:tr>
        <w:tc>
          <w:tcPr>
            <w:tcW w:type="dxa" w:w="17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自选训练</w:t>
            </w:r>
          </w:p>
        </w:tc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屏幕多选 1-5 项</w:t>
            </w:r>
          </w:p>
        </w:tc>
        <w:tc>
          <w:tcPr>
            <w:tcW w:type="dxa" w:w="51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按选择顺序连续执行，单选也可作为自选训练</w:t>
            </w:r>
          </w:p>
        </w:tc>
      </w:tr>
      <w:tr>
        <w:tc>
          <w:tcPr>
            <w:tcW w:type="dxa" w:w="17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暂停/继续/停止</w:t>
            </w:r>
          </w:p>
        </w:tc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屏幕和语音均可触发</w:t>
            </w:r>
          </w:p>
        </w:tc>
        <w:tc>
          <w:tcPr>
            <w:tcW w:type="dxa" w:w="51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停止时关闭激光并使舵机回到安全中心位置</w:t>
            </w:r>
          </w:p>
        </w:tc>
      </w:tr>
      <w:tr>
        <w:tc>
          <w:tcPr>
            <w:tcW w:type="dxa" w:w="17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标定模式</w:t>
            </w:r>
          </w:p>
        </w:tc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屏幕或语音触发</w:t>
            </w:r>
          </w:p>
        </w:tc>
        <w:tc>
          <w:tcPr>
            <w:tcW w:type="dxa" w:w="51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PA2 依次记录 X/Y 四个视野边界点</w:t>
            </w:r>
          </w:p>
        </w:tc>
      </w:tr>
      <w:tr>
        <w:tc>
          <w:tcPr>
            <w:tcW w:type="dxa" w:w="17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单激光聚焦</w:t>
            </w:r>
          </w:p>
        </w:tc>
        <w:tc>
          <w:tcPr>
            <w:tcW w:type="dxa" w:w="25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目标确认训练</w:t>
            </w:r>
          </w:p>
        </w:tc>
        <w:tc>
          <w:tcPr>
            <w:tcW w:type="dxa" w:w="516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激光点亮后等待 PA2 确认，记录反应时间和超时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</w:pPr>
      <w:r>
        <w:t>4.1 完整训练与自选训练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完整训练用于竞赛演示和标准化流程，五项训练按固定顺序执行。每项训练开始前仍保留姿态校准和 PA2 确认环节，训练之间由 PA2 确认进入下一项，避免患者没有准备好时自动进入后续训练。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自选训练用于针对性训练和调试。操作者可在屏幕上选择 1 至 5 个不重复模式，并按选择顺序执行。该机制适合在某个模式需要单独演示、某项训练需要重复验证、或患者只需要进行部分训练时使用。</w:t>
      </w:r>
    </w:p>
    <w:p>
      <w:pPr>
        <w:pStyle w:val="Heading2"/>
      </w:pPr>
      <w:r>
        <w:t>4.2 舵机视野标定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由于头盔结构、舵机云台安装角度和佩戴位置会影响激光投射区域，当前版本增加了更明确的标定入口。标定模式可由屏幕或语音触发，进入后 STM32 停止当前刺激、关闭激光并等待 PA2。PA2 第一次确认后开始扫描，随后按顺序记录 X 轴两个边界和 Y 轴两个边界。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当前 X 轴扫描范围为 30° 到 150° 再回到 30°，Y 轴扫描范围为 80° 到 140° 再回到 80°。四个边界点全部记录后，系统更新本次上电期间使用的训练范围和中心角。若边界点不足，系统不使用不完整结果，而是提示重新标定。</w:t>
      </w:r>
    </w:p>
    <w:p>
      <w:pPr>
        <w:pStyle w:val="Heading2"/>
      </w:pPr>
      <w:r>
        <w:t>4.3 视觉聚焦训练修正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旧报告中视觉聚焦训练曾描述为近距 LED 与远距激光交替，引导患者进行远近目标切换。结合当前硬件实际情况，目前只有一个激光目标，没有自动变焦机构、近距显示目标或眼动相机，因此该模式已经修正为单激光目标确认训练。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当前流程为：舵机回到配置中心，激光点亮，开始计时，患者看到目标后按 PA2 确认；若在响应窗口内确认，则记录正确和反应时间，若超时则记录超时并进入下一轮。报告中该指标表示单目标视觉确认和按键反应，不等同于真实眼球调焦能力或眼动轨迹测量。</w:t>
      </w:r>
    </w:p>
    <w:p>
      <w:pPr>
        <w:pStyle w:val="Heading1"/>
      </w:pPr>
      <w:r>
        <w:t>5 数据报告与评估升级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当前版本新增了训练状态回传和本地报告能力。STM32 每 200ms 回传训练状态，屏幕显示当前状态、模式、PA2 等待提示、完成次数、正确次数、超时次数、平均反应时间、头部偏移、头部波动和会话编号。训练结束后，屏幕主动查询 STM32 报告数据，并在 FFat 中循环保存最近 20 次本地报告。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00"/>
        <w:gridCol w:w="4150"/>
        <w:gridCol w:w="3410"/>
      </w:tblGrid>
      <w:tr>
        <w:tc>
          <w:tcPr>
            <w:tcW w:type="dxa" w:w="180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指标类别</w:t>
            </w:r>
          </w:p>
        </w:tc>
        <w:tc>
          <w:tcPr>
            <w:tcW w:type="dxa" w:w="415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包含内容</w:t>
            </w:r>
          </w:p>
        </w:tc>
        <w:tc>
          <w:tcPr>
            <w:tcW w:type="dxa" w:w="341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用途</w:t>
            </w:r>
          </w:p>
        </w:tc>
      </w:tr>
      <w:tr>
        <w:tc>
          <w:tcPr>
            <w:tcW w:type="dxa" w:w="18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完成情况</w:t>
            </w:r>
          </w:p>
        </w:tc>
        <w:tc>
          <w:tcPr>
            <w:tcW w:type="dxa" w:w="41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训练持续时间、完成状态、总次数、正确次数、超时次数</w:t>
            </w:r>
          </w:p>
        </w:tc>
        <w:tc>
          <w:tcPr>
            <w:tcW w:type="dxa" w:w="34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判断训练是否按计划完成</w:t>
            </w:r>
          </w:p>
        </w:tc>
      </w:tr>
      <w:tr>
        <w:tc>
          <w:tcPr>
            <w:tcW w:type="dxa" w:w="18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反应表现</w:t>
            </w:r>
          </w:p>
        </w:tc>
        <w:tc>
          <w:tcPr>
            <w:tcW w:type="dxa" w:w="41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平均/最小/最大反应时间、超时率</w:t>
            </w:r>
          </w:p>
        </w:tc>
        <w:tc>
          <w:tcPr>
            <w:tcW w:type="dxa" w:w="34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反映患者对视觉目标的响应速度</w:t>
            </w:r>
          </w:p>
        </w:tc>
      </w:tr>
      <w:tr>
        <w:tc>
          <w:tcPr>
            <w:tcW w:type="dxa" w:w="18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头部行为</w:t>
            </w:r>
          </w:p>
        </w:tc>
        <w:tc>
          <w:tcPr>
            <w:tcW w:type="dxa" w:w="41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平均头部偏移、最大偏移、头部波动、超限时间、暂停次数</w:t>
            </w:r>
          </w:p>
        </w:tc>
        <w:tc>
          <w:tcPr>
            <w:tcW w:type="dxa" w:w="34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辅助判断是否存在头部代偿或姿态不稳定</w:t>
            </w:r>
          </w:p>
        </w:tc>
      </w:tr>
      <w:tr>
        <w:tc>
          <w:tcPr>
            <w:tcW w:type="dxa" w:w="18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左右侧表现</w:t>
            </w:r>
          </w:p>
        </w:tc>
        <w:tc>
          <w:tcPr>
            <w:tcW w:type="dxa" w:w="41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左/右目标总数、左/右正确数、不对称指数</w:t>
            </w:r>
          </w:p>
        </w:tc>
        <w:tc>
          <w:tcPr>
            <w:tcW w:type="dxa" w:w="34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用于空间忽略训练中的侧向差异观察</w:t>
            </w:r>
          </w:p>
        </w:tc>
      </w:tr>
      <w:tr>
        <w:tc>
          <w:tcPr>
            <w:tcW w:type="dxa" w:w="18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综合评分</w:t>
            </w:r>
          </w:p>
        </w:tc>
        <w:tc>
          <w:tcPr>
            <w:tcW w:type="dxa" w:w="415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0-100 训练表现评分</w:t>
            </w:r>
          </w:p>
        </w:tc>
        <w:tc>
          <w:tcPr>
            <w:tcW w:type="dxa" w:w="34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仅用于过程参考和训练前后趋势比较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</w:pPr>
      <w:r>
        <w:t>5.1 参数配置能力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参数设置页使训练不再完全依赖代码中的固定常量。当前可配置内容包括 X/Y 舵机最小角、初始角和最大角，舵机稳定时间，注视持续时间，扫视次数、响应窗口和刺激节奏，追踪速度、路径和轮数，聚焦次数、确认超时和轮次间隔，以及空间忽略训练次数、患侧和患侧刺激比例等。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配置由屏幕端保存到 Preferences，并在训练开始前同步到 STM32。STM32 会校验配置版本、状态、训练范围和字段合法性；若范围超出当前视野标定边界，或训练正在执行，STM32 会拒绝应用该配置。</w:t>
      </w:r>
    </w:p>
    <w:p>
      <w:pPr>
        <w:pStyle w:val="Heading2"/>
      </w:pPr>
      <w:r>
        <w:t>5.2 评估边界说明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当前报告的评估依据主要来自 PA2 按键反馈和 BMI088 姿态数据，因此可以反映患者是否按时发现目标、是否出现明显头部偏移、训练是否完成以及左右侧反应是否存在差异。它不能直接证明患者眼球真实运动轨迹，也不能替代专业眼科或康复医学评估。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医学边界： </w:t>
            </w:r>
            <w:r>
              <w:rPr>
                <w:rFonts w:ascii="Calibri" w:hAnsi="Calibri" w:eastAsia="Microsoft YaHei"/>
                <w:color w:val="141414"/>
                <w:sz w:val="21"/>
              </w:rPr>
              <w:t>训练表现评分和报告指标应表述为“训练过程参考”和“康复辅助数据”，不得写成医疗诊断、疗效判定或眼动检测结论。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</w:pPr>
      <w:r>
        <w:t>6 当前问题与后续计划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当前版本已经完成无线手持屏、XIAO 桥接、USART10、参数配置、标定入口和本地报告的主体代码，但实物联调仍在进行。最近调试中仍出现过报告刷新超时、屏幕局部显示异常以及舵机上电角度与机械安装不匹配等问题，这些属于系统集成阶段需要继续验证和修正的内容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700"/>
        <w:gridCol w:w="3980"/>
        <w:gridCol w:w="3680"/>
      </w:tblGrid>
      <w:tr>
        <w:tc>
          <w:tcPr>
            <w:tcW w:type="dxa" w:w="170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方向</w:t>
            </w:r>
          </w:p>
        </w:tc>
        <w:tc>
          <w:tcPr>
            <w:tcW w:type="dxa" w:w="398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当前状态</w:t>
            </w:r>
          </w:p>
        </w:tc>
        <w:tc>
          <w:tcPr>
            <w:tcW w:type="dxa" w:w="3680"/>
            <w:shd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后续计划</w:t>
            </w:r>
          </w:p>
        </w:tc>
      </w:tr>
      <w:tr>
        <w:tc>
          <w:tcPr>
            <w:tcW w:type="dxa" w:w="17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屏幕显示稳定性</w:t>
            </w:r>
          </w:p>
        </w:tc>
        <w:tc>
          <w:tcPr>
            <w:tcW w:type="dxa" w:w="39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已加入全屏刷新、帧缓存清空和 Flash 延迟保存处理，但仍需实物压力测试</w:t>
            </w:r>
          </w:p>
        </w:tc>
        <w:tc>
          <w:tcPr>
            <w:tcW w:type="dxa" w:w="36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连续执行复位、报告刷新和页面切换测试，定位残余显示异常</w:t>
            </w:r>
          </w:p>
        </w:tc>
      </w:tr>
      <w:tr>
        <w:tc>
          <w:tcPr>
            <w:tcW w:type="dxa" w:w="17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报告刷新链路</w:t>
            </w:r>
          </w:p>
        </w:tc>
        <w:tc>
          <w:tcPr>
            <w:tcW w:type="dxa" w:w="39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协议和查询流程已建立，部分情况下仍可能超时</w:t>
            </w:r>
          </w:p>
        </w:tc>
        <w:tc>
          <w:tcPr>
            <w:tcW w:type="dxa" w:w="36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继续检查 STM32 报告应答、XIAO 转发队列和屏幕查询状态机</w:t>
            </w:r>
          </w:p>
        </w:tc>
      </w:tr>
      <w:tr>
        <w:tc>
          <w:tcPr>
            <w:tcW w:type="dxa" w:w="17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云端与小程序</w:t>
            </w:r>
          </w:p>
        </w:tc>
        <w:tc>
          <w:tcPr>
            <w:tcW w:type="dxa" w:w="39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尚未接入服务器、数据库、账号或小程序/App</w:t>
            </w:r>
          </w:p>
        </w:tc>
        <w:tc>
          <w:tcPr>
            <w:tcW w:type="dxa" w:w="36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后续可由 ESP32-S3 或 XIAO 上传报告到云端，再由小程序读取趋势图</w:t>
            </w:r>
          </w:p>
        </w:tc>
      </w:tr>
      <w:tr>
        <w:tc>
          <w:tcPr>
            <w:tcW w:type="dxa" w:w="17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眼动检测能力</w:t>
            </w:r>
          </w:p>
        </w:tc>
        <w:tc>
          <w:tcPr>
            <w:tcW w:type="dxa" w:w="39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当前无眼动相机，只能记录按键反应和头部行为</w:t>
            </w:r>
          </w:p>
        </w:tc>
        <w:tc>
          <w:tcPr>
            <w:tcW w:type="dxa" w:w="36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后续可评估加入眼动相机或低成本注视检测模块</w:t>
            </w:r>
          </w:p>
        </w:tc>
      </w:tr>
      <w:tr>
        <w:tc>
          <w:tcPr>
            <w:tcW w:type="dxa" w:w="17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安全参数管理</w:t>
            </w:r>
          </w:p>
        </w:tc>
        <w:tc>
          <w:tcPr>
            <w:tcW w:type="dxa" w:w="39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已支持安全阈值参数，但仍需更严格的人机工程验证</w:t>
            </w:r>
          </w:p>
        </w:tc>
        <w:tc>
          <w:tcPr>
            <w:tcW w:type="dxa" w:w="368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增加医生端锁定、参数权限和训练前安全检查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color w:val="141414"/>
          <w:sz w:val="22"/>
        </w:rPr>
        <w:t>总体来看，当前升级使项目从“能执行训练动作”的嵌入式原型，进一步发展为“能被操作者配置、能无线控制、能形成训练记录”的康复训练系统。后续工作的重点应放在稳定联调、报告可靠性、云端数据管理和更客观的眼动评估能力上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 w:eastAsia="Microsoft YaHei"/>
        <w:color w:val="5A5A5A"/>
        <w:sz w:val="18"/>
      </w:rPr>
      <w:t>项目升级对比说明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