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6693" w14:textId="77777777" w:rsidR="00DF5917" w:rsidRPr="00FF630D" w:rsidRDefault="00DF5917" w:rsidP="007046AD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FF63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  <w:t>Methods</w:t>
      </w:r>
    </w:p>
    <w:p w14:paraId="59E8F71C" w14:textId="77777777" w:rsidR="00DF5917" w:rsidRDefault="00DF5917" w:rsidP="007046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0F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Sample selection and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CC19D" w14:textId="1D61F299" w:rsidR="00DF5917" w:rsidRDefault="00D43228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 s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amples and previously published data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study must </w:t>
      </w:r>
      <w:r w:rsidR="005B2ED6">
        <w:rPr>
          <w:rFonts w:ascii="Times New Roman" w:hAnsi="Times New Roman" w:cs="Times New Roman"/>
          <w:sz w:val="24"/>
          <w:szCs w:val="24"/>
          <w:shd w:val="clear" w:color="auto" w:fill="FFFFFF"/>
        </w:rPr>
        <w:t>originate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a volcano that has been active within the Holocene [18]</w:t>
      </w:r>
      <w:r w:rsidR="005750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(Fig. 1),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 age</w:t>
      </w:r>
      <w:r w:rsidR="00DF59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the sample estimated to be of Quaternary age (i.e., &lt; 2.5 Ma).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Essential criteria were that the samples are of known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(precise)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coordinates.</w:t>
      </w:r>
    </w:p>
    <w:p w14:paraId="567C9912" w14:textId="77777777" w:rsidR="00DF5917" w:rsidRPr="00CF0F4A" w:rsidRDefault="00DF5917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F0F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Obtaining previously published data </w:t>
      </w:r>
    </w:p>
    <w:p w14:paraId="05093D1B" w14:textId="5051A62E" w:rsidR="00DF5917" w:rsidRDefault="00DF5917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Previously published geochemical data was obtained from </w:t>
      </w:r>
      <w:proofErr w:type="spellStart"/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GeoROC</w:t>
      </w:r>
      <w:proofErr w:type="spellEnd"/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[21]. Once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downloaded the data-files were filtered to only include data within Ethiopia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(including the Main Ethiopian Rift and Afar). </w:t>
      </w:r>
      <w:r w:rsidR="005B2ED6">
        <w:rPr>
          <w:rFonts w:ascii="Times New Roman" w:hAnsi="Times New Roman" w:cs="Times New Roman"/>
          <w:sz w:val="24"/>
          <w:szCs w:val="24"/>
          <w:shd w:val="clear" w:color="auto" w:fill="FFFFFF"/>
        </w:rPr>
        <w:t>These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were further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filtered using the following criteria: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E79E80F" w14:textId="11EBE63C" w:rsidR="00DF5917" w:rsidRPr="00CF0F4A" w:rsidRDefault="00DF5917" w:rsidP="007046A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values for the sample must </w:t>
      </w:r>
      <w:r w:rsidR="005B2ED6">
        <w:rPr>
          <w:rFonts w:ascii="Times New Roman" w:hAnsi="Times New Roman" w:cs="Times New Roman"/>
          <w:sz w:val="24"/>
          <w:szCs w:val="24"/>
          <w:shd w:val="clear" w:color="auto" w:fill="FFFFFF"/>
        </w:rPr>
        <w:t>relate to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whole rock geochemistry, </w:t>
      </w:r>
      <w:r w:rsidR="005B2ED6">
        <w:rPr>
          <w:rFonts w:ascii="Times New Roman" w:hAnsi="Times New Roman" w:cs="Times New Roman"/>
          <w:sz w:val="24"/>
          <w:szCs w:val="24"/>
          <w:shd w:val="clear" w:color="auto" w:fill="FFFFFF"/>
        </w:rPr>
        <w:t>as opposed to</w:t>
      </w:r>
      <w:r w:rsidR="005B2ED6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mineral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separates.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5C86A95" w14:textId="24E4E59C" w:rsidR="00DF5917" w:rsidRPr="00CF0F4A" w:rsidRDefault="00DF5917" w:rsidP="007046A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individual sample must have major element, trace element,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87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Sr/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86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Sr,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143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Nd/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144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Nd,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206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Pb/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204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Pb,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207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Pb/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204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 and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208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Pb/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204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Pb isotope values</w:t>
      </w:r>
      <w:r w:rsidR="008262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available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AD9584" w14:textId="21EC3742" w:rsidR="00DF5917" w:rsidRPr="00CF0F4A" w:rsidRDefault="00DF5917" w:rsidP="007046A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The coordinates must be specific to the individual sample’s location rather than</w:t>
      </w:r>
      <w:r w:rsidR="00361B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average coordinate for </w:t>
      </w:r>
      <w:r w:rsidR="0082628F">
        <w:rPr>
          <w:rFonts w:ascii="Times New Roman" w:hAnsi="Times New Roman" w:cs="Times New Roman"/>
          <w:sz w:val="24"/>
          <w:szCs w:val="24"/>
          <w:shd w:val="clear" w:color="auto" w:fill="FFFFFF"/>
        </w:rPr>
        <w:t>a broader study</w:t>
      </w:r>
      <w:r w:rsidR="0082628F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area.</w:t>
      </w:r>
    </w:p>
    <w:p w14:paraId="724DDC6A" w14:textId="77777777" w:rsidR="00DF5917" w:rsidRDefault="00DF5917" w:rsidP="007046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0F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Analytical Geochemistry</w:t>
      </w:r>
    </w:p>
    <w:p w14:paraId="300DCB31" w14:textId="77777777" w:rsidR="00DF5917" w:rsidRDefault="00DF5917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F0F4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Sampling and sample preparation</w:t>
      </w:r>
    </w:p>
    <w:p w14:paraId="1C38D3DF" w14:textId="7E109FF0" w:rsidR="00DF5917" w:rsidRDefault="0082628F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Ninety-three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lavas, eleven welded tuffs and one pumice sample, from various volcanoes in Afar (Erta Ale Volcanic Segment, </w:t>
      </w:r>
      <w:proofErr w:type="spellStart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Ayelu</w:t>
      </w:r>
      <w:proofErr w:type="spellEnd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Abida, </w:t>
      </w:r>
      <w:proofErr w:type="spellStart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Yangudi</w:t>
      </w:r>
      <w:proofErr w:type="spellEnd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Dama Ali, </w:t>
      </w:r>
      <w:proofErr w:type="spellStart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Kerub</w:t>
      </w:r>
      <w:proofErr w:type="spellEnd"/>
      <w:r w:rsidR="00DF59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Ela, </w:t>
      </w:r>
      <w:proofErr w:type="spellStart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Didoli</w:t>
      </w:r>
      <w:proofErr w:type="spellEnd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Abbahu</w:t>
      </w:r>
      <w:proofErr w:type="spellEnd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Afdera</w:t>
      </w:r>
      <w:proofErr w:type="spellEnd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Tat Ali and Manda </w:t>
      </w:r>
      <w:proofErr w:type="spellStart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Hararo</w:t>
      </w:r>
      <w:proofErr w:type="spellEnd"/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>) were selected for geochemical</w:t>
      </w:r>
      <w:r w:rsidR="00DF59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analysis. The samples were collected during the CNR/CNRS projects in Afar during the 1960s 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[42]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stored in the Afar Repository at the University of Pisa, Italy,</w:t>
      </w:r>
      <w:r w:rsidR="00DF59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F5917" w:rsidRPr="00CF0F4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(http://repositories.dst.unipi.it/index.php/home-afar). A further 52 samples from the </w:t>
      </w:r>
      <w:proofErr w:type="spellStart"/>
      <w:r w:rsidR="00DF5917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Boset</w:t>
      </w:r>
      <w:proofErr w:type="spellEnd"/>
      <w:r w:rsidR="00DF5917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</w:t>
      </w:r>
      <w:r w:rsidR="00DF59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DF5917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Bericha</w:t>
      </w:r>
      <w:proofErr w:type="spellEnd"/>
      <w:r w:rsidR="00DF5917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Volcanic Complex (BBVC) were collected during three field seasons,</w:t>
      </w:r>
      <w:r w:rsidR="00DF59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61B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r w:rsidR="00DF5917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November 2012, April-May 2015</w:t>
      </w:r>
      <w:r w:rsidR="00361B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="00DF5917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February 2017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[43]</w:t>
      </w:r>
      <w:r w:rsidR="00DF5917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="00DF59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B24C6E9" w14:textId="395DE5A3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Sample preparation for major, trace and isotope analyses was carried out 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University of Southampton. Samples were cut with a saw to remove any </w:t>
      </w:r>
      <w:r w:rsidR="003F017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ections, and any cut surfaces ground down to reduce any potential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contamination</w:t>
      </w:r>
      <w:r w:rsidR="0065647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by metals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the saw blade. Rock samples were then crushed using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fly press</w:t>
      </w:r>
      <w:r w:rsidR="0065647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placed in double-layered plastic bags prior to crushing to minimise metal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contamination.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CEFBBA0" w14:textId="684B38D8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crushed material was separated into three size fractions (&gt;1 mm, 0.5 mm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 mm, &lt;0.5 mm) using Teflon sieves keeping the middle fraction (0.5 - 1 mm).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selected fraction was cleaned by ultrasonicating in Milli-Q water then dried overnight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an oven at 85</w:t>
      </w:r>
      <w:r w:rsidR="002656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º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C. The cleaned rock chips were then hand-picked under a microscope,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remove any non-rock material. An aliquot of cleaned chips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were used for Pb isotope analysis. For major element, trace element, and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Nd/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144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and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87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Sr/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86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 isotope analysis, the remaining rock chips were ground to a fine powder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using an agate mortar and pestle, to minimise contamination</w:t>
      </w:r>
      <w:r w:rsidR="00895B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="00895B5F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metal</w:t>
      </w:r>
      <w:r w:rsidR="00895B5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3FDC0F0" w14:textId="77777777" w:rsidR="00DF5917" w:rsidRPr="00CF0F4A" w:rsidRDefault="00DF5917" w:rsidP="007046AD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Trace element analysis </w:t>
      </w:r>
    </w:p>
    <w:p w14:paraId="68DFB2E4" w14:textId="77777777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Samples were prepared for whole-rock trace element analysis using 0.05 g (for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BBVC samples) or 0.075 g (for all other samples) powdered sample. The powdered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samples were digested in sealed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Savillex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Teflon vials with 15 drops concentrated HNO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and 2 ml HF on a hotplate at 130 °C for 24 hours (for all other samples), or with 50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drops HF and 2 ml HNO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a hotplate at 130 °C for 24 hours (for BBVC samples).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HNO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/HF was evaporated off, and the samples were refluxed in 6M HCl for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another 24 hours on a hotplate at 130 °C. The 6M HCl was evaporated off, and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samples were redissolved in 6M HCl. Mother solutions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were prepared by adding 6M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HCl and Milli-Q water (total 30 ml) to the dissolved samples. Daughter solutions were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prepared using 0.5 ml of mother solution, diluted to 5 ml with 3% HNO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(containing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internal standards In/Re/Be), resulting in an overall dilution factor of c. 4000.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8DED0D5" w14:textId="210DD499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Trace element analyses of the daughter samples were undertaken on the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ThermoScientific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XSeries2 quadrupole inductively coupled plasma mass spectrometer (ICP-MS)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 the University of Southampton. Analytical standards and accuracy were monitored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using international standards </w:t>
      </w:r>
      <w:r w:rsidR="00101A5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JA-2</w:t>
      </w:r>
      <w:r w:rsidR="00BF38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BCR-2, JB-2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(see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Extended </w:t>
      </w:r>
      <w:r w:rsidR="007B7F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Data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Table </w:t>
      </w:r>
      <w:r w:rsidR="00440A1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Results in counts per second were processed with the exact calculated dissolution factors and blank corrections to produce concentrations 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ppm for the trace elements analysed.</w:t>
      </w:r>
    </w:p>
    <w:p w14:paraId="46FE6CD2" w14:textId="77777777" w:rsidR="00DF5917" w:rsidRPr="00CF0F4A" w:rsidRDefault="00DF5917" w:rsidP="007046AD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Pb isotopic analysis</w:t>
      </w:r>
    </w:p>
    <w:p w14:paraId="29A18E48" w14:textId="3FD7D34C" w:rsidR="00DF5917" w:rsidRDefault="00DF5917" w:rsidP="000D78EC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Pb isotope analysis, 0.3 g of cleaned, picked rock chips (0.5 mm to 1 mm)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were weighed into dedicated Pb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Savillex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Teflon vials and leached on a hotplate with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 ml 6M HCl for an hour (15 minutes for obsidian and pumice samples). Samples were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rinsed several times in Milli-Q water, then 0.5 ml concentrated HNO</w:t>
      </w:r>
      <w:r w:rsidRPr="00A90EC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="007846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before adding</w:t>
      </w:r>
      <w:r w:rsidR="00784676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3-4 ml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concentrated HF. Samples were refluxed on a hotplate at 140 °C for 24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hours, and then evaporated to dryness. 0.5 ml concentrated HCl was added, and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sample evaporated to dryness, then 0.5 ml concentrated HNO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was added and again evaporated to dryness. The final residue was reconstituted in 0.5 ml HBr and refluxed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an hour. The samples were cooled and centrifuged for 5 minutes. Pb was isolated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using a single-stage HCl anion-exchange chromatographic resin separation method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[44]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with AGX-1x8, 200 – 400 mesh resin. Following this, the Pb isolate was dried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down, redissolved in HNO</w:t>
      </w:r>
      <w:r w:rsidRPr="00A90ECB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="007846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analysed using the double spike method of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[45]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samples were subsequently analysed on a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ThermoScientific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Neptune MC-ICPMS at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University of Southampton (UK) with a NBS SRM 981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reproducibility of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206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= 16.9404 ± </w:t>
      </w:r>
      <w:r w:rsidR="00DC18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 (142 ppm)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207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Pb = 15.4969 ± </w:t>
      </w:r>
      <w:r w:rsidR="00DC18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26 (168 ppm)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208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Pb = 36.7149 ± </w:t>
      </w:r>
      <w:r w:rsidR="006416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66 (180 ppm)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(2sd;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n=4</w:t>
      </w:r>
      <w:r w:rsidR="006416B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 isotope measurements</w:t>
      </w:r>
      <w:r w:rsid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 the standard are within error of the accepted values (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206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16.9412, 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207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</w:t>
      </w:r>
      <w:r w:rsid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15.4988, 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208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="000D78E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36.7233</w:t>
      </w:r>
      <w:r w:rsidR="00EF6E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[45]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 Accuracy was 47 ppm for</w:t>
      </w:r>
      <w:r w:rsidR="00EF6E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206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123 ppm for 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207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</w:t>
      </w:r>
      <w:r w:rsidR="00EF6E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174 ppm for 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208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="00EF6EC5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</w:t>
      </w:r>
      <w:r w:rsidR="000D78EC" w:rsidRPr="000D7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5DC1967" w14:textId="77777777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:lang w:eastAsia="en-GB"/>
          <w14:ligatures w14:val="none"/>
        </w:rPr>
        <w:t>143</w:t>
      </w: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Nd/</w:t>
      </w: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:lang w:eastAsia="en-GB"/>
          <w14:ligatures w14:val="none"/>
        </w:rPr>
        <w:t>144</w:t>
      </w: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Nd and</w:t>
      </w: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:lang w:eastAsia="en-GB"/>
          <w14:ligatures w14:val="none"/>
        </w:rPr>
        <w:t xml:space="preserve"> 87</w:t>
      </w: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Sr/</w:t>
      </w: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perscript"/>
          <w:lang w:eastAsia="en-GB"/>
          <w14:ligatures w14:val="none"/>
        </w:rPr>
        <w:t>86</w:t>
      </w:r>
      <w:r w:rsidRPr="00CF0F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Sr isotopic analysis</w:t>
      </w:r>
    </w:p>
    <w:p w14:paraId="57C75590" w14:textId="516867D4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Sr and Nd analysis, remaining mother solutions from the preparation of trace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element solutions (see method above) was used for all samples except </w:t>
      </w:r>
      <w:r w:rsidR="007846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those of the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BBVC. 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aliquot of each mother solution was used, to give a volume of liquid containing 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least 1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μg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Sr and 200 ng Nd and evaporated to dryness in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Savillex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Teflon vials on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hotplate at 130</w:t>
      </w:r>
      <w:r w:rsidR="005545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º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C. Sample residues were reconstituted in 200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μl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1.75M HCl.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450E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the BBVC samples, r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ock chips were leached in 4 ml 6M HCl or 30 minutes in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Savillex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Teflon vials (obsidian samples for only 15 minutes, to avoid dissolution of the sample).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samples were then rinsed with Milli-Q water and HNO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then the same digestion procedure as for trace element analysis (above) was followed. The final mother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solutions were made up using HCl and Milli-Q water to 30 ml for felsic samples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20 ml for mafic samples.</w:t>
      </w:r>
    </w:p>
    <w:p w14:paraId="152A6AA7" w14:textId="78078A10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 samples were then passed through ion exchange column chemistry, using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AG50-X8 200-400 mesh resin cation column to separate the Sr and Nd fractions.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sample fractions were subsequently evaporated to dryness ready for further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column chemistry.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74A4D61" w14:textId="54488504" w:rsidR="00DF5917" w:rsidRDefault="00DF591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 was further isolated through Sr-spec resin column, following the methodology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[46]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Samples were then evaporated to dryness, dissolved in 1.5 ml 1M HCl and loaded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onto outgassed tantalum filaments with 1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μl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Ta-activator. Sr isotopic analysis was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5545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performed</w:t>
      </w:r>
      <w:r w:rsidR="005545EA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 a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ThermoScientific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Triton Plus (TIMS) at the University of Southampton.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C716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Reference material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SRM NIST987 </w:t>
      </w:r>
      <w:r w:rsidR="00E937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="009C7163"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87</w:t>
      </w:r>
      <w:r w:rsidR="009C7163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Sr/</w:t>
      </w:r>
      <w:r w:rsidR="009C7163"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86</w:t>
      </w:r>
      <w:r w:rsidR="009C7163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</w:t>
      </w:r>
      <w:r w:rsidR="009C7163" w:rsidRPr="00E937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C716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93741" w:rsidRPr="00E937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0.710258</w:t>
      </w:r>
      <w:r w:rsidR="009C716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; </w:t>
      </w:r>
      <w:proofErr w:type="spellStart"/>
      <w:r w:rsidR="00E93741" w:rsidRPr="00E937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GeoREM</w:t>
      </w:r>
      <w:proofErr w:type="spellEnd"/>
      <w:r w:rsidR="009C716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was used to monitor accuracy and gave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average 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87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Sr/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86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 values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0.710243 and samples are quoted relative to 0.710248, while reproducibility was 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0.000020 (</w:t>
      </w:r>
      <w:r w:rsidR="00530EA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28.</w:t>
      </w:r>
      <w:r w:rsidR="00E9374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 ppm,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2sd; n=464).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C716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Accuracy was 21 ppm. </w:t>
      </w:r>
    </w:p>
    <w:p w14:paraId="18874B5F" w14:textId="1AD50B03" w:rsidR="00DF5917" w:rsidRDefault="00DF5917" w:rsidP="00C75E1C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Nd aliquot from the cation column was followed by an Ln-spec resin (50-100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μm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[47]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The samples were then evaporated to dryness and 3% HNO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was added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produce a solution of 50 ppb. 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Nd/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144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Nd analyses were undertaken on the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ThermoScientific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Neptune multi-collector inductively coupled plasma mass spectrometer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(MC-ICP-MS) at the University of Southampton.</w:t>
      </w:r>
      <w:r w:rsidR="00C75E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C75E1C" w:rsidRPr="00C75E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Reference material </w:t>
      </w:r>
      <w:proofErr w:type="spellStart"/>
      <w:r w:rsidR="00C75E1C" w:rsidRPr="00C75E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JNdi</w:t>
      </w:r>
      <w:proofErr w:type="spellEnd"/>
      <w:r w:rsidR="00C75E1C" w:rsidRPr="00C75E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was measured as a standard (</w:t>
      </w:r>
      <w:r w:rsidR="00C75E1C"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143</w:t>
      </w:r>
      <w:r w:rsidR="00C75E1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Nd/</w:t>
      </w:r>
      <w:r w:rsidR="00C75E1C"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144</w:t>
      </w:r>
      <w:r w:rsidR="00C75E1C"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</w:t>
      </w:r>
      <w:r w:rsidR="00C75E1C" w:rsidRPr="00C75E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0.512124, 2sd;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[81]</w:t>
      </w:r>
      <w:r w:rsidR="00C75E1C" w:rsidRPr="00C75E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produced an average 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143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Nd/</w:t>
      </w:r>
      <w:r w:rsidRPr="002575A8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144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 of 0.512115 with an external reproducibility of ±0.00000</w:t>
      </w:r>
      <w:r w:rsidR="00A63B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8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(2sd</w:t>
      </w:r>
      <w:r w:rsidR="00A63B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15.2 ppm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across 6 analysis sessions over 2 years. The total column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blanks (i.e., when blank acid is run through the column procedure) were negligible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(&lt;20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pg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compared to the total amounts analysed (1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μg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200 </w:t>
      </w:r>
      <w:proofErr w:type="spellStart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μg</w:t>
      </w:r>
      <w:proofErr w:type="spellEnd"/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for Sr and Nd</w:t>
      </w:r>
      <w:r w:rsidR="005545E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4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respectively.</w:t>
      </w:r>
    </w:p>
    <w:p w14:paraId="5C7F47D6" w14:textId="21E0F701" w:rsidR="0081393D" w:rsidRDefault="0081393D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Geophysical analyses</w:t>
      </w:r>
    </w:p>
    <w:p w14:paraId="3273475E" w14:textId="77777777" w:rsidR="0069560B" w:rsidRDefault="0069560B" w:rsidP="006956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F0E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Shear velocity maps from joint inversion of </w:t>
      </w:r>
      <w:proofErr w:type="spellStart"/>
      <w:r w:rsidRPr="007F0E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teleseismic</w:t>
      </w:r>
      <w:proofErr w:type="spellEnd"/>
      <w:r w:rsidRPr="007F0E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and ambient noise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7F0E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Rayleigh-wave phase velocities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32F0C4CC" w14:textId="18668F70" w:rsidR="00C83734" w:rsidRDefault="0069560B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use the shear wave velocity model of </w:t>
      </w:r>
      <w:r w:rsidR="003D2697">
        <w:rPr>
          <w:rFonts w:ascii="Times New Roman" w:hAnsi="Times New Roman" w:cs="Times New Roman"/>
          <w:sz w:val="24"/>
          <w:szCs w:val="24"/>
          <w:shd w:val="clear" w:color="auto" w:fill="FFFFFF"/>
        </w:rPr>
        <w:t>[22]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analysis. The 3D velocity model is created through a joint inversion of Rayleigh wave phase velocities from ambient noise and teleseisms </w:t>
      </w:r>
      <w:r w:rsidR="003D2697">
        <w:rPr>
          <w:rFonts w:ascii="Times New Roman" w:hAnsi="Times New Roman" w:cs="Times New Roman"/>
          <w:sz w:val="24"/>
          <w:szCs w:val="24"/>
          <w:shd w:val="clear" w:color="auto" w:fill="FFFFFF"/>
        </w:rPr>
        <w:t>[22]</w:t>
      </w:r>
      <w:r w:rsidR="006E2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[29]</w:t>
      </w:r>
      <w:r w:rsid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>. T</w:t>
      </w:r>
      <w:r w:rsidR="00C83734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he shear velocity</w:t>
      </w:r>
      <w:r w:rsid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is </w:t>
      </w:r>
      <w:r w:rsidR="00C83734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parameterised every 5 km vertically with 0.1° x 0.1°</w:t>
      </w:r>
      <w:r w:rsid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83734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pixel size for the upper 50 km.</w:t>
      </w:r>
      <w:r w:rsid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83734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For deeper depths</w:t>
      </w:r>
      <w:r w:rsid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83734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irregular spacing was used increasing from 10 – 50 km spacings</w:t>
      </w:r>
      <w:r w:rsid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83734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to match that of [31]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For further details on creation of the velocity model, see </w:t>
      </w:r>
      <w:r w:rsidR="003D2697">
        <w:rPr>
          <w:rFonts w:ascii="Times New Roman" w:hAnsi="Times New Roman" w:cs="Times New Roman"/>
          <w:sz w:val="24"/>
          <w:szCs w:val="24"/>
          <w:shd w:val="clear" w:color="auto" w:fill="FFFFFF"/>
        </w:rPr>
        <w:t>[22]</w:t>
      </w:r>
      <w:r w:rsidR="006E2C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[29]</w:t>
      </w:r>
      <w:r w:rsidR="003D2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references therein. </w:t>
      </w:r>
    </w:p>
    <w:p w14:paraId="7519F3AE" w14:textId="78AC3228" w:rsidR="008578CD" w:rsidRDefault="00C83734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3D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B23D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this paper</w:t>
      </w:r>
      <w:r w:rsidRPr="00B23D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7F0EC7" w:rsidRP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>he shear velocity model was interpolated to 1 km depth using a linear interpolation</w:t>
      </w:r>
      <w:r w:rsidR="00A668C5" w:rsidRP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7F0EC7" w:rsidRP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</w:t>
      </w:r>
      <w:r w:rsidR="00A668C5" w:rsidRPr="00C837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</w:t>
      </w:r>
      <w:r w:rsidR="007F0EC7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extracted 1D columns of velocity with depth at the same resolution as</w:t>
      </w:r>
      <w:r w:rsid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F0EC7"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our pixel size.</w:t>
      </w:r>
    </w:p>
    <w:p w14:paraId="004A857D" w14:textId="77777777" w:rsidR="007F0EC7" w:rsidRDefault="007F0EC7" w:rsidP="007046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0EC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Moho depths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FF76B" w14:textId="0C84F17C" w:rsidR="00E67237" w:rsidRDefault="007F0EC7" w:rsidP="00E6723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The gridded Moho depth map was produced from the Vs maps of [29] described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above. The Vs model was interpolated to a vertical grid spacing of 1 km and a velocity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slice at the 3.75 km/s contour was extracted which mapped best to previous receiver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function measurements [</w:t>
      </w:r>
      <w:r w:rsidR="000C122E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, 6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, 6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, 6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, 6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], active source experiments (e.g., 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[67]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) 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previous S-wave models (e.g., 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[68]</w:t>
      </w:r>
      <w:r w:rsidR="000C122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7F0EC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008A605" w14:textId="20160FAC" w:rsidR="0081393D" w:rsidRDefault="0081393D" w:rsidP="007046AD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139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Statistical </w:t>
      </w:r>
      <w:r w:rsidR="00067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</w:t>
      </w:r>
      <w:r w:rsidR="000675A9" w:rsidRPr="008139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nalys</w:t>
      </w:r>
      <w:r w:rsidR="00067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</w:t>
      </w:r>
      <w:r w:rsidR="000675A9" w:rsidRPr="008139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s </w:t>
      </w:r>
    </w:p>
    <w:p w14:paraId="492E02A2" w14:textId="5E272D7B" w:rsidR="0081393D" w:rsidRPr="0081393D" w:rsidRDefault="0081393D" w:rsidP="007046AD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139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Models considered</w:t>
      </w:r>
    </w:p>
    <w:p w14:paraId="397ABC23" w14:textId="29D704AC" w:rsidR="0081393D" w:rsidRDefault="0081393D" w:rsidP="007046A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Five models were considered (see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Extended Data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Table 1), with each model being tested using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linear fit and a spline fit</w:t>
      </w:r>
      <w:r w:rsidR="00BD57F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(Fig. 2)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="000675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note that a spline fit can fit a linear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the data if that is the best-fitting line.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63462CE" w14:textId="5BD17C95" w:rsidR="0081393D" w:rsidRDefault="0081393D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Empirical models are estimated for the variation of each of 14 geochemical quantities (each of which is represented generically by random variable Y) as a function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distance d </w:t>
      </w:r>
      <w:r w:rsidRPr="0081393D">
        <w:rPr>
          <w:rFonts w:ascii="Cambria Math" w:eastAsia="Times New Roman" w:hAnsi="Cambria Math" w:cs="Cambria Math"/>
          <w:kern w:val="0"/>
          <w:sz w:val="24"/>
          <w:szCs w:val="24"/>
          <w:lang w:eastAsia="en-GB"/>
          <w14:ligatures w14:val="none"/>
        </w:rPr>
        <w:t>∈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[0, 1800] km for five different models. Models are specified </w:t>
      </w:r>
      <w:r w:rsidR="000675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that</w:t>
      </w:r>
      <w:r w:rsidR="000675A9"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explore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variation of Y with d in increasing complexity. The simplest model (C1C) assumes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existence of a single upwelling centre (at 11.192 ◦N 41.784 ◦E</w:t>
      </w:r>
      <w:r w:rsidR="00BD57F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Fig. 1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with respect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which d is defined for all three rifts; </w:t>
      </w:r>
      <w:r w:rsidRPr="002C5A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variation of Y with d is assumed common to all rifts.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 C3C assumes the existence of three upwelling centres (at 11.192 ◦N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41.784 ◦E, 14.008 ◦N 40.458 ◦E &amp; 6.626 ◦N 37.948 ◦E</w:t>
      </w:r>
      <w:r w:rsidR="00BD57F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Fig. 1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="008450E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based on [</w:t>
      </w:r>
      <w:r w:rsidR="0088067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30</w:t>
      </w:r>
      <w:r w:rsidR="008450E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]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 observations are allocated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nearest upwelling centre, facilitating calculation of a single d for each observation;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344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like</w:t>
      </w:r>
      <w:r w:rsidR="009E16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 </w:t>
      </w:r>
      <w:r w:rsidR="009E1688"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C1C</w:t>
      </w:r>
      <w:r w:rsidR="009E1688" w:rsidRPr="002C5A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2C5A9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variation of Y with d is assumed common to all rifts, regardless of upwelling allocation.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 C1D assumes one upwelling centre (like C1C) for calculation of d, but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 the variation of Y with d is assumed to be different across rifts. Model C3D </w:t>
      </w:r>
      <w:r w:rsidR="003344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duplicates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C3C for estimation of d, but variation of Y with d is assumed to be different across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rifts. Finally, in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model C3X we consider the presence of three upwelling centres, with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different variation of Y with d for each combination of upwelling and rift.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0F25953" w14:textId="77777777" w:rsidR="0081393D" w:rsidRPr="0081393D" w:rsidRDefault="0081393D" w:rsidP="007046AD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8139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Data pre-processing </w:t>
      </w:r>
    </w:p>
    <w:p w14:paraId="24BA3003" w14:textId="0BFB809A" w:rsidR="0081393D" w:rsidRDefault="0081393D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models C1C and C1D</w:t>
      </w:r>
      <w:r w:rsidR="003344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distance between each sample and the upwelling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344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locus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centred on Lake </w:t>
      </w:r>
      <w:proofErr w:type="spellStart"/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Abhe</w:t>
      </w:r>
      <w:proofErr w:type="spellEnd"/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(11.192170 ◦N 41.783750 ◦E) is calculated. For models C3C,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C3D and C3X, the distance between each sample and each of the three upwelling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locations</w:t>
      </w:r>
      <w:r w:rsidR="00BD57F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(Fig. 1)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</w:t>
      </w:r>
      <w:r w:rsidR="003344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measured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then each sample is assigned to its nearest upwelling centre.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distance (</w:t>
      </w:r>
      <w:r w:rsidRPr="0081393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d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between two locations (i.e., upwelling and sample) is calculated using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8139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spherical cosine law:</w:t>
      </w:r>
    </w:p>
    <w:p w14:paraId="776E2C61" w14:textId="292AFFAB" w:rsidR="0081393D" w:rsidRPr="0081393D" w:rsidRDefault="0081393D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d = R(</m:t>
        </m:r>
        <m:func>
          <m:func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GB"/>
                <w14:ligatures w14:val="none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  <m:t>a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m:t>b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 xml:space="preserve"> +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  <m:t>a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eastAsia="en-GB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:lang w:eastAsia="en-GB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:lang w:eastAsia="en-GB"/>
                                    <w14:ligatures w14:val="none"/>
                                  </w:rPr>
                                  <m:t>C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func>
              </m:e>
            </m:d>
          </m:e>
        </m:func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                                         (Eq. 5)</w:t>
      </w:r>
    </w:p>
    <w:p w14:paraId="3AB482AC" w14:textId="7392EE32" w:rsidR="00DF5917" w:rsidRDefault="00436723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angle (in radians) from the North Pole to the sample location,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angle (in radians) from the North Pole to the upwelling location,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is the difference 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radians between the longitude values of the sample and upwelling, and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radius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of the earth in meters (6371 x 10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3501FBCB" w14:textId="77777777" w:rsidR="00436723" w:rsidRDefault="00436723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3672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Penalised B-splines</w:t>
      </w:r>
    </w:p>
    <w:p w14:paraId="478CDDB9" w14:textId="3D7C445D" w:rsidR="00436723" w:rsidRDefault="00436723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each model, the variation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(possibly for a subset of the full sample)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is described using a penalised B-spline (e.g., [6</w:t>
      </w:r>
      <w:r w:rsidR="00355D28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355D28">
        <w:rPr>
          <w:rFonts w:ascii="Times New Roman" w:hAnsi="Times New Roman" w:cs="Times New Roman"/>
          <w:sz w:val="24"/>
          <w:szCs w:val="24"/>
          <w:shd w:val="clear" w:color="auto" w:fill="FFFFFF"/>
        </w:rPr>
        <w:t>70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]), the characteristics of which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are selected to provide optimal predictive performance. First, for a large index set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of locations equally spaced on the domain of distance, we calculate a B-spline basis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matrix</w:t>
      </w:r>
      <w:r w:rsidR="003344F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(e.g., 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[71]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consisting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equally spaced cubic spline basis functions. Then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value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 index set is given by the vector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Bβ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, for spline coefficient vector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90EC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β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be estimated. The value of p is specified to be sufficiently large to provide a good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description of a highly variable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. For a given data set, we penalise the difference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between consecutive values in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β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a roughness penalty, such that the penalised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spline provides optimal predictive performance.</w:t>
      </w:r>
    </w:p>
    <w:p w14:paraId="61A119AB" w14:textId="77777777" w:rsidR="00436723" w:rsidRPr="00436723" w:rsidRDefault="00436723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3672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Estimating optimal spline roughness and predictive performance </w:t>
      </w:r>
    </w:p>
    <w:p w14:paraId="5671E490" w14:textId="39D611D5" w:rsidR="00436723" w:rsidRPr="00436723" w:rsidRDefault="00436723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a sample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 data, consisting of vectors of geochemical quantities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) and distances (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we first allocate each element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its nearest neighbour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index set, and hence construct the appropriate spline basis matrix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sample. We then assume that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= B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β + ε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, where the elements of ε are independently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and identically distributed zero-mean Gaussian random variables. We penalise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roughness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β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a first-different </w:t>
      </w:r>
      <w:r w:rsidR="003344F3"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penalty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λβ′P β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where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 =D′D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first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difference matrix (with elements </w:t>
      </w:r>
      <w:proofErr w:type="spellStart"/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= −1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</w:t>
      </w:r>
      <w:proofErr w:type="spellStart"/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= j; = 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j = </w:t>
      </w:r>
      <w:proofErr w:type="spellStart"/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proofErr w:type="spellEnd"/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+ 1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and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= 0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otherwise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(e.g., </w:t>
      </w:r>
      <w:r w:rsidR="0069386E">
        <w:rPr>
          <w:rFonts w:ascii="Times New Roman" w:hAnsi="Times New Roman" w:cs="Times New Roman"/>
          <w:sz w:val="24"/>
          <w:szCs w:val="24"/>
          <w:shd w:val="clear" w:color="auto" w:fill="FFFFFF"/>
        </w:rPr>
        <w:t>[72]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For a given choice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 then find the optimal value of </w:t>
      </w:r>
      <w:r w:rsidRPr="004367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β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by minimising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36723">
        <w:rPr>
          <w:rFonts w:ascii="Times New Roman" w:hAnsi="Times New Roman" w:cs="Times New Roman"/>
          <w:sz w:val="24"/>
          <w:szCs w:val="24"/>
          <w:shd w:val="clear" w:color="auto" w:fill="FFFFFF"/>
        </w:rPr>
        <w:t>lack of fit</w:t>
      </w:r>
      <w:r w:rsidR="003344F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3AE04EF" w14:textId="7333F6DA" w:rsidR="006F212A" w:rsidRPr="00527D60" w:rsidRDefault="00296949" w:rsidP="007046A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argminβ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' +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λβ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'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Pβ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F212A" w:rsidRPr="00527D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(Eq. 6)</w:t>
      </w:r>
    </w:p>
    <w:p w14:paraId="338C1C13" w14:textId="3A3301A7" w:rsidR="0048281B" w:rsidRDefault="00527D60" w:rsidP="007046A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27D60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λP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27D6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527D60">
        <w:rPr>
          <w:rFonts w:ascii="Times New Roman" w:eastAsiaTheme="minorEastAsia" w:hAnsi="Times New Roman" w:cs="Times New Roman"/>
          <w:sz w:val="24"/>
          <w:szCs w:val="24"/>
        </w:rPr>
        <w:t xml:space="preserve">          (Eq. 7)</w:t>
      </w:r>
    </w:p>
    <w:p w14:paraId="2856AF0A" w14:textId="26A18560" w:rsidR="00527D60" w:rsidRDefault="00527D60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>We can evaluate the predictive performance of the resulting spline description using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tuning set of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observations (independent of the training set) represented by vectors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We again start by finding the appropriate spline basis matrix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>sample. Then we can calculate the predictive mean square error for the tuning sample</w:t>
      </w:r>
    </w:p>
    <w:p w14:paraId="51BC8DD7" w14:textId="713F7D84" w:rsidR="00527D60" w:rsidRDefault="00296949" w:rsidP="007046A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MSE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e>
        </m:d>
      </m:oMath>
      <w:r w:rsidR="00527D6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(Eq. 8)</w:t>
      </w:r>
    </w:p>
    <w:p w14:paraId="5EFD6220" w14:textId="4CEC2FC5" w:rsidR="00527D60" w:rsidRDefault="00527D60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each of a set of representative choices of values for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>. We can then select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optimal value of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</w:t>
      </w:r>
    </w:p>
    <w:p w14:paraId="1768C0D8" w14:textId="5C7B2CC1" w:rsidR="00527D60" w:rsidRDefault="00296949" w:rsidP="007046A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argmin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MSE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</m:oMath>
      <w:r w:rsidR="00527D6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(Eq. 9)</w:t>
      </w:r>
    </w:p>
    <w:p w14:paraId="0C0C4AAE" w14:textId="6476D8D1" w:rsidR="00527D60" w:rsidRDefault="00527D60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D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value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MSE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  <w:r w:rsidRPr="00527D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biased estimate of predictive performance since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27D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value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527D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was tuned to minimise its value. We can obtain an unbiased estimate for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predictive performance of the spline model using a test set of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3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observations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(independent of the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training and tuning sets) represented by vectors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3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3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corresponding spline basis matrix 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</w:t>
      </w:r>
      <w:r w:rsidRPr="00527D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3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>). Then the predictive performance is estimated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27D60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r w:rsidR="003344F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F627D10" w14:textId="63594F5C" w:rsidR="00527D60" w:rsidRPr="00527D60" w:rsidRDefault="00527D60" w:rsidP="007046AD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MSE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GB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3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GB"/>
                <w14:ligatures w14:val="none"/>
              </w:rPr>
            </m:ctrlP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GB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β</m:t>
                    </m: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en-GB"/>
                            <w14:ligatures w14:val="none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en-GB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β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en-GB"/>
                    <w14:ligatures w14:val="none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en-GB"/>
                    <w14:ligatures w14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en-GB"/>
                        <w14:ligatures w14:val="none"/>
                      </w:rPr>
                      <m:t>*</m:t>
                    </m:r>
                  </m:sup>
                </m:sSup>
              </m:e>
            </m:d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                                                            (Eq. 10)</w:t>
      </w:r>
      <w:r w:rsidRPr="00527D6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77B97C4F" w14:textId="77777777" w:rsidR="00EE0204" w:rsidRDefault="00EE0204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E02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Cross-validation and model comparison</w:t>
      </w:r>
    </w:p>
    <w:p w14:paraId="4C4E20C2" w14:textId="3811BC72" w:rsidR="00EE0204" w:rsidRDefault="00EE0204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We exploit cross-validation to evaluate MSE, by partitioning the full sample 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into </w:t>
      </w:r>
      <w:r w:rsidRPr="00EE020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 &gt; 2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groups at random, withholding one group for tuning, another group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for testing, retaining the remaining</w:t>
      </w:r>
      <w:r w:rsidRPr="00EE020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k − 2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groups for training. We then loop exhaustively over all possible combinations of choice of train, tune</w:t>
      </w:r>
      <w:r w:rsidR="003344F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test groups, evaluating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overall predictive performance on the test data over all iterations, noting that each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observation occurs exactly once in the test set. For models (</w:t>
      </w:r>
      <w:r w:rsidR="003344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is,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C1D, C3D, C3X) requiring separate model fits to subsets of data, MSE is estimated using predictions from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optimal predictive models for each subset. Further, we can repeat the analysis 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different initial random partitioning of observations into k groups, to assess the sensitivity of overall predictive performance to this choice. We are careful to use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same cross-validation partitions to evaluate each of the five models, so that predictive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performances can be compared fairly.</w:t>
      </w:r>
    </w:p>
    <w:p w14:paraId="0B28FBBE" w14:textId="2C6C2D68" w:rsidR="00527D60" w:rsidRDefault="00EE0204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To quantify model performance over all 14 geochemical quantities, we define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overall standardised MSE</w:t>
      </w:r>
    </w:p>
    <w:p w14:paraId="7A5578E2" w14:textId="3720A45B" w:rsidR="00EE0204" w:rsidRDefault="00EE0204" w:rsidP="007046A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m:rPr>
            <m:nor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SMSE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j=1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14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MSE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(Eq. 11)</w:t>
      </w:r>
    </w:p>
    <w:p w14:paraId="359710E4" w14:textId="40069B87" w:rsidR="00EE0204" w:rsidRDefault="00EE0204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proofErr w:type="spellStart"/>
      <w:r w:rsidRPr="00EE020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MSE</w:t>
      </w:r>
      <w:r w:rsidRPr="00EE020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predictive performance for the </w:t>
      </w:r>
      <w:proofErr w:type="spellStart"/>
      <w:r w:rsidRPr="00EE020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proofErr w:type="spellEnd"/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quantity, and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is the sample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estimate for the variance of that quantity.</w:t>
      </w:r>
      <w:r w:rsidR="007607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2D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estimation of the splines and the testing of their </w:t>
      </w:r>
      <w:r w:rsidR="00354FB1">
        <w:rPr>
          <w:rFonts w:ascii="Times New Roman" w:hAnsi="Times New Roman" w:cs="Times New Roman"/>
          <w:sz w:val="24"/>
          <w:szCs w:val="24"/>
          <w:shd w:val="clear" w:color="auto" w:fill="FFFFFF"/>
        </w:rPr>
        <w:t>predictive performance was repeated over 100 iterations. Results from each iteration and the mean of the SM</w:t>
      </w:r>
      <w:r w:rsidR="003935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is shown in Fig. 3. </w:t>
      </w:r>
      <w:r w:rsidR="00B32D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0CD26CB" w14:textId="77777777" w:rsidR="00EE0204" w:rsidRPr="00EE0204" w:rsidRDefault="00EE0204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E020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Linear regression</w:t>
      </w:r>
    </w:p>
    <w:p w14:paraId="1FA1986C" w14:textId="2DCBB7E2" w:rsidR="00DC306B" w:rsidRDefault="00EE0204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comparison, we also evaluate linear regression models for the variation of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. In the current notation, these can be thought of as simple models with basis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matrix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 = [1 d]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where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vector of appropriate length with each element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= 1. </w:t>
      </w:r>
      <w:r w:rsidR="00F01B4D"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Β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in this case is a 2-vector with elements corresponding to intercept and slope coefficients.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Linear regression is approached using penalised B-spline models as the roughness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coefficient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λ → ∞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. That is, linear regression corresponds to a penalised B-spline model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very large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. Therefore, a penalised B-spline model is guaranteed to perform at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least as well as linear regression.</w:t>
      </w:r>
      <w:r w:rsidR="00B007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B178D28" w14:textId="5095D9E8" w:rsidR="00F01B4D" w:rsidRPr="00F01B4D" w:rsidRDefault="00EE0204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1B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Principal </w:t>
      </w:r>
      <w:r w:rsidR="00B62F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r w:rsidR="00B62FD1" w:rsidRPr="00F01B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omponent </w:t>
      </w:r>
      <w:r w:rsidR="00B62F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 w:rsidR="00B62FD1" w:rsidRPr="00F01B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nalysis</w:t>
      </w:r>
    </w:p>
    <w:p w14:paraId="1D3C1823" w14:textId="086DF661" w:rsidR="00EE0204" w:rsidRDefault="00EE0204" w:rsidP="007046AD">
      <w:pPr>
        <w:spacing w:line="480" w:lineRule="auto"/>
        <w:rPr>
          <w:rFonts w:ascii="Arial" w:hAnsi="Arial" w:cs="Arial"/>
          <w:shd w:val="clear" w:color="auto" w:fill="FFFFFF"/>
        </w:rPr>
      </w:pP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Principal component analysis (PCA) requires each sample or object to have the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>same number of values for each variable</w:t>
      </w:r>
      <w:r w:rsidR="00D048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so the </w:t>
      </w:r>
      <w:r w:rsidR="009D026D">
        <w:rPr>
          <w:rFonts w:ascii="Times New Roman" w:hAnsi="Times New Roman" w:cs="Times New Roman"/>
          <w:sz w:val="24"/>
          <w:szCs w:val="24"/>
          <w:shd w:val="clear" w:color="auto" w:fill="FFFFFF"/>
        </w:rPr>
        <w:t>dataset was reduced to 94 samples</w:t>
      </w:r>
      <w:r w:rsidRPr="00EE02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PCA is only carried out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on radiogenic isotope compositions of the samples where data are available for the</w:t>
      </w:r>
      <w:r w:rsid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mantle end members </w:t>
      </w:r>
      <w:r w:rsidR="00B62FD1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investigated 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B62F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i.e., 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Afar </w:t>
      </w:r>
      <w:r w:rsidR="000747F2">
        <w:rPr>
          <w:rFonts w:ascii="Times New Roman" w:hAnsi="Times New Roman" w:cs="Times New Roman"/>
          <w:sz w:val="24"/>
          <w:szCs w:val="24"/>
          <w:shd w:val="clear" w:color="auto" w:fill="FFFFFF"/>
        </w:rPr>
        <w:t>plume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Pan-African </w:t>
      </w:r>
      <w:r w:rsidR="00D04883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ithosphere, </w:t>
      </w:r>
      <w:r w:rsidR="00D0488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epleted </w:t>
      </w:r>
      <w:r w:rsidR="00D0488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antle</w:t>
      </w:r>
      <w:r w:rsidR="00D048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Enriched Mantle I, Enriched Mantle II, </w:t>
      </w:r>
      <w:proofErr w:type="spellStart"/>
      <w:r w:rsidR="00D04883">
        <w:rPr>
          <w:rFonts w:ascii="Times New Roman" w:hAnsi="Times New Roman" w:cs="Times New Roman"/>
          <w:sz w:val="24"/>
          <w:szCs w:val="24"/>
          <w:shd w:val="clear" w:color="auto" w:fill="FFFFFF"/>
        </w:rPr>
        <w:t>HiMU</w:t>
      </w:r>
      <w:proofErr w:type="spellEnd"/>
      <w:r w:rsidR="00BD57FC">
        <w:rPr>
          <w:rFonts w:ascii="Times New Roman" w:hAnsi="Times New Roman" w:cs="Times New Roman"/>
          <w:sz w:val="24"/>
          <w:szCs w:val="24"/>
          <w:shd w:val="clear" w:color="auto" w:fill="FFFFFF"/>
        </w:rPr>
        <w:t>, Extended Data Fig. 4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="00563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Values used for the end members is provided in Extended </w:t>
      </w:r>
      <w:r w:rsidR="007B7FF3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563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4.</w:t>
      </w:r>
      <w:r w:rsidR="00F01B4D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object is standardised before being included in the PCA</w:t>
      </w:r>
      <w:r w:rsidR="00F01B4D">
        <w:rPr>
          <w:rFonts w:ascii="Arial" w:hAnsi="Arial" w:cs="Arial"/>
          <w:shd w:val="clear" w:color="auto" w:fill="FFFFFF"/>
        </w:rPr>
        <w:t>:</w:t>
      </w:r>
    </w:p>
    <w:p w14:paraId="090CEBA5" w14:textId="51A0FE0C" w:rsidR="00F01B4D" w:rsidRDefault="00296949" w:rsidP="007046A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std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en>
        </m:f>
      </m:oMath>
      <w:r w:rsidR="00F01B4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(Eq. 12)</w:t>
      </w:r>
    </w:p>
    <w:p w14:paraId="146AAA80" w14:textId="60CA6BB0" w:rsidR="00F01B4D" w:rsidRDefault="00F01B4D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y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e>
        </m:acc>
      </m:oMath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mean of variable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proofErr w:type="spellStart"/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σ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standard deviation of the variable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3C6EE30" w14:textId="4839582C" w:rsidR="00F01B4D" w:rsidRDefault="00296949" w:rsidP="007046A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shd w:val="clear" w:color="auto" w:fill="FFFFFF"/>
                              </w:rPr>
                            </m:ctrlPr>
                          </m:dPr>
                          <m:e>
                            <m:d>
                              <m:dPr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shd w:val="clear" w:color="auto" w:fill="FFFFFF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e>
                </m:nary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den>
            </m:f>
          </m:e>
        </m:rad>
      </m:oMath>
      <w:r w:rsidR="00F01B4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(Eq. 13)</w:t>
      </w:r>
    </w:p>
    <w:p w14:paraId="115152E7" w14:textId="77777777" w:rsidR="00F01B4D" w:rsidRDefault="00F01B4D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j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number of objects within variable </w:t>
      </w:r>
      <w:r w:rsidRPr="00F01B4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A9A30B8" w14:textId="7A351E22" w:rsidR="00BD57FC" w:rsidRDefault="00F01B4D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Approximately 9</w:t>
      </w:r>
      <w:r w:rsidR="00BE7E1F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="005630AA">
        <w:rPr>
          <w:rFonts w:ascii="Times New Roman" w:hAnsi="Times New Roman" w:cs="Times New Roman"/>
          <w:sz w:val="24"/>
          <w:szCs w:val="24"/>
          <w:shd w:val="clear" w:color="auto" w:fill="FFFFFF"/>
        </w:rPr>
        <w:t>.5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% of the variance is explained within the plane of the first two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eigenvectors, increasing to 9</w:t>
      </w:r>
      <w:r w:rsidR="005630AA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630AA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% when including the third eigenvector. The first principal component (PC-1) is most influenced by 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207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Pb/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204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Pb, 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208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Pb/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204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Pb, whereas the second principal component (PC-2) is dominantly influenced by 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206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Pb/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204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 </w:t>
      </w:r>
      <w:r w:rsidR="007A0A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7A0A05"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87</w:t>
      </w:r>
      <w:r w:rsidR="007A0A05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Sr/</w:t>
      </w:r>
      <w:r w:rsidR="007A0A05"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86</w:t>
      </w:r>
      <w:r w:rsidR="007A0A05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Sr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.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third principal component (PC-3) is dominated by </w:t>
      </w:r>
      <w:r w:rsidR="00922B5A"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207</w:t>
      </w:r>
      <w:r w:rsidR="00922B5A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>Pb/</w:t>
      </w:r>
      <w:r w:rsidR="00922B5A" w:rsidRPr="00F01B4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204</w:t>
      </w:r>
      <w:r w:rsidR="00922B5A" w:rsidRPr="00F01B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 </w:t>
      </w:r>
      <w:r w:rsidR="00922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gramStart"/>
      <w:r w:rsidR="00922B5A"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143</w:t>
      </w:r>
      <w:r w:rsidR="00922B5A"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</w:t>
      </w:r>
      <w:proofErr w:type="gramEnd"/>
      <w:r w:rsidR="00922B5A"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</w:t>
      </w:r>
      <w:r w:rsidR="00922B5A"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144</w:t>
      </w:r>
      <w:r w:rsidR="00922B5A"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</w:t>
      </w:r>
      <w:r w:rsidR="00563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(Extended </w:t>
      </w:r>
      <w:r w:rsidR="00DC306B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563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 5)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935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0A6A390" w14:textId="368DD7BD" w:rsidR="00414DBA" w:rsidRPr="00E67237" w:rsidRDefault="00414DBA" w:rsidP="007046AD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4D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K-means cluster analysis </w:t>
      </w:r>
    </w:p>
    <w:p w14:paraId="17ABAC16" w14:textId="5DFA915B" w:rsidR="00414DBA" w:rsidRDefault="00414DBA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K-means cluster analysis </w:t>
      </w:r>
      <w:r w:rsidR="0069386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[73]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carried out on the samples using the </w:t>
      </w:r>
      <w:r w:rsidR="00973D3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13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standardised variables, which are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206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Pb,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207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Pb,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208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Pb/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204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Pb, </w:t>
      </w:r>
      <w:proofErr w:type="gramStart"/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143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</w:t>
      </w:r>
      <w:proofErr w:type="gramEnd"/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144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Nd,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87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Sr/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GB"/>
          <w14:ligatures w14:val="none"/>
        </w:rPr>
        <w:t>86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Sr, Ce/Pb, La/</w:t>
      </w:r>
      <w:proofErr w:type="spellStart"/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Sm</w:t>
      </w:r>
      <w:proofErr w:type="spellEnd"/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∆Nb, shear-wave speed at 40 km</w:t>
      </w:r>
      <w:r w:rsidR="00B804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60 km, 80 km, 100 km, </w:t>
      </w:r>
      <w:r w:rsidR="000747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and </w:t>
      </w:r>
      <w:r w:rsidR="00B8045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120</w:t>
      </w:r>
      <w:r w:rsidR="008061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km</w:t>
      </w:r>
      <w:r w:rsidR="00E541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depths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The K-means algorithm assigns each object to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singular cluster that does not overlap with another (i.e., partitional clustering), minimising the total sum of squared error (SSE) from the centre point of each cluster,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known as the centroid, to each object.</w:t>
      </w:r>
    </w:p>
    <w:p w14:paraId="0110A59F" w14:textId="0F86A56D" w:rsidR="00FE3306" w:rsidRDefault="00414DBA" w:rsidP="00304426">
      <w:pPr>
        <w:spacing w:after="0" w:line="480" w:lineRule="auto"/>
        <w:rPr>
          <w:rFonts w:ascii="Lato" w:eastAsia="Times New Roman" w:hAnsi="Lato" w:cs="Times New Roman"/>
          <w:color w:val="495365"/>
          <w:kern w:val="0"/>
          <w:sz w:val="24"/>
          <w:szCs w:val="24"/>
          <w:lang w:eastAsia="en-GB"/>
          <w14:ligatures w14:val="none"/>
        </w:rPr>
      </w:pP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find the optimum number of clusters (</w:t>
      </w:r>
      <w:r w:rsidRPr="00414D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k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i.e., which reduces the within-cluster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total sum of squares error with the lowest number of clusters, we run the K-means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algorithm specifying </w:t>
      </w:r>
      <w:r w:rsidRPr="00414D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k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be 1:20, over 1000 iterations for each </w:t>
      </w:r>
      <w:r w:rsidRPr="00414D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k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r w:rsidR="00BD57F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Extended Data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Fig. 3). We then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eight clusters based on </w:t>
      </w:r>
      <w:r w:rsidRPr="00414D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k=8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reducing the within-cluster total sum of squares by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75% from</w:t>
      </w:r>
      <w:r w:rsidRPr="00414D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k=1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the range over the 1</w:t>
      </w:r>
      <w:r w:rsidR="00E541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000 iterations being minimised when </w:t>
      </w:r>
      <w:r w:rsidRPr="00414D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k ≥8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cluster assignments for each object, out of the 1</w:t>
      </w:r>
      <w:r w:rsidR="00E541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000 iterations, are selected by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finding the iteration number that is closest to the mean within-cluster total sum of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squares of that </w:t>
      </w:r>
      <w:r w:rsidRPr="00414DB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k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 (shown by the blue line in </w:t>
      </w:r>
      <w:r w:rsidR="00E541B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Extended Data </w:t>
      </w:r>
      <w:r w:rsidRPr="00414D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Fig. 3).</w:t>
      </w:r>
      <w:r w:rsidR="00FE3306">
        <w:rPr>
          <w:rFonts w:ascii="Lato" w:eastAsia="Times New Roman" w:hAnsi="Lato" w:cs="Times New Roman"/>
          <w:color w:val="495365"/>
          <w:kern w:val="0"/>
          <w:sz w:val="24"/>
          <w:szCs w:val="24"/>
          <w:lang w:eastAsia="en-GB"/>
          <w14:ligatures w14:val="none"/>
        </w:rPr>
        <w:br w:type="page"/>
      </w:r>
    </w:p>
    <w:p w14:paraId="57920983" w14:textId="330D72E1" w:rsidR="00FF381E" w:rsidRPr="00FF381E" w:rsidRDefault="00FF381E" w:rsidP="007046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FF381E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lastRenderedPageBreak/>
        <w:t>References</w:t>
      </w:r>
    </w:p>
    <w:p w14:paraId="4B501714" w14:textId="0777F2DC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[42]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Barberi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F., Varet, J.: The Erta Ale volcanic range (Danakil Depression, Northern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Afar, Ethiopia). Bulletin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Volcanologique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34(4), 848–917 (1970) </w:t>
      </w:r>
      <w:hyperlink r:id="rId8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https://doi.org/10.1007/BF02596805</w:t>
        </w:r>
      </w:hyperlink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098699B" w14:textId="214A208E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[43]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Siegburg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M., Gernon, T.M., Bull, J.M., Keir, 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Barfod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D.N., Taylor, R.N.,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Abebe, B.,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Ayele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A.: Geological evolution of the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Boset-Bericha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Volcanic Complex,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 Ethiopian Rift: 40Ar/39Ar evidence for episodic Pleistocene to Holocene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volcanism. Journal of Volcanology and Geothermal Research 351, 115–133 (2018)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9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https://doi.org/10.1016/j.jvolgeores.2017.12.014</w:t>
        </w:r>
      </w:hyperlink>
    </w:p>
    <w:p w14:paraId="23635A5B" w14:textId="16949FAE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[44]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Kamber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B.S.,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Gladu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A.H.: Comparison of Pb Purification by Anion-Exchange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Resin Methods and Assessment of Long-Term Reproducibility of Th/U/Pb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Ratio Measurements by Quadrupole ICP-MS.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Geostandards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Geoanalytical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Research 33(2), 169–181 (2009) </w:t>
      </w:r>
      <w:hyperlink r:id="rId10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https://doi.org/10.1111/J.1751-908X.2009.00911.X</w:t>
        </w:r>
      </w:hyperlink>
    </w:p>
    <w:p w14:paraId="365F6781" w14:textId="4D78240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[45]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Taylor, R.N., Ishizuka, O.,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Michalik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A., Milton, J.A.,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Croudace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I.W.: Evaluating the precision of Pb isotope measurement by mass spectrometry. Journal of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Analytical Atomic Spectrometry 30(1), 198–213 (2015) </w:t>
      </w:r>
      <w:hyperlink r:id="rId11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https://doi.org/10.1039/c4ja00279b</w:t>
        </w:r>
      </w:hyperlink>
    </w:p>
    <w:p w14:paraId="00EDB12F" w14:textId="3E46D603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[46]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Pin, C.,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Briot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Bassin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Poitrasson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F.: Concomitant separation of strontium and samarium-neodymium for isotopic analysis in silicate samples, based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 specific extraction chromatography. Analytica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Chimica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Acta 298(2), 209–217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(1994) </w:t>
      </w:r>
      <w:hyperlink r:id="rId12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https://doi.org/10.1016/0003-2670(94)00274-6</w:t>
        </w:r>
      </w:hyperlink>
    </w:p>
    <w:p w14:paraId="204C536F" w14:textId="32710409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[47]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Pin, C.,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Zalduegui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J.S.: Sequential separation of light rare-earth elements, thorium and uranium by miniaturized extraction chromatography: Application to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isotopic analyses of silicate rocks. Analytica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Chimica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Acta 339(1-2), 79–89 (1997)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13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https://doi.org/10.1016/S0003-2670(96)00499-0</w:t>
        </w:r>
      </w:hyperlink>
    </w:p>
    <w:p w14:paraId="2D66ABBC" w14:textId="3931F1CF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[48]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Lin, F.-C., Moschetti, M.P.,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Ritzwoller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M.H.: Surface wave tomography of the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western United States from ambient seismic noise: Rayleigh and Love wave phase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velocity maps. Geophysical Journal International 173(1), 281–298 (2008) </w:t>
      </w:r>
      <w:hyperlink r:id="rId14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https://doi.org/10.1111/j.1365-246X.2008.03720.x</w:t>
        </w:r>
      </w:hyperlink>
    </w:p>
    <w:p w14:paraId="0C3D8294" w14:textId="3DBA4EE6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[49]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Dziewonski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Landisman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M., Bloch, S., Sato, Y., Asano, S.: Progress Report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 Recent Improvements in the Analysis of Surface Wave Observations. Journal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 Physics of the Earth 16(Special), 1–26 (1968)</w:t>
      </w:r>
    </w:p>
    <w:p w14:paraId="6F5C733D" w14:textId="32C5B40A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[50]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Bensen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G.D.,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Ritzwoller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M.H.,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Barmin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M.P.,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Levshin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A.L., Lin, F., Moschetti,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M.P., Shapiro, N.M., Yang, Y.: Processing seismic ambient noise data to obtain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reliable broad-band surface wave dispersion measurements. Geophysical Journal International 169(3), 1239–1260 (2007) </w:t>
      </w:r>
      <w:hyperlink r:id="rId15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https://doi.org/10.1111/j.1365-246X.2007.03374.x</w:t>
        </w:r>
      </w:hyperlink>
    </w:p>
    <w:p w14:paraId="7D380ED4" w14:textId="537BA42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[51]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Zhou, Y., Dahlen, F.A.,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Nolet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G.: Three-dimensional sensitivity kernels for surface wave observables. Geophysical Journal International 158(1), 142–168 (2004)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16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https://doi.org/10.1111/j.1365-246X.2004.02324.x</w:t>
        </w:r>
      </w:hyperlink>
    </w:p>
    <w:p w14:paraId="1547B36E" w14:textId="6EB8D690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[52]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Harmon, N., Forsyth, D., Webb, S.: Using Ambient Seismic Noise to Determine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Short-Period Phase Velocities and Shallow Shear Velocities in Young Oceanic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Lithosphere. Bulletin of the Seismological Society of America 97(6), 2009–2023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(2007) </w:t>
      </w:r>
      <w:hyperlink r:id="rId17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https://doi.org/10.1785/0120070050</w:t>
        </w:r>
      </w:hyperlink>
    </w:p>
    <w:p w14:paraId="0877EF0F" w14:textId="308F076A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[53]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Tarantola, A., Valette, B.: Generalized nonlinear inverse problems solved using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least squares criterion. Reviews of Geophysics 20(2), 219 (1982) </w:t>
      </w:r>
      <w:hyperlink r:id="rId18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https://doi.org/10.1029/RG020i002p00219</w:t>
        </w:r>
      </w:hyperlink>
    </w:p>
    <w:p w14:paraId="187FCB7E" w14:textId="2BF4C8C0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[54]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Saito, M.: DISPER80: a subroutine package for the calculation of seismic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normal-mode solutions. In: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Doornbos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D.J. (ed.) Seismological Algorithms: Computational Methods and Computer Programs, pp. 293–319. Academic Press, (1988)</w:t>
      </w:r>
    </w:p>
    <w:p w14:paraId="2C73E055" w14:textId="0DB3051A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[55]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Harmon, N.,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Rychert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C.A.: Seismic imaging of deep crustal melt sills beneath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Costa Rica suggests a method for the formation of the Archean continental crust.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Earth and Planetary Science Letters 430, 140–148 (2015) </w:t>
      </w:r>
      <w:hyperlink r:id="rId19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https://doi.org/10.1016/j.epsl.2015.07.062</w:t>
        </w:r>
      </w:hyperlink>
    </w:p>
    <w:p w14:paraId="6CCD374D" w14:textId="0EA006DF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[56]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Yang, C.S., Curtis, P.,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Payeur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P.: Calibration of an Integrated Robotic Multi-modal Range Scanner. IEEE Transactions on Instrumentation and Measurement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55(4), 1148–1159 (2006) </w:t>
      </w:r>
      <w:hyperlink r:id="rId20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https://doi.org/10.1109/TIM.2006.876410</w:t>
        </w:r>
      </w:hyperlink>
    </w:p>
    <w:p w14:paraId="5EE29DC6" w14:textId="5E35D91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[57]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Forsyth, D.W., Li, A.: Array analysis of two-dimensional variations in surface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wave phase velocity and azimuthal anisotropy in the presence of multipathing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interference, pp. 81–97 (2005). </w:t>
      </w:r>
      <w:hyperlink r:id="rId21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https://doi.org/10.1029/157GM06</w:t>
        </w:r>
      </w:hyperlink>
    </w:p>
    <w:p w14:paraId="60E2B462" w14:textId="1E04E4FD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[58]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Press W. H.,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Teukolsky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S. A.,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Vetterling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W.T., Flannery, B.P.: Numerical Recipes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C++: The Art of Scientific Computing, 2nd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Cambridge University Press,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(1992)</w:t>
      </w:r>
    </w:p>
    <w:p w14:paraId="24E1D2D3" w14:textId="6C0BF919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[59]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Nishida, K.: Two-dimensional sensitivity kernels for cross-correlation functions of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background surface waves.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Comptes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Rendus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Geoscience 343(8-9), 584–590 (2011)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22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https://doi.org/10.1016/j.crte.2011.02.004</w:t>
        </w:r>
      </w:hyperlink>
    </w:p>
    <w:p w14:paraId="37F37E76" w14:textId="673D6B90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[60]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Tromp, J., Luo, Y.,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Hanasoge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S., Peter, D.: Noise cross-correlation sensitivity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kernels. Geophysical Journal International 183(2), 791–819 (2010) </w:t>
      </w:r>
      <w:hyperlink r:id="rId23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https://doi.org/10.1111/j.1365-246X.2010.04721.x</w:t>
        </w:r>
      </w:hyperlink>
    </w:p>
    <w:p w14:paraId="3DEF2ED8" w14:textId="5C1D7C40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[61]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Hammond, J.O.S., Kendall, J.M., Stuart, G.W., Keir, 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Ebinger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Ayele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A.,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Belachew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M.: The nature of the crust beneath the Afar triple junction: Evidence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receiver functions. Geochemistry, Geophysics, Geosystems 12(12) (2011)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24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https://doi.org/10.1029/2011GC003738</w:t>
        </w:r>
      </w:hyperlink>
    </w:p>
    <w:p w14:paraId="2C1FA7D0" w14:textId="77501AC5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[62]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Dziewonski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A.M., Anderson, D.L.: Preliminary reference Earth model. Physics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of the Earth and Planetary Interiors 25(4), 297–356 (1981) </w:t>
      </w:r>
      <w:hyperlink r:id="rId25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https://doi.org/10.1016/0031-9201(81)90046-7</w:t>
        </w:r>
      </w:hyperlink>
    </w:p>
    <w:p w14:paraId="7A9130CA" w14:textId="507EA37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[63]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Ayele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A., Stuart, G., Kendall, J.M.: Insights into rifting from shear wave splitting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and receiver functions: An example from Ethiopia. Geophysical Journal International 157(1), 354–362 (2004) </w:t>
      </w:r>
      <w:hyperlink r:id="rId26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https://doi.org/10.1111/j.1365-246X.2004.02206.x</w:t>
        </w:r>
      </w:hyperlink>
    </w:p>
    <w:p w14:paraId="7F50826C" w14:textId="03DC8F29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[64]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Dugda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M.T.,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Nyblade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A.A., Julia, J., Langston, C.A., Ammon, C.J.,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Simiyu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S.: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Crustal structure in Ethiopia and Kenya from receiver function analysis: Implications for rift development in eastern Africa. Journal of Geophysical Research: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Solid Earth 110(1), 1–15 (2005) </w:t>
      </w:r>
      <w:hyperlink r:id="rId27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https://doi.org/10.1029/2004JB003065</w:t>
        </w:r>
      </w:hyperlink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D259A2E" w14:textId="5FC14DEE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[65]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Ogden, C.S.,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Bastow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I.D., Gilligan, A.,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Rondenay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S.: A reappraisal of the H–κ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stacking technique: implications for global crustal structure. Geophysical Journal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International 219(3), 1491–1513 (2019) </w:t>
      </w:r>
      <w:hyperlink r:id="rId28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https://doi.org/10.1093/gji/ggz364</w:t>
        </w:r>
      </w:hyperlink>
    </w:p>
    <w:p w14:paraId="2427F4E6" w14:textId="46511610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[66]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Stuart, G.W.,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Bastow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I.D.,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Ebinger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C.J.: Crustal structure of the northern Main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Ethiopian Rift from receiver function studies. Geological Society, London, Special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Publications 259(1), 253–267 (2006) </w:t>
      </w:r>
      <w:hyperlink r:id="rId29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https://doi.org/10.1144/GSL.SP.2006.259.01.20</w:t>
        </w:r>
      </w:hyperlink>
    </w:p>
    <w:p w14:paraId="63BCA2FF" w14:textId="46BC75BD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[67]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Maguire, P.K.H., Keller, G.R., Klemperer, S.L., Mackenzie, G.D.,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Keranen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K.,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Harder, S., O’Reilly, B.,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Thybo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H., Asfaw, L., Khan, M.A.,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Amha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M.: Crustal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structure of the northern Main Ethiopian Rift from the EAGLE controlled-source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survey; a snapshot of incipient lithospheric break-up. Geological Society, London, Special Publications 259(1), 269–292 (2006) </w:t>
      </w:r>
      <w:hyperlink r:id="rId30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https://doi.org/10.1144/GSL.SP.2006.259.01.21</w:t>
        </w:r>
      </w:hyperlink>
    </w:p>
    <w:p w14:paraId="0330F805" w14:textId="3EA5CFF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[68]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Keranen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K.M., Klemperer, S.L., Julia, J., Lawrence, J.F.,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Nyblade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A.A.: Low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lower crustal velocity across Ethiopia: Is the Main Ethiopian Rift a narrow rift in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hot craton?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Geochemistry, Geophysics, Geosystems 10(5), (2009) </w:t>
      </w:r>
      <w:hyperlink r:id="rId31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https://doi.org/10.1029/2008GC002293</w:t>
        </w:r>
      </w:hyperlink>
    </w:p>
    <w:p w14:paraId="11528799" w14:textId="5EC395E8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[69]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Eilers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P.H.C., Marx, B.D.: Flexible smoothing with B-splines and penalties.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Statistical Science 11(2) (1996) </w:t>
      </w:r>
      <w:hyperlink r:id="rId32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https://doi.org/10.1214/ss/1038425655</w:t>
        </w:r>
      </w:hyperlink>
    </w:p>
    <w:p w14:paraId="7AFFFAA6" w14:textId="06FB36B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[70]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Eilers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P.H.C., Marx, B.D.: Splines, knots, and penalties. Wiley Interdisciplinary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Reviews: Computational Statistics 2(6), 637–653 (2010) </w:t>
      </w:r>
      <w:hyperlink r:id="rId33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https://doi.org/10.1002/wics.125</w:t>
        </w:r>
      </w:hyperlink>
    </w:p>
    <w:p w14:paraId="066ACFD7" w14:textId="0DCD7BB9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[71]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Boor, C.: A Practical Guide to Splines vol. 27. Springer, New York, NY (2001).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34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https://doi.org/10.1007/978-1-4612-6333-3</w:t>
        </w:r>
      </w:hyperlink>
    </w:p>
    <w:p w14:paraId="70CA1CAD" w14:textId="501CAFF3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[72]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Jones, M., Randell, 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Ewans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K., Jonathan, P.: Statistics of extreme ocean environments: Non-stationary inference for directionality and other covariate effects.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Ocean Engineering 119, 30–46 (2016) </w:t>
      </w:r>
      <w:hyperlink r:id="rId35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https://doi.org/10.1016/j.oceaneng.2016.04.010</w:t>
        </w:r>
      </w:hyperlink>
    </w:p>
    <w:p w14:paraId="469BB725" w14:textId="4EA215A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[73]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Arthur, D.,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Vassilvitskii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S.: K-means++ the advantages of careful seeding. In: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Eighteenth Annual ACM-SIAM Symposium on Discrete Algorithms, pp. 1027–1035 (2007). </w:t>
      </w:r>
      <w:hyperlink r:id="rId36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https://doi.org/10.5555/1283383</w:t>
        </w:r>
      </w:hyperlink>
    </w:p>
    <w:p w14:paraId="51C25A3C" w14:textId="562767C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[74]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McDonough, W.F., Sun, S.-s.: The composition of the Earth. Chemical Geology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120(3-4), 223–253 (1995) </w:t>
      </w:r>
      <w:hyperlink r:id="rId37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https://doi.org/10.1016/0009-2541(94)00140-4</w:t>
        </w:r>
      </w:hyperlink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6D8B9D2" w14:textId="0A46AF34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[75]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Stracke, A., Hofmann, A.W., Hart, S.R.: FOZO, HIMU, and the rest of the mantle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zoo. Geochemistry, Geophysics, Geosystems 6(5) (2005) </w:t>
      </w:r>
      <w:hyperlink r:id="rId38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https://doi.org/10.1029/2004GC000824</w:t>
        </w:r>
      </w:hyperlink>
    </w:p>
    <w:p w14:paraId="7589DC20" w14:textId="7CF32290" w:rsidR="00FF381E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[76]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Zindler</w:t>
      </w:r>
      <w:proofErr w:type="spellEnd"/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A., Hart, S.: Chemical Geodynamics. Annual Review of Earth and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Planetary Sciences 14(1), 493–571 (1986) </w:t>
      </w:r>
      <w:hyperlink r:id="rId39" w:history="1">
        <w:r w:rsidR="00FF381E" w:rsidRPr="00DF1A1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https://doi.org/10.1146/annurev.ea.14.050186.002425</w:t>
        </w:r>
      </w:hyperlink>
    </w:p>
    <w:p w14:paraId="695A3A9E" w14:textId="48E82065" w:rsidR="00FF381E" w:rsidRDefault="0069386E" w:rsidP="007046AD">
      <w:pPr>
        <w:spacing w:line="480" w:lineRule="auto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[77]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Hart, S.R.: Heterogeneous mantle domains: signatures, genesis and mixing</w:t>
      </w:r>
      <w:r w:rsid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F381E" w:rsidRPr="00FF38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chronologies. Earth and Planetary Science Letters 90(3), 273–296 (1988) </w:t>
      </w:r>
      <w:hyperlink r:id="rId40" w:history="1">
        <w:r w:rsidR="00FF381E" w:rsidRPr="00FF381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https://doi.org/10.1016/0012-821X(88)90131-8</w:t>
        </w:r>
      </w:hyperlink>
    </w:p>
    <w:p w14:paraId="65496965" w14:textId="4D038C42" w:rsidR="009A75AD" w:rsidRDefault="0069386E" w:rsidP="007046AD">
      <w:pPr>
        <w:spacing w:line="480" w:lineRule="auto"/>
        <w:rPr>
          <w:rFonts w:ascii="Times New Roman" w:hAnsi="Times New Roman" w:cs="Times New Roman"/>
          <w:color w:val="006FCA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[78]</w:t>
      </w:r>
      <w:r w:rsidR="009A75AD" w:rsidRPr="00B45E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335FF" w:rsidRPr="00B45E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Rollinson, Hugh, and Victoria Pease. “Using Radiogenic Isotope Data.” Chapter. In</w:t>
      </w:r>
      <w:r w:rsidR="00752B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335FF" w:rsidRPr="00B45E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Using Geochemical Data: To Understand Geological Processes, 178–218. Cambridge: Cambridge University Press, (2021).</w:t>
      </w:r>
      <w:r w:rsidR="00B45ECA" w:rsidRPr="00B45EC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B45ECA" w:rsidRPr="00B45ECA"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 w:rsidR="00752B52" w:rsidRPr="009F40C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https://doi.org/10.1017/9781108777834</w:t>
        </w:r>
      </w:hyperlink>
    </w:p>
    <w:p w14:paraId="5361E4D6" w14:textId="16197200" w:rsidR="00752B52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[79]</w:t>
      </w:r>
      <w:r w:rsidR="00FD3315" w:rsidRPr="00FD3315">
        <w:t xml:space="preserve"> </w:t>
      </w:r>
      <w:r w:rsidR="00FD3315" w:rsidRP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Watts, Emma J., Thomas M. Gernon, Rex N. Taylor, Derek Keir, and Carolina Pagli. "Magmatic evolution during proto-oceanic rifting at Alu, </w:t>
      </w:r>
      <w:proofErr w:type="spellStart"/>
      <w:r w:rsidR="00FD3315" w:rsidRP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Dalafilla</w:t>
      </w:r>
      <w:proofErr w:type="spellEnd"/>
      <w:r w:rsidR="00FD3315" w:rsidRP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="00FD3315" w:rsidRP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Borale</w:t>
      </w:r>
      <w:proofErr w:type="spellEnd"/>
      <w:r w:rsidR="00FD3315" w:rsidRP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Volcanoes (Afar) determined by trace element and Sr-Nd-Pb isotope geochemistry." </w:t>
      </w:r>
      <w:proofErr w:type="spellStart"/>
      <w:r w:rsidR="00FD3315" w:rsidRP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Lithos</w:t>
      </w:r>
      <w:proofErr w:type="spellEnd"/>
      <w:r w:rsidR="00FD3315" w:rsidRP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456 (2023): 107311.</w:t>
      </w:r>
      <w:r w:rsid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42" w:history="1">
        <w:r w:rsidR="00FD3315" w:rsidRPr="009F40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https://doi.org/10.1016/j.lithos.2023.107311</w:t>
        </w:r>
      </w:hyperlink>
      <w:r w:rsidR="00FD33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93B8CDE" w14:textId="1EB24823" w:rsidR="00CB6485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[80]</w:t>
      </w:r>
      <w:r w:rsidR="00CB648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Jochum</w:t>
      </w:r>
      <w:proofErr w:type="spellEnd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Klaus Peter, Matthias </w:t>
      </w:r>
      <w:proofErr w:type="spellStart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Willbold</w:t>
      </w:r>
      <w:proofErr w:type="spellEnd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Ingrid </w:t>
      </w:r>
      <w:proofErr w:type="spellStart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Raczek</w:t>
      </w:r>
      <w:proofErr w:type="spellEnd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Brigitte Stoll, and Kirstin Herwig. "Chemical Characterisation of the USGS Reference Glasses GSA‐1G, GSC‐1G, GSD‐1G, GSE‐1G, BCR‐2G, BHVO‐2G and BIR‐1G Using EPMA, ID‐TIMS, ID‐ICP‐MS and LA‐ICP‐MS." </w:t>
      </w:r>
      <w:proofErr w:type="spellStart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Geostandards</w:t>
      </w:r>
      <w:proofErr w:type="spellEnd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Geoanalytical</w:t>
      </w:r>
      <w:proofErr w:type="spellEnd"/>
      <w:r w:rsidR="0035007C" w:rsidRPr="0035007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Research 29, no. 3 (2005): 285-302.</w:t>
      </w:r>
      <w:r w:rsidR="005E4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43" w:history="1">
        <w:r w:rsidR="005E40A0" w:rsidRPr="009F40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https://doi.org/10.1111/j.1751-908X.2005.tb00901.x</w:t>
        </w:r>
      </w:hyperlink>
      <w:r w:rsidR="005E4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F0E58EF" w14:textId="1DA77E68" w:rsidR="00410066" w:rsidRDefault="0069386E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[81]</w:t>
      </w:r>
      <w:r w:rsid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Tanaka, Tsuyoshi, Shigeko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Togashi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Hikari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Kamioka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Hiroshi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Amakawa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Hiroo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Kagami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Takuji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Hamamoto, Masaki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Yuhara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et al. "JNdi-1: a neodymium isotopic reference in consistency with </w:t>
      </w:r>
      <w:proofErr w:type="spellStart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LaJolla</w:t>
      </w:r>
      <w:proofErr w:type="spellEnd"/>
      <w:r w:rsidR="0088175D" w:rsidRP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neodymium." Chemical Geology 168, no. 3-4 (2000): 279-281.</w:t>
      </w:r>
      <w:r w:rsid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44" w:history="1">
        <w:r w:rsidR="0088175D" w:rsidRPr="009F40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https://doi.org/10.1016/S0009-2541(00)00198-4</w:t>
        </w:r>
      </w:hyperlink>
      <w:r w:rsidR="008817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51E8781" w14:textId="77777777" w:rsidR="003D2697" w:rsidRPr="00B45ECA" w:rsidRDefault="003D2697" w:rsidP="007046A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sectPr w:rsidR="003D2697" w:rsidRPr="00B45ECA" w:rsidSect="006D4F27">
      <w:headerReference w:type="default" r:id="rId45"/>
      <w:footerReference w:type="default" r:id="rId46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5DF5" w14:textId="77777777" w:rsidR="007B4E3C" w:rsidRDefault="007B4E3C" w:rsidP="00DF5917">
      <w:pPr>
        <w:spacing w:after="0" w:line="240" w:lineRule="auto"/>
      </w:pPr>
      <w:r>
        <w:separator/>
      </w:r>
    </w:p>
  </w:endnote>
  <w:endnote w:type="continuationSeparator" w:id="0">
    <w:p w14:paraId="74548977" w14:textId="77777777" w:rsidR="007B4E3C" w:rsidRDefault="007B4E3C" w:rsidP="00DF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545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5065C" w14:textId="398057BD" w:rsidR="007046AD" w:rsidRDefault="007046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CBFA6" w14:textId="77777777" w:rsidR="007046AD" w:rsidRDefault="00704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FD13" w14:textId="77777777" w:rsidR="007B4E3C" w:rsidRDefault="007B4E3C" w:rsidP="00DF5917">
      <w:pPr>
        <w:spacing w:after="0" w:line="240" w:lineRule="auto"/>
      </w:pPr>
      <w:r>
        <w:separator/>
      </w:r>
    </w:p>
  </w:footnote>
  <w:footnote w:type="continuationSeparator" w:id="0">
    <w:p w14:paraId="5487936E" w14:textId="77777777" w:rsidR="007B4E3C" w:rsidRDefault="007B4E3C" w:rsidP="00DF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6741" w14:textId="74B63612" w:rsidR="00DF5917" w:rsidRPr="00DF5917" w:rsidRDefault="00DF5917" w:rsidP="00DF591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Nature </w:t>
    </w:r>
    <w:r w:rsidR="007046AD">
      <w:rPr>
        <w:rFonts w:ascii="Times New Roman" w:hAnsi="Times New Roman" w:cs="Times New Roman"/>
        <w:sz w:val="24"/>
        <w:szCs w:val="24"/>
      </w:rPr>
      <w:t>M</w:t>
    </w:r>
    <w:r>
      <w:rPr>
        <w:rFonts w:ascii="Times New Roman" w:hAnsi="Times New Roman" w:cs="Times New Roman"/>
        <w:sz w:val="24"/>
        <w:szCs w:val="24"/>
      </w:rPr>
      <w:t>anuscript</w:t>
    </w:r>
    <w:r w:rsidR="007046AD">
      <w:rPr>
        <w:rFonts w:ascii="Times New Roman" w:hAnsi="Times New Roman" w:cs="Times New Roman"/>
        <w:sz w:val="24"/>
        <w:szCs w:val="24"/>
      </w:rPr>
      <w:t xml:space="preserve">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D0C"/>
    <w:multiLevelType w:val="hybridMultilevel"/>
    <w:tmpl w:val="17323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9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17"/>
    <w:rsid w:val="000675A9"/>
    <w:rsid w:val="000747F2"/>
    <w:rsid w:val="000C02BF"/>
    <w:rsid w:val="000C122E"/>
    <w:rsid w:val="000D78EC"/>
    <w:rsid w:val="00101A5E"/>
    <w:rsid w:val="001903F2"/>
    <w:rsid w:val="001A54A8"/>
    <w:rsid w:val="002327E1"/>
    <w:rsid w:val="0026560E"/>
    <w:rsid w:val="0027011C"/>
    <w:rsid w:val="00296949"/>
    <w:rsid w:val="002C5A9F"/>
    <w:rsid w:val="00304426"/>
    <w:rsid w:val="003344F3"/>
    <w:rsid w:val="0035007C"/>
    <w:rsid w:val="00354FB1"/>
    <w:rsid w:val="00355D28"/>
    <w:rsid w:val="00361BE1"/>
    <w:rsid w:val="0039353E"/>
    <w:rsid w:val="003B6784"/>
    <w:rsid w:val="003D2697"/>
    <w:rsid w:val="003E46AD"/>
    <w:rsid w:val="003F0170"/>
    <w:rsid w:val="004052FA"/>
    <w:rsid w:val="00410066"/>
    <w:rsid w:val="00414DBA"/>
    <w:rsid w:val="00436723"/>
    <w:rsid w:val="00440A12"/>
    <w:rsid w:val="0048281B"/>
    <w:rsid w:val="004A2ED4"/>
    <w:rsid w:val="004A310F"/>
    <w:rsid w:val="004E7B77"/>
    <w:rsid w:val="00511B6A"/>
    <w:rsid w:val="00527D60"/>
    <w:rsid w:val="00530EAA"/>
    <w:rsid w:val="005545EA"/>
    <w:rsid w:val="005623BB"/>
    <w:rsid w:val="005630AA"/>
    <w:rsid w:val="00575062"/>
    <w:rsid w:val="005A119B"/>
    <w:rsid w:val="005B2ED6"/>
    <w:rsid w:val="005E40A0"/>
    <w:rsid w:val="005E4D44"/>
    <w:rsid w:val="005F1778"/>
    <w:rsid w:val="00616F9B"/>
    <w:rsid w:val="006416B7"/>
    <w:rsid w:val="00644F1D"/>
    <w:rsid w:val="00656470"/>
    <w:rsid w:val="0069386E"/>
    <w:rsid w:val="0069560B"/>
    <w:rsid w:val="006D4F27"/>
    <w:rsid w:val="006E2CFE"/>
    <w:rsid w:val="006F212A"/>
    <w:rsid w:val="007046AD"/>
    <w:rsid w:val="00733CD8"/>
    <w:rsid w:val="00752B52"/>
    <w:rsid w:val="00760787"/>
    <w:rsid w:val="00784676"/>
    <w:rsid w:val="00791D75"/>
    <w:rsid w:val="007A0A05"/>
    <w:rsid w:val="007B4E3C"/>
    <w:rsid w:val="007B7FF3"/>
    <w:rsid w:val="007F0EC7"/>
    <w:rsid w:val="00806155"/>
    <w:rsid w:val="0081393D"/>
    <w:rsid w:val="00814934"/>
    <w:rsid w:val="0082628F"/>
    <w:rsid w:val="008450E9"/>
    <w:rsid w:val="008578CD"/>
    <w:rsid w:val="00880677"/>
    <w:rsid w:val="0088175D"/>
    <w:rsid w:val="008939EA"/>
    <w:rsid w:val="00895B5F"/>
    <w:rsid w:val="008F61EC"/>
    <w:rsid w:val="00922B5A"/>
    <w:rsid w:val="00973D34"/>
    <w:rsid w:val="00975DF1"/>
    <w:rsid w:val="009A5DD6"/>
    <w:rsid w:val="009A75AD"/>
    <w:rsid w:val="009C7163"/>
    <w:rsid w:val="009D026D"/>
    <w:rsid w:val="009E1688"/>
    <w:rsid w:val="00A14FA6"/>
    <w:rsid w:val="00A335FF"/>
    <w:rsid w:val="00A3424E"/>
    <w:rsid w:val="00A63BD6"/>
    <w:rsid w:val="00A668C5"/>
    <w:rsid w:val="00A90ECB"/>
    <w:rsid w:val="00AA5B44"/>
    <w:rsid w:val="00B007A2"/>
    <w:rsid w:val="00B23D14"/>
    <w:rsid w:val="00B32DF8"/>
    <w:rsid w:val="00B45ECA"/>
    <w:rsid w:val="00B62FD1"/>
    <w:rsid w:val="00B80453"/>
    <w:rsid w:val="00B91893"/>
    <w:rsid w:val="00BD57FC"/>
    <w:rsid w:val="00BE7E1F"/>
    <w:rsid w:val="00BF38A0"/>
    <w:rsid w:val="00C75E1C"/>
    <w:rsid w:val="00C83734"/>
    <w:rsid w:val="00CA10A6"/>
    <w:rsid w:val="00CB6485"/>
    <w:rsid w:val="00D04883"/>
    <w:rsid w:val="00D07991"/>
    <w:rsid w:val="00D43228"/>
    <w:rsid w:val="00D65CCF"/>
    <w:rsid w:val="00DA5203"/>
    <w:rsid w:val="00DC18AA"/>
    <w:rsid w:val="00DC306B"/>
    <w:rsid w:val="00DF5917"/>
    <w:rsid w:val="00E541B1"/>
    <w:rsid w:val="00E67237"/>
    <w:rsid w:val="00E93741"/>
    <w:rsid w:val="00E95D6A"/>
    <w:rsid w:val="00EC57B7"/>
    <w:rsid w:val="00EE0204"/>
    <w:rsid w:val="00EF6EC5"/>
    <w:rsid w:val="00F01B4D"/>
    <w:rsid w:val="00FD3315"/>
    <w:rsid w:val="00FE3306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CB57"/>
  <w15:chartTrackingRefBased/>
  <w15:docId w15:val="{237ABBC2-CEC1-4789-91F2-99BA63CF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17"/>
  </w:style>
  <w:style w:type="paragraph" w:styleId="Footer">
    <w:name w:val="footer"/>
    <w:basedOn w:val="Normal"/>
    <w:link w:val="FooterChar"/>
    <w:uiPriority w:val="99"/>
    <w:unhideWhenUsed/>
    <w:rsid w:val="00DF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17"/>
  </w:style>
  <w:style w:type="character" w:styleId="PlaceholderText">
    <w:name w:val="Placeholder Text"/>
    <w:basedOn w:val="DefaultParagraphFont"/>
    <w:uiPriority w:val="99"/>
    <w:semiHidden/>
    <w:rsid w:val="001A54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F3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81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7046AD"/>
  </w:style>
  <w:style w:type="character" w:styleId="CommentReference">
    <w:name w:val="annotation reference"/>
    <w:basedOn w:val="DefaultParagraphFont"/>
    <w:uiPriority w:val="99"/>
    <w:semiHidden/>
    <w:unhideWhenUsed/>
    <w:rsid w:val="00CA1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1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1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0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2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S0003-2670(96)00499-0" TargetMode="External"/><Relationship Id="rId18" Type="http://schemas.openxmlformats.org/officeDocument/2006/relationships/hyperlink" Target="https://doi.org/10.1029/RG020i002p00219" TargetMode="External"/><Relationship Id="rId26" Type="http://schemas.openxmlformats.org/officeDocument/2006/relationships/hyperlink" Target="https://doi.org/10.1111/j.1365-246X.2004.02206.x" TargetMode="External"/><Relationship Id="rId39" Type="http://schemas.openxmlformats.org/officeDocument/2006/relationships/hyperlink" Target="https://doi.org/10.1146/annurev.ea.14.050186.002425" TargetMode="External"/><Relationship Id="rId21" Type="http://schemas.openxmlformats.org/officeDocument/2006/relationships/hyperlink" Target="https://doi.org/10.1029/157GM06" TargetMode="External"/><Relationship Id="rId34" Type="http://schemas.openxmlformats.org/officeDocument/2006/relationships/hyperlink" Target="https://doi.org/10.1007/978-1-4612-6333-3" TargetMode="External"/><Relationship Id="rId42" Type="http://schemas.openxmlformats.org/officeDocument/2006/relationships/hyperlink" Target="https://doi.org/10.1016/j.lithos.2023.10731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j.1365-246X.2004.02324.x" TargetMode="External"/><Relationship Id="rId29" Type="http://schemas.openxmlformats.org/officeDocument/2006/relationships/hyperlink" Target="https://doi.org/10.1144/GSL.SP.2006.259.01.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9/c4ja00279b" TargetMode="External"/><Relationship Id="rId24" Type="http://schemas.openxmlformats.org/officeDocument/2006/relationships/hyperlink" Target="https://doi.org/10.1029/2011GC003738" TargetMode="External"/><Relationship Id="rId32" Type="http://schemas.openxmlformats.org/officeDocument/2006/relationships/hyperlink" Target="https://doi.org/10.1214/ss/1038425655" TargetMode="External"/><Relationship Id="rId37" Type="http://schemas.openxmlformats.org/officeDocument/2006/relationships/hyperlink" Target="https://doi.org/10.1016/0009-2541(94)00140-4" TargetMode="External"/><Relationship Id="rId40" Type="http://schemas.openxmlformats.org/officeDocument/2006/relationships/hyperlink" Target="https://doi.org/10.1016/0012-821X(88)90131-8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j.1365-246X.2007.03374.x" TargetMode="External"/><Relationship Id="rId23" Type="http://schemas.openxmlformats.org/officeDocument/2006/relationships/hyperlink" Target="https://doi.org/10.1111/j.1365-246X.2010.04721.x" TargetMode="External"/><Relationship Id="rId28" Type="http://schemas.openxmlformats.org/officeDocument/2006/relationships/hyperlink" Target="https://doi.org/10.1093/gji/ggz364" TargetMode="External"/><Relationship Id="rId36" Type="http://schemas.openxmlformats.org/officeDocument/2006/relationships/hyperlink" Target="https://doi.org/10.5555/1283383" TargetMode="External"/><Relationship Id="rId10" Type="http://schemas.openxmlformats.org/officeDocument/2006/relationships/hyperlink" Target="https://doi.org/10.1111/J.1751-908X.2009.00911.X" TargetMode="External"/><Relationship Id="rId19" Type="http://schemas.openxmlformats.org/officeDocument/2006/relationships/hyperlink" Target="https://doi.org/10.1016/j.epsl.2015.07.062" TargetMode="External"/><Relationship Id="rId31" Type="http://schemas.openxmlformats.org/officeDocument/2006/relationships/hyperlink" Target="https://doi.org/10.1029/2008GC002293" TargetMode="External"/><Relationship Id="rId44" Type="http://schemas.openxmlformats.org/officeDocument/2006/relationships/hyperlink" Target="https://doi.org/10.1016/S0009-2541(00)00198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volgeores.2017.12.014" TargetMode="External"/><Relationship Id="rId14" Type="http://schemas.openxmlformats.org/officeDocument/2006/relationships/hyperlink" Target="https://doi.org/10.1111/j.1365-246X.2008.03720.x" TargetMode="External"/><Relationship Id="rId22" Type="http://schemas.openxmlformats.org/officeDocument/2006/relationships/hyperlink" Target="https://doi.org/10.1016/j.crte.2011.02.004" TargetMode="External"/><Relationship Id="rId27" Type="http://schemas.openxmlformats.org/officeDocument/2006/relationships/hyperlink" Target="https://doi.org/10.1029/2004JB003065" TargetMode="External"/><Relationship Id="rId30" Type="http://schemas.openxmlformats.org/officeDocument/2006/relationships/hyperlink" Target="https://doi.org/10.1144/GSL.SP.2006.259.01.21" TargetMode="External"/><Relationship Id="rId35" Type="http://schemas.openxmlformats.org/officeDocument/2006/relationships/hyperlink" Target="https://doi.org/10.1016/j.oceaneng.2016.04.010" TargetMode="External"/><Relationship Id="rId43" Type="http://schemas.openxmlformats.org/officeDocument/2006/relationships/hyperlink" Target="https://doi.org/10.1111/j.1751-908X.2005.tb00901.x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i.org/10.1007/BF02596805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16/0003-2670(94)00274-6" TargetMode="External"/><Relationship Id="rId17" Type="http://schemas.openxmlformats.org/officeDocument/2006/relationships/hyperlink" Target="https://doi.org/10.1785/0120070050" TargetMode="External"/><Relationship Id="rId25" Type="http://schemas.openxmlformats.org/officeDocument/2006/relationships/hyperlink" Target="https://doi.org/10.1016/0031-9201(81)90046-7" TargetMode="External"/><Relationship Id="rId33" Type="http://schemas.openxmlformats.org/officeDocument/2006/relationships/hyperlink" Target="https://doi.org/10.1002/wics.125" TargetMode="External"/><Relationship Id="rId38" Type="http://schemas.openxmlformats.org/officeDocument/2006/relationships/hyperlink" Target="https://doi.org/10.1029/2004GC000824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oi.org/10.1109/TIM.2006.876410" TargetMode="External"/><Relationship Id="rId41" Type="http://schemas.openxmlformats.org/officeDocument/2006/relationships/hyperlink" Target="https://doi.org/10.1017/9781108777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69C82-8879-4B27-93E4-14252630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4783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Watts</dc:creator>
  <cp:keywords/>
  <dc:description/>
  <cp:lastModifiedBy>Emma Watts</cp:lastModifiedBy>
  <cp:revision>2</cp:revision>
  <dcterms:created xsi:type="dcterms:W3CDTF">2024-03-21T16:19:00Z</dcterms:created>
  <dcterms:modified xsi:type="dcterms:W3CDTF">2024-03-21T16:19:00Z</dcterms:modified>
</cp:coreProperties>
</file>