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07E79"/>
          <w:sz w:val="48"/>
        </w:rPr>
        <w:t>Transportes - DIR Norte</w:t>
      </w:r>
    </w:p>
    <w:p>
      <w:pPr>
        <w:spacing w:after="320"/>
        <w:jc w:val="center"/>
      </w:pPr>
      <w:r>
        <w:rPr>
          <w:color w:val="1F2933"/>
          <w:sz w:val="26"/>
        </w:rPr>
        <w:t>Resumo executivo e MCS dos indicadores de Pontualidade (PTL) e Overbook (OVBK)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DAD7"/>
          <w:left w:val="single" w:sz="6" w:space="0" w:color="B7DAD7"/>
          <w:bottom w:val="single" w:sz="6" w:space="0" w:color="B7DAD7"/>
          <w:right w:val="single" w:sz="6" w:space="0" w:color="B7DAD7"/>
          <w:insideH w:val="single" w:sz="6" w:space="0" w:color="B7DAD7"/>
          <w:insideV w:val="single" w:sz="6" w:space="0" w:color="B7DAD7"/>
        </w:tblBorders>
      </w:tblPr>
      <w:tblGrid>
        <w:gridCol w:w="10368"/>
      </w:tblGrid>
      <w:tr>
        <w:tc>
          <w:tcPr>
            <w:tcW w:type="dxa" w:w="10368"/>
            <w:shd w:fill="F0F7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b/>
                <w:color w:val="007E79"/>
                <w:sz w:val="22"/>
              </w:rPr>
              <w:t>Base da análise</w:t>
            </w:r>
          </w:p>
          <w:p>
            <w:pPr>
              <w:spacing w:after="0"/>
            </w:pPr>
            <w:r>
              <w:rPr>
                <w:color w:val="1F2933"/>
                <w:sz w:val="20"/>
              </w:rPr>
              <w:t>Documento estruturado a partir da discussão da reunião DB - RP Serviços Operacionais Norte, realizada em 15/07/2026. A transcrição reforçou a necessidade de analisar indicadores como reflexo do processo, conectando motivo, causa raiz e solução. Observação: a transcrição não apresentou números detalhados de junho para PTL/OVBK; por isso, a análise abaixo prioriza a leitura de processo e os direcionamentos executivos para MCS.</w:t>
            </w:r>
          </w:p>
        </w:tc>
      </w:tr>
    </w:tbl>
    <w:p>
      <w:pPr>
        <w:spacing w:after="80"/>
      </w:pPr>
    </w:p>
    <w:p>
      <w:pPr>
        <w:spacing w:before="0" w:after="120" w:line="259" w:lineRule="auto"/>
        <w:jc w:val="center"/>
      </w:pPr>
      <w:r>
        <w:rPr>
          <w:b w:val="0"/>
          <w:i/>
          <w:color w:val="566573"/>
          <w:sz w:val="18"/>
        </w:rPr>
        <w:t>Gerente DIR Norte: Mario Jofre | Gerências analisadas: GER Serra Norte (Carajás), GER São Luís e EFC, GER Serra Sul (S11D).</w:t>
      </w:r>
    </w:p>
    <w:p>
      <w:pPr>
        <w:pStyle w:val="Heading1"/>
        <w:spacing w:before="0" w:after="120" w:line="259" w:lineRule="auto"/>
      </w:pPr>
      <w:r>
        <w:rPr>
          <w:b w:val="0"/>
          <w:i w:val="0"/>
        </w:rPr>
        <w:t>1. Mensagem executiva</w:t>
      </w:r>
    </w:p>
    <w:p>
      <w:pPr>
        <w:spacing w:before="0" w:after="160" w:line="259" w:lineRule="auto"/>
      </w:pPr>
      <w:r>
        <w:rPr>
          <w:b w:val="0"/>
          <w:i w:val="0"/>
        </w:rPr>
        <w:t>A principal diretriz retirada da reunião foi não apresentar PTL e OVBK apenas como indicadores em vermelho ou verde. A apresentação deve mostrar o que o indicador revela sobre o processo: onde há falta de previsibilidade, qual processo não enxerga a demanda futura, quais fatores externos ainda impedem estabilidade operacional e quais ações estão sendo tomadas para corrigir o cenário.</w:t>
      </w:r>
    </w:p>
    <w:p>
      <w:pPr>
        <w:spacing w:before="0" w:after="160" w:line="259" w:lineRule="auto"/>
      </w:pPr>
      <w:r>
        <w:rPr>
          <w:b w:val="0"/>
          <w:i w:val="0"/>
        </w:rPr>
        <w:t>Para a apresentação da DIR Norte, a narrativa recomendada é: resultado do indicador -&gt; leitura de processo -&gt; causa raiz -&gt; ação de estabilização. Essa abordagem demonstra maturidade na gestão e evita uma explicação puramente numérica.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DAD7"/>
          <w:left w:val="single" w:sz="6" w:space="0" w:color="B7DAD7"/>
          <w:bottom w:val="single" w:sz="6" w:space="0" w:color="B7DAD7"/>
          <w:right w:val="single" w:sz="6" w:space="0" w:color="B7DAD7"/>
          <w:insideH w:val="single" w:sz="6" w:space="0" w:color="B7DAD7"/>
          <w:insideV w:val="single" w:sz="6" w:space="0" w:color="B7DAD7"/>
        </w:tblBorders>
      </w:tblPr>
      <w:tblGrid>
        <w:gridCol w:w="10368"/>
      </w:tblGrid>
      <w:tr>
        <w:tc>
          <w:tcPr>
            <w:tcW w:type="dxa" w:w="10368"/>
            <w:shd w:fill="E7F3F2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b/>
                <w:color w:val="007E79"/>
                <w:sz w:val="22"/>
              </w:rPr>
              <w:t>Frase-guia para o slide</w:t>
            </w:r>
          </w:p>
          <w:p>
            <w:pPr>
              <w:spacing w:after="0"/>
            </w:pPr>
            <w:r>
              <w:rPr>
                <w:color w:val="1F2933"/>
                <w:sz w:val="20"/>
              </w:rPr>
              <w:t>Os desvios de Pontualidade e Overbook devem ser apresentados como consequência de processos ainda em estabilização: roteirização, planejamento de demanda, integração com RH/áreas operacionais, cadastro de passageiros e gestão de eventos pontuais.</w:t>
            </w:r>
          </w:p>
        </w:tc>
      </w:tr>
    </w:tbl>
    <w:p>
      <w:pPr>
        <w:spacing w:after="80"/>
      </w:pPr>
    </w:p>
    <w:p>
      <w:pPr>
        <w:pStyle w:val="Heading1"/>
        <w:spacing w:before="0" w:after="120" w:line="259" w:lineRule="auto"/>
      </w:pPr>
      <w:r>
        <w:rPr>
          <w:b w:val="0"/>
          <w:i w:val="0"/>
        </w:rPr>
        <w:t>2. Método MCS aplicado aos indicadores de transporte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5184"/>
        <w:gridCol w:w="5184"/>
      </w:tblGrid>
      <w:tr>
        <w:tc>
          <w:tcPr>
            <w:tcW w:type="dxa" w:w="5184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84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Aplicação em PTL/OVBK</w:t>
            </w:r>
          </w:p>
        </w:tc>
      </w:tr>
      <w:tr>
        <w:tc>
          <w:tcPr>
            <w:tcW w:type="dxa" w:w="5184"/>
            <w:tcMar>
              <w:top w:w="120" w:type="dxa"/>
              <w:start w:w="120" w:type="dxa"/>
              <w:bottom w:w="120" w:type="dxa"/>
              <w:end w:w="120" w:type="dxa"/>
            </w:tcMar>
            <w:shd w:fill="F0F7F6"/>
          </w:tcPr>
          <w:p>
            <w:r>
              <w:rPr>
                <w:b/>
                <w:sz w:val="17"/>
              </w:rPr>
              <w:t>Motivo</w:t>
            </w:r>
          </w:p>
        </w:tc>
        <w:tc>
          <w:tcPr>
            <w:tcW w:type="dxa" w:w="518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Qual indicador ou comportamento exige atenção executiva: pontualidade abaixo da referência, overbook abaixo da capacidade esperada, oscilação de desempenho ou perda de estabilidade.</w:t>
            </w:r>
          </w:p>
        </w:tc>
      </w:tr>
      <w:tr>
        <w:tc>
          <w:tcPr>
            <w:tcW w:type="dxa" w:w="5184"/>
            <w:tcMar>
              <w:top w:w="120" w:type="dxa"/>
              <w:start w:w="120" w:type="dxa"/>
              <w:bottom w:w="120" w:type="dxa"/>
              <w:end w:w="120" w:type="dxa"/>
            </w:tcMar>
            <w:shd w:fill="F0F7F6"/>
          </w:tcPr>
          <w:p>
            <w:r>
              <w:rPr>
                <w:b/>
                <w:sz w:val="17"/>
              </w:rPr>
              <w:t>Causa</w:t>
            </w:r>
          </w:p>
        </w:tc>
        <w:tc>
          <w:tcPr>
            <w:tcW w:type="dxa" w:w="518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Qual processo gerou o resultado: trânsito externo, obras, demanda não planejada, ausência de cadastro, entrada de novos empregados sem aviso, uso de linhas não mapeadas ou falha de roteirização.</w:t>
            </w:r>
          </w:p>
        </w:tc>
      </w:tr>
      <w:tr>
        <w:tc>
          <w:tcPr>
            <w:tcW w:type="dxa" w:w="5184"/>
            <w:tcMar>
              <w:top w:w="120" w:type="dxa"/>
              <w:start w:w="120" w:type="dxa"/>
              <w:bottom w:w="120" w:type="dxa"/>
              <w:end w:w="120" w:type="dxa"/>
            </w:tcMar>
            <w:shd w:fill="F0F7F6"/>
          </w:tcPr>
          <w:p>
            <w:r>
              <w:rPr>
                <w:b/>
                <w:sz w:val="17"/>
              </w:rPr>
              <w:t>Solução</w:t>
            </w:r>
          </w:p>
        </w:tc>
        <w:tc>
          <w:tcPr>
            <w:tcW w:type="dxa" w:w="518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Qual ação corrige ou estabiliza o processo: antecipação seletiva de rotas, alteração de rota, integração com RH, prazo mínimo para mobilização de veículo, cadastro/fidelização de passageiros e roteirização inteligente.</w:t>
            </w:r>
          </w:p>
        </w:tc>
      </w:tr>
    </w:tbl>
    <w:p>
      <w:pPr>
        <w:spacing w:after="160"/>
      </w:pPr>
    </w:p>
    <w:p>
      <w:pPr>
        <w:pStyle w:val="Heading1"/>
        <w:spacing w:before="0" w:after="120" w:line="259" w:lineRule="auto"/>
      </w:pPr>
      <w:r>
        <w:rPr>
          <w:b w:val="0"/>
          <w:i w:val="0"/>
        </w:rPr>
        <w:t>3. Análise por gerência</w:t>
      </w:r>
    </w:p>
    <w:p>
      <w:pPr>
        <w:pStyle w:val="Heading2"/>
        <w:spacing w:before="0" w:after="120" w:line="259" w:lineRule="auto"/>
      </w:pPr>
      <w:r>
        <w:rPr>
          <w:b w:val="0"/>
          <w:i w:val="0"/>
        </w:rPr>
        <w:t>3.1 GER Serra Norte (Carajás) - Rodolfo Lenza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664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4536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Causa raiz / leitura de processo</w:t>
            </w:r>
          </w:p>
        </w:tc>
        <w:tc>
          <w:tcPr>
            <w:tcW w:type="dxa" w:w="3672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Solução / encaminhamento</w:t>
            </w:r>
          </w:p>
        </w:tc>
      </w:tr>
      <w:tr>
        <w:tc>
          <w:tcPr>
            <w:tcW w:type="dxa" w:w="151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0F7F6"/>
          </w:tcPr>
          <w:p>
            <w:r>
              <w:rPr>
                <w:b/>
                <w:sz w:val="17"/>
              </w:rPr>
              <w:t>PTL</w:t>
            </w:r>
          </w:p>
        </w:tc>
        <w:tc>
          <w:tcPr>
            <w:tcW w:type="dxa" w:w="266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Pontualidade impactada por fatores externos recorrentes.</w:t>
            </w:r>
          </w:p>
        </w:tc>
        <w:tc>
          <w:tcPr>
            <w:tcW w:type="dxa" w:w="453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A leitura de processo indica dependência relevante do ambiente externo: obras, pare e siga, congestionamentos e necessidade de controle dinâmico de rotas.</w:t>
            </w:r>
          </w:p>
        </w:tc>
        <w:tc>
          <w:tcPr>
            <w:tcW w:type="dxa" w:w="367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Manter ações de contingenciamento, revisão dinâmica dos horários de saída, antecipação seletiva das viagens críticas e monitoramento do efeito das obras.</w:t>
            </w:r>
          </w:p>
        </w:tc>
      </w:tr>
      <w:tr>
        <w:tc>
          <w:tcPr>
            <w:tcW w:type="dxa" w:w="151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0F7F6"/>
          </w:tcPr>
          <w:p>
            <w:r>
              <w:rPr>
                <w:b/>
                <w:sz w:val="17"/>
              </w:rPr>
              <w:t>OVBK</w:t>
            </w:r>
          </w:p>
        </w:tc>
        <w:tc>
          <w:tcPr>
            <w:tcW w:type="dxa" w:w="266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Persistência de ocupação acima da capacidade planejada em rotas específicas.</w:t>
            </w:r>
          </w:p>
        </w:tc>
        <w:tc>
          <w:tcPr>
            <w:tcW w:type="dxa" w:w="453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A causa estruturante é falta de previsibilidade da demanda: entrada de empregados e movimentações sem acionamento prévio suficiente para dimensionar frota e assentos.</w:t>
            </w:r>
          </w:p>
        </w:tc>
        <w:tc>
          <w:tcPr>
            <w:tcW w:type="dxa" w:w="367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Integrar RH, áreas operacionais e Transportes; definir prazo mínimo para sinalização de novas entradas; revisar capacidade por rota e reforçar frota quando necessário.</w:t>
            </w:r>
          </w:p>
        </w:tc>
      </w:tr>
    </w:tbl>
    <w:p>
      <w:pPr>
        <w:spacing w:after="160"/>
      </w:pPr>
    </w:p>
    <w:p>
      <w:pPr>
        <w:spacing w:before="0" w:after="120" w:line="259" w:lineRule="auto"/>
      </w:pPr>
      <w:r>
        <w:rPr>
          <w:b w:val="0"/>
          <w:i/>
          <w:color w:val="566573"/>
        </w:rPr>
        <w:t>Narrativa executiva sugerida: em Carajás, o ponto central não é apenas o número do indicador, mas a capacidade do processo de antecipar interferências externas e variações de demanda. A solução deve combinar contingência operacional de rota com governança de demanda.</w:t>
      </w:r>
    </w:p>
    <w:p>
      <w:pPr>
        <w:pStyle w:val="Heading2"/>
        <w:spacing w:before="0" w:after="120" w:line="259" w:lineRule="auto"/>
      </w:pPr>
      <w:r>
        <w:rPr>
          <w:b w:val="0"/>
          <w:i w:val="0"/>
        </w:rPr>
        <w:t>3.2 GER São Luís e EFC - Rafael Oliveira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664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4536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Causa raiz / leitura de processo</w:t>
            </w:r>
          </w:p>
        </w:tc>
        <w:tc>
          <w:tcPr>
            <w:tcW w:type="dxa" w:w="3672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Solução / encaminhamento</w:t>
            </w:r>
          </w:p>
        </w:tc>
      </w:tr>
      <w:tr>
        <w:tc>
          <w:tcPr>
            <w:tcW w:type="dxa" w:w="151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0F7F6"/>
          </w:tcPr>
          <w:p>
            <w:r>
              <w:rPr>
                <w:b/>
                <w:sz w:val="17"/>
              </w:rPr>
              <w:t>PTL</w:t>
            </w:r>
          </w:p>
        </w:tc>
        <w:tc>
          <w:tcPr>
            <w:tcW w:type="dxa" w:w="266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Atrasos persistentes associados à mobilidade urbana e trânsito metropolitano.</w:t>
            </w:r>
          </w:p>
        </w:tc>
        <w:tc>
          <w:tcPr>
            <w:tcW w:type="dxa" w:w="453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A operação sofre influência direta de elementos externos, como congestionamentos, obras e condições variáveis de acesso. A análise deve separar atraso operacional de atraso causado por ambiente externo.</w:t>
            </w:r>
          </w:p>
        </w:tc>
        <w:tc>
          <w:tcPr>
            <w:tcW w:type="dxa" w:w="367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Ajustar horários críticos, antecipar linhas com maior risco, avaliar rotas com reincidência de atraso e revisar a malha de atendimento conforme comportamento do trânsito.</w:t>
            </w:r>
          </w:p>
        </w:tc>
      </w:tr>
      <w:tr>
        <w:tc>
          <w:tcPr>
            <w:tcW w:type="dxa" w:w="151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0F7F6"/>
          </w:tcPr>
          <w:p>
            <w:r>
              <w:rPr>
                <w:b/>
                <w:sz w:val="17"/>
              </w:rPr>
              <w:t>OVBK</w:t>
            </w:r>
          </w:p>
        </w:tc>
        <w:tc>
          <w:tcPr>
            <w:tcW w:type="dxa" w:w="266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Oscilação de demanda por entrada e movimentação de colaboradores.</w:t>
            </w:r>
          </w:p>
        </w:tc>
        <w:tc>
          <w:tcPr>
            <w:tcW w:type="dxa" w:w="453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O processo de planejamento pode não estar capturando tempestivamente novas admissões, treinamentos presenciais ou deslocamentos extraordinários, elevando a pressão de ocupação.</w:t>
            </w:r>
          </w:p>
        </w:tc>
        <w:tc>
          <w:tcPr>
            <w:tcW w:type="dxa" w:w="367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Inserir Transportes no processo de onboarding, comunicar admissões com antecedência, planejar rotas afetadas e prever reforço de frota antes da entrada efetiva dos empregados.</w:t>
            </w:r>
          </w:p>
        </w:tc>
      </w:tr>
    </w:tbl>
    <w:p>
      <w:pPr>
        <w:spacing w:after="160"/>
      </w:pPr>
    </w:p>
    <w:p>
      <w:pPr>
        <w:spacing w:before="0" w:after="120" w:line="259" w:lineRule="auto"/>
      </w:pPr>
      <w:r>
        <w:rPr>
          <w:b w:val="0"/>
          <w:i/>
          <w:color w:val="566573"/>
        </w:rPr>
        <w:t>Narrativa executiva sugerida: em São Luís e EFC, o desafio é transformar dados de atrasos e ocupação em ajustes preventivos de rota, principalmente nas rotas mais expostas ao trânsito metropolitano e aos picos de demanda.</w:t>
      </w:r>
    </w:p>
    <w:p>
      <w:pPr>
        <w:pStyle w:val="Heading2"/>
        <w:spacing w:before="0" w:after="120" w:line="259" w:lineRule="auto"/>
      </w:pPr>
      <w:r>
        <w:rPr>
          <w:b w:val="0"/>
          <w:i w:val="0"/>
        </w:rPr>
        <w:t>3.3 GER Serra Sul (S11D) - Vladimir Gomes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664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4536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Causa raiz / leitura de processo</w:t>
            </w:r>
          </w:p>
        </w:tc>
        <w:tc>
          <w:tcPr>
            <w:tcW w:type="dxa" w:w="3672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Solução / encaminhamento</w:t>
            </w:r>
          </w:p>
        </w:tc>
      </w:tr>
      <w:tr>
        <w:tc>
          <w:tcPr>
            <w:tcW w:type="dxa" w:w="151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0F7F6"/>
          </w:tcPr>
          <w:p>
            <w:r>
              <w:rPr>
                <w:b/>
                <w:sz w:val="17"/>
              </w:rPr>
              <w:t>PTL</w:t>
            </w:r>
          </w:p>
        </w:tc>
        <w:tc>
          <w:tcPr>
            <w:tcW w:type="dxa" w:w="266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Pontualidade abaixo ou instável em parte das rotas.</w:t>
            </w:r>
          </w:p>
        </w:tc>
        <w:tc>
          <w:tcPr>
            <w:tcW w:type="dxa" w:w="453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A leitura de processo aponta necessidade de melhorar a inteligência de roteirização e entender se o desvio está concentrado em rota, turno, localidade ou causa externa específica.</w:t>
            </w:r>
          </w:p>
        </w:tc>
        <w:tc>
          <w:tcPr>
            <w:tcW w:type="dxa" w:w="367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Estratificar atrasos por linha, turno e localidade; iniciar otimização das rotas; avaliar roteirização inteligente e manter acompanhamento de rotas críticas.</w:t>
            </w:r>
          </w:p>
        </w:tc>
      </w:tr>
      <w:tr>
        <w:tc>
          <w:tcPr>
            <w:tcW w:type="dxa" w:w="151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0F7F6"/>
          </w:tcPr>
          <w:p>
            <w:r>
              <w:rPr>
                <w:b/>
                <w:sz w:val="17"/>
              </w:rPr>
              <w:t>OVBK</w:t>
            </w:r>
          </w:p>
        </w:tc>
        <w:tc>
          <w:tcPr>
            <w:tcW w:type="dxa" w:w="2664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Aumento de utilização não planejada e risco de lotação em linhas específicas.</w:t>
            </w:r>
          </w:p>
        </w:tc>
        <w:tc>
          <w:tcPr>
            <w:tcW w:type="dxa" w:w="453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A causa de processo é ausência ou fragilidade de cadastro/fidelização de passageiros por linha, permitindo uso não mapeado e reduzindo a capacidade de planejamento.</w:t>
            </w:r>
          </w:p>
        </w:tc>
        <w:tc>
          <w:tcPr>
            <w:tcW w:type="dxa" w:w="3672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sz w:val="17"/>
              </w:rPr>
              <w:t>Implantar cadastro obrigatório de passageiros, controlar utilização por linha, fidelizar usuário à rota e usar sistema de gestão de ocupação.</w:t>
            </w:r>
          </w:p>
        </w:tc>
      </w:tr>
    </w:tbl>
    <w:p>
      <w:pPr>
        <w:spacing w:after="160"/>
      </w:pPr>
    </w:p>
    <w:p>
      <w:pPr>
        <w:spacing w:before="0" w:after="120" w:line="259" w:lineRule="auto"/>
      </w:pPr>
      <w:r>
        <w:rPr>
          <w:b w:val="0"/>
          <w:i/>
          <w:color w:val="566573"/>
        </w:rPr>
        <w:t>Narrativa executiva sugerida: em Serra Sul, o indicador deve ser usado para identificar onde falta previsibilidade: cadastro, aderência à rota, demanda por turno e efetividade da malha atual.</w:t>
      </w:r>
    </w:p>
    <w:p>
      <w:pPr>
        <w:pStyle w:val="Heading1"/>
        <w:spacing w:before="0" w:after="120" w:line="259" w:lineRule="auto"/>
      </w:pPr>
      <w:r>
        <w:rPr>
          <w:b w:val="0"/>
          <w:i w:val="0"/>
        </w:rPr>
        <w:t>4. Quadro executivo consolidado para slide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376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Gerência</w:t>
            </w:r>
          </w:p>
        </w:tc>
        <w:tc>
          <w:tcPr>
            <w:tcW w:type="dxa" w:w="2952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4104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Causa raiz</w:t>
            </w:r>
          </w:p>
        </w:tc>
        <w:tc>
          <w:tcPr>
            <w:tcW w:type="dxa" w:w="3240"/>
            <w:shd w:fill="007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Solução</w:t>
            </w:r>
          </w:p>
        </w:tc>
      </w:tr>
      <w:tr>
        <w:tc>
          <w:tcPr>
            <w:tcW w:type="dxa" w:w="2376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  <w:shd w:fill="F0F7F6"/>
          </w:tcPr>
          <w:p>
            <w:r>
              <w:rPr>
                <w:b/>
                <w:sz w:val="16"/>
              </w:rPr>
              <w:t>Carajás</w:t>
            </w:r>
          </w:p>
        </w:tc>
        <w:tc>
          <w:tcPr>
            <w:tcW w:type="dxa" w:w="2952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PTL impactado por atrasos recorrentes.</w:t>
            </w:r>
          </w:p>
        </w:tc>
        <w:tc>
          <w:tcPr>
            <w:tcW w:type="dxa" w:w="4104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Interferências externas e necessidade de contingência de rota.</w:t>
            </w:r>
          </w:p>
        </w:tc>
        <w:tc>
          <w:tcPr>
            <w:tcW w:type="dxa" w:w="3240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Ajuste de rotas e horários; monitoramento contínuo.</w:t>
            </w:r>
          </w:p>
        </w:tc>
      </w:tr>
      <w:tr>
        <w:tc>
          <w:tcPr>
            <w:tcW w:type="dxa" w:w="2376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  <w:shd w:fill="F0F7F6"/>
          </w:tcPr>
          <w:p>
            <w:r>
              <w:rPr>
                <w:b/>
                <w:sz w:val="16"/>
              </w:rPr>
              <w:t>Carajás</w:t>
            </w:r>
          </w:p>
        </w:tc>
        <w:tc>
          <w:tcPr>
            <w:tcW w:type="dxa" w:w="2952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OVBK pressionado por demanda acima do planejado.</w:t>
            </w:r>
          </w:p>
        </w:tc>
        <w:tc>
          <w:tcPr>
            <w:tcW w:type="dxa" w:w="4104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Novas entradas/movimentações sem planejamento integrado.</w:t>
            </w:r>
          </w:p>
        </w:tc>
        <w:tc>
          <w:tcPr>
            <w:tcW w:type="dxa" w:w="3240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Integração RH + Transportes; dimensionamento antecipado de frota.</w:t>
            </w:r>
          </w:p>
        </w:tc>
      </w:tr>
      <w:tr>
        <w:tc>
          <w:tcPr>
            <w:tcW w:type="dxa" w:w="2376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  <w:shd w:fill="F0F7F6"/>
          </w:tcPr>
          <w:p>
            <w:r>
              <w:rPr>
                <w:b/>
                <w:sz w:val="16"/>
              </w:rPr>
              <w:t>São Luís e EFC</w:t>
            </w:r>
          </w:p>
        </w:tc>
        <w:tc>
          <w:tcPr>
            <w:tcW w:type="dxa" w:w="2952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PTL impactado pelo trânsito metropolitano.</w:t>
            </w:r>
          </w:p>
        </w:tc>
        <w:tc>
          <w:tcPr>
            <w:tcW w:type="dxa" w:w="4104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Congestionamentos, obras e vias com maior exposição a atrasos.</w:t>
            </w:r>
          </w:p>
        </w:tc>
        <w:tc>
          <w:tcPr>
            <w:tcW w:type="dxa" w:w="3240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Revisão de horários e rotas críticas; antecipações pontuais.</w:t>
            </w:r>
          </w:p>
        </w:tc>
      </w:tr>
      <w:tr>
        <w:tc>
          <w:tcPr>
            <w:tcW w:type="dxa" w:w="2376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  <w:shd w:fill="F0F7F6"/>
          </w:tcPr>
          <w:p>
            <w:r>
              <w:rPr>
                <w:b/>
                <w:sz w:val="16"/>
              </w:rPr>
              <w:t>São Luís e EFC</w:t>
            </w:r>
          </w:p>
        </w:tc>
        <w:tc>
          <w:tcPr>
            <w:tcW w:type="dxa" w:w="2952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OVBK com oscilação de demanda.</w:t>
            </w:r>
          </w:p>
        </w:tc>
        <w:tc>
          <w:tcPr>
            <w:tcW w:type="dxa" w:w="4104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Admissões, treinamentos ou deslocamentos não previstos.</w:t>
            </w:r>
          </w:p>
        </w:tc>
        <w:tc>
          <w:tcPr>
            <w:tcW w:type="dxa" w:w="3240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Participação de Transportes no onboarding e planejamento das admissões.</w:t>
            </w:r>
          </w:p>
        </w:tc>
      </w:tr>
      <w:tr>
        <w:tc>
          <w:tcPr>
            <w:tcW w:type="dxa" w:w="2376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  <w:shd w:fill="F0F7F6"/>
          </w:tcPr>
          <w:p>
            <w:r>
              <w:rPr>
                <w:b/>
                <w:sz w:val="16"/>
              </w:rPr>
              <w:t>Serra Sul</w:t>
            </w:r>
          </w:p>
        </w:tc>
        <w:tc>
          <w:tcPr>
            <w:tcW w:type="dxa" w:w="2952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PTL com oportunidade de estabilidade.</w:t>
            </w:r>
          </w:p>
        </w:tc>
        <w:tc>
          <w:tcPr>
            <w:tcW w:type="dxa" w:w="4104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Roteirização e diagnóstico por rota/turno ainda precisam ser fortalecidos.</w:t>
            </w:r>
          </w:p>
        </w:tc>
        <w:tc>
          <w:tcPr>
            <w:tcW w:type="dxa" w:w="3240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Estratificação por linha e projeto de otimização/roteirização.</w:t>
            </w:r>
          </w:p>
        </w:tc>
      </w:tr>
      <w:tr>
        <w:tc>
          <w:tcPr>
            <w:tcW w:type="dxa" w:w="2376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  <w:shd w:fill="F0F7F6"/>
          </w:tcPr>
          <w:p>
            <w:r>
              <w:rPr>
                <w:b/>
                <w:sz w:val="16"/>
              </w:rPr>
              <w:t>Serra Sul</w:t>
            </w:r>
          </w:p>
        </w:tc>
        <w:tc>
          <w:tcPr>
            <w:tcW w:type="dxa" w:w="2952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OVBK com risco por uso não planejado de linhas.</w:t>
            </w:r>
          </w:p>
        </w:tc>
        <w:tc>
          <w:tcPr>
            <w:tcW w:type="dxa" w:w="4104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Passageiros não cadastrados/fidelizados à rota.</w:t>
            </w:r>
          </w:p>
        </w:tc>
        <w:tc>
          <w:tcPr>
            <w:tcW w:type="dxa" w:w="3240"/>
            <w:tcMar>
              <w:top w:w="125" w:type="dxa"/>
              <w:start w:w="125" w:type="dxa"/>
              <w:bottom w:w="125" w:type="dxa"/>
              <w:end w:w="125" w:type="dxa"/>
            </w:tcMar>
            <w:vAlign w:val="center"/>
          </w:tcPr>
          <w:p>
            <w:r>
              <w:rPr>
                <w:sz w:val="16"/>
              </w:rPr>
              <w:t>Cadastro obrigatório, fidelização e gestão de ocupação.</w:t>
            </w:r>
          </w:p>
        </w:tc>
      </w:tr>
    </w:tbl>
    <w:p>
      <w:pPr>
        <w:pStyle w:val="Heading1"/>
        <w:spacing w:before="0" w:after="120" w:line="259" w:lineRule="auto"/>
      </w:pPr>
      <w:r>
        <w:rPr>
          <w:b w:val="0"/>
          <w:i w:val="0"/>
        </w:rPr>
        <w:t>5. Ganhos e riscos do processo</w:t>
      </w:r>
    </w:p>
    <w:p>
      <w:pPr>
        <w:pStyle w:val="Heading2"/>
        <w:spacing w:before="0" w:after="120" w:line="259" w:lineRule="auto"/>
      </w:pPr>
      <w:r>
        <w:rPr>
          <w:b w:val="0"/>
          <w:i w:val="0"/>
        </w:rPr>
        <w:t>Ganhos esperados</w:t>
      </w:r>
    </w:p>
    <w:p>
      <w:pPr>
        <w:pStyle w:val="ListBullet"/>
      </w:pPr>
      <w:r>
        <w:t>Transformar a apresentação em uma leitura executiva de processo, não apenas de resultado numérico.</w:t>
      </w:r>
    </w:p>
    <w:p>
      <w:pPr>
        <w:pStyle w:val="ListBullet"/>
      </w:pPr>
      <w:r>
        <w:t>Aumentar a clareza das responsabilidades entre Transportes, RH e áreas operacionais.</w:t>
      </w:r>
    </w:p>
    <w:p>
      <w:pPr>
        <w:pStyle w:val="ListBullet"/>
      </w:pPr>
      <w:r>
        <w:t>Melhorar a previsibilidade de frota, ocupação e pontualidade por rota.</w:t>
      </w:r>
    </w:p>
    <w:p>
      <w:pPr>
        <w:pStyle w:val="ListBullet"/>
      </w:pPr>
      <w:r>
        <w:t>Reduzir ações reativas por meio de gatilhos de antecipação de demanda e alteração de rota.</w:t>
      </w:r>
    </w:p>
    <w:p>
      <w:pPr>
        <w:pStyle w:val="Heading2"/>
        <w:spacing w:before="0" w:after="120" w:line="259" w:lineRule="auto"/>
      </w:pPr>
      <w:r>
        <w:rPr>
          <w:b w:val="0"/>
          <w:i w:val="0"/>
        </w:rPr>
        <w:t>Riscos se as ações não forem tratadas</w:t>
      </w:r>
    </w:p>
    <w:p>
      <w:pPr>
        <w:pStyle w:val="ListBullet"/>
      </w:pPr>
      <w:r>
        <w:t>Manutenção de atrasos recorrentes por dependência de fatores externos sem plano de contingência.</w:t>
      </w:r>
    </w:p>
    <w:p>
      <w:pPr>
        <w:pStyle w:val="ListBullet"/>
      </w:pPr>
      <w:r>
        <w:t>Sobrecarga de linhas por admissões, treinamentos ou movimentações sem comunicação prévia.</w:t>
      </w:r>
    </w:p>
    <w:p>
      <w:pPr>
        <w:pStyle w:val="ListBullet"/>
      </w:pPr>
      <w:r>
        <w:t>Dificuldade de defender o indicador em fórum executivo se a causa raiz não estiver ligada a processo.</w:t>
      </w:r>
    </w:p>
    <w:p>
      <w:pPr>
        <w:pStyle w:val="ListBullet"/>
      </w:pPr>
      <w:r>
        <w:t>Perda de confiança do usuário no transporte coletivo por atrasos, lotação e falta de previsibilidade.</w:t>
      </w:r>
    </w:p>
    <w:p>
      <w:pPr>
        <w:pStyle w:val="Heading1"/>
        <w:spacing w:before="0" w:after="120" w:line="259" w:lineRule="auto"/>
      </w:pPr>
      <w:r>
        <w:rPr>
          <w:b w:val="0"/>
          <w:i w:val="0"/>
        </w:rPr>
        <w:t>6. Texto pronto para fala na apresentação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DAD7"/>
          <w:left w:val="single" w:sz="6" w:space="0" w:color="B7DAD7"/>
          <w:bottom w:val="single" w:sz="6" w:space="0" w:color="B7DAD7"/>
          <w:right w:val="single" w:sz="6" w:space="0" w:color="B7DAD7"/>
          <w:insideH w:val="single" w:sz="6" w:space="0" w:color="B7DAD7"/>
          <w:insideV w:val="single" w:sz="6" w:space="0" w:color="B7DAD7"/>
        </w:tblBorders>
      </w:tblPr>
      <w:tblGrid>
        <w:gridCol w:w="10368"/>
      </w:tblGrid>
      <w:tr>
        <w:tc>
          <w:tcPr>
            <w:tcW w:type="dxa" w:w="10368"/>
            <w:shd w:fill="FFF8E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b/>
                <w:color w:val="007E79"/>
                <w:sz w:val="22"/>
              </w:rPr>
              <w:t>Fala sugerida</w:t>
            </w:r>
          </w:p>
          <w:p>
            <w:pPr>
              <w:spacing w:after="0"/>
            </w:pPr>
            <w:r>
              <w:rPr>
                <w:color w:val="1F2933"/>
                <w:sz w:val="20"/>
              </w:rPr>
              <w:t>A leitura dos indicadores de Transportes da DIR Norte deve seguir o direcionamento discutido na reunião de 15/07: o indicador é consequência do processo. Para PTL, os desvios devem ser analisados a partir das rotas e condições externas que geram atraso, como obras, trânsito e necessidade de roteirização mais dinâmica. Para OVBK, a causa central está na previsibilidade da demanda, especialmente na integração entre RH, áreas operacionais e Transportes para antecipar admissões, treinamentos e movimentações. A proposta de solução é fortalecer o planejamento integrado, o cadastro/fidelização dos passageiros e a atuação preventiva nas rotas críticas.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Resumo MCS Transportes DIR Norte | Reunião 15/07/2026 | Preparado para uso executivo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7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5f815e-6d54-4235-a450-1761f496af92}" enabled="1" method="Standard" siteId="{7893571b-6c2c-4cef-b4da-7d4b266a062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Resumo MCS Transportes DIR Norte - 15/07/2026</dc:title>
  <dc:subject>MCS PTL e OVBK para apresentação executiva</dc:subject>
  <dc:creator>Yuri Gregorio</dc:creator>
  <keywords>Transportes, DIR Norte, PTL, OVBK, MCS, Vale</keywords>
  <dc:description>Documento gerado automaticamente a partir de resumo da transcrição e análise solicitada pelo usuário.</dc:description>
  <lastModifiedBy>Yuri Gregorio</lastModifiedBy>
  <revision>1</revision>
  <dcterms:created xsi:type="dcterms:W3CDTF">2026-07-15T22:07:55.0105587Z</dcterms:created>
  <dcterms:modified xsi:type="dcterms:W3CDTF">2026-07-15T22:07:55.0105587Z</dcterms:modified>
  <category/>
</coreProperties>
</file>