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3B933AB4" w:rsidR="00606C1B" w:rsidRPr="006C4359" w:rsidRDefault="00A73CAD" w:rsidP="00606C1B">
            <w:pPr>
              <w:pStyle w:val="JHEPBody"/>
              <w:rPr>
                <w:bCs/>
                <w:sz w:val="22"/>
                <w:lang w:bidi="en-US"/>
              </w:rPr>
            </w:pPr>
            <w:r w:rsidRPr="006C4359">
              <w:rPr>
                <w:bCs/>
                <w:sz w:val="22"/>
                <w:lang w:bidi="en-US"/>
              </w:rPr>
              <w:fldChar w:fldCharType="begin"/>
            </w:r>
            <w:r w:rsidR="00C960DC">
              <w:rPr>
                <w:bCs/>
                <w:sz w:val="22"/>
                <w:lang w:bidi="en-US"/>
              </w:rPr>
              <w:instrText xml:space="preserve"> ADDIN ZOTERO_ITEM CSL_CITATION {"citationID":"OOBPxf4O","properties":{"formattedCitation":"(Rivera et al.)","plainCitation":"(Rivera et al.)","noteIndex":0},"citationItems":[{"id":"sgkLrpe5/ekF46afO","uris":["http://zotero.org/users/7286058/items/8Y7ZC3GS"],"itemData":{"id":4700,"type":"article-journal","abstract":"The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65A84C5A" w14:textId="2B00CD23" w:rsidR="00702033" w:rsidRPr="007D53EB" w:rsidRDefault="00702033" w:rsidP="00702033">
      <w:pPr>
        <w:pStyle w:val="JHEPBody"/>
        <w:numPr>
          <w:ilvl w:val="0"/>
          <w:numId w:val="33"/>
        </w:numPr>
        <w:spacing w:line="480" w:lineRule="auto"/>
        <w:rPr>
          <w:sz w:val="22"/>
        </w:rPr>
      </w:pPr>
      <w:r w:rsidRPr="00874999">
        <w:rPr>
          <w:b/>
          <w:bCs/>
          <w:sz w:val="22"/>
        </w:rPr>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without with stem cells promotes survival and axonal growth and locomotor recovery </w:t>
      </w:r>
      <w:r>
        <w:rPr>
          <w:sz w:val="22"/>
        </w:rPr>
        <w:fldChar w:fldCharType="begin"/>
      </w:r>
      <w:r w:rsidR="00C960DC">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C960DC" w:rsidRPr="00C960DC">
        <w:rPr>
          <w:rFonts w:cs="Tahoma"/>
          <w:sz w:val="22"/>
        </w:rPr>
        <w:t>(Teng et al., “Functional Recovery Following Traumatic Spinal Cord Injury Mediated by a Unique Polymer Scaffold Seeded with Neural Stem Cells”)</w:t>
      </w:r>
      <w:r>
        <w:rPr>
          <w:sz w:val="22"/>
        </w:rPr>
        <w:fldChar w:fldCharType="end"/>
      </w:r>
      <w:r>
        <w:rPr>
          <w:sz w:val="22"/>
        </w:rPr>
        <w:t xml:space="preserve">. Animals or patients treated with OPC1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04860F9C" w14:textId="77777777" w:rsidR="00702033" w:rsidRPr="00AE39F6" w:rsidRDefault="00702033" w:rsidP="00702033">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26119144" w14:textId="77777777" w:rsidR="00702033" w:rsidRPr="00153359" w:rsidRDefault="00702033" w:rsidP="00702033">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w:t>
      </w:r>
      <w:proofErr w:type="spellStart"/>
      <w:r w:rsidRPr="00153359">
        <w:rPr>
          <w:sz w:val="22"/>
        </w:rPr>
        <w:t>cavation</w:t>
      </w:r>
      <w:proofErr w:type="spellEnd"/>
      <w:r w:rsidRPr="00153359">
        <w:rPr>
          <w:sz w:val="22"/>
        </w:rPr>
        <w:t xml:space="preserve">,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proofErr w:type="spellStart"/>
      <w:r>
        <w:rPr>
          <w:sz w:val="22"/>
        </w:rPr>
        <w:t>cavition</w:t>
      </w:r>
      <w:proofErr w:type="spellEnd"/>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0AFE9D05" w14:textId="77777777" w:rsidR="00702033" w:rsidRPr="00B43499" w:rsidRDefault="00702033" w:rsidP="00702033">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sidRPr="00B43499">
        <w:rPr>
          <w:sz w:val="22"/>
        </w:rPr>
        <w:t xml:space="preserve">; which resorbs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64DA8EF3" w14:textId="77777777" w:rsidR="00702033" w:rsidRDefault="00702033" w:rsidP="00702033">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 xml:space="preserve">microgrooves can have different diameters (0.5.mu.m. and 4.mu.m) and depths; and may be </w:t>
      </w:r>
      <w:proofErr w:type="spellStart"/>
      <w:r>
        <w:rPr>
          <w:sz w:val="22"/>
        </w:rPr>
        <w:t>be</w:t>
      </w:r>
      <w:proofErr w:type="spellEnd"/>
      <w:r>
        <w:rPr>
          <w:sz w:val="22"/>
        </w:rPr>
        <w:t xml:space="preserve"> seeded with growth factors and human neuronal stem cells such as OPC1s, to promote </w:t>
      </w:r>
      <w:r w:rsidRPr="00395F2E">
        <w:rPr>
          <w:sz w:val="22"/>
        </w:rPr>
        <w:t xml:space="preserve">interaction between neural stem cells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The OPC</w:t>
      </w:r>
      <w:r>
        <w:rPr>
          <w:sz w:val="22"/>
        </w:rPr>
        <w:t>1</w:t>
      </w:r>
      <w:r w:rsidRPr="00395F2E">
        <w:rPr>
          <w:sz w:val="22"/>
        </w:rPr>
        <w:t>s within the scaffold amplify the scaffold positive neural effect; promoting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2FAADAB8" w14:textId="77777777" w:rsidR="00702033" w:rsidRDefault="00702033" w:rsidP="00702033">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gives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48958189" w14:textId="77777777" w:rsidR="00702033" w:rsidRPr="00DB0FE0" w:rsidRDefault="00702033" w:rsidP="00702033">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AA40F0C" w14:textId="364EF4D2" w:rsidR="00274369" w:rsidRDefault="00974719" w:rsidP="00974719">
      <w:pPr>
        <w:pStyle w:val="Heading2"/>
      </w:pPr>
      <w:r>
        <w:t>E – Verification and Validation</w:t>
      </w:r>
    </w:p>
    <w:p w14:paraId="423F02EA" w14:textId="2A9A732F" w:rsidR="000E6E88" w:rsidRPr="000E6E88" w:rsidRDefault="00551058" w:rsidP="000E6E88">
      <w:pPr>
        <w:pStyle w:val="SubsectionTitle"/>
      </w:pPr>
      <w:r>
        <w:t>Verification</w:t>
      </w:r>
    </w:p>
    <w:p w14:paraId="14561E66" w14:textId="77777777" w:rsidR="00BC64EB" w:rsidRDefault="000E6E88" w:rsidP="00BC64EB">
      <w:pPr>
        <w:pStyle w:val="Heading6"/>
      </w:pPr>
      <w:r>
        <w:t xml:space="preserve">Scaffold With </w:t>
      </w:r>
      <w:r w:rsidRPr="00BC64EB">
        <w:t>Neural</w:t>
      </w:r>
      <w:r>
        <w:t xml:space="preserve">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Default="00BC64EB" w:rsidP="00BC64EB">
      <w:pPr>
        <w:pStyle w:val="Heading6"/>
        <w:rPr>
          <w:sz w:val="22"/>
          <w:szCs w:val="22"/>
        </w:rPr>
      </w:pPr>
      <w:r w:rsidRPr="00C960DC">
        <w:t>Internal Decompression of the Acutely Contused Spinal Cord</w:t>
      </w:r>
    </w:p>
    <w:p w14:paraId="1FF83F63" w14:textId="5048220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w:t>
      </w:r>
      <w:r w:rsidR="00AD1619" w:rsidRPr="00C960DC">
        <w:rPr>
          <w:bCs w:val="0"/>
          <w:sz w:val="22"/>
          <w:szCs w:val="22"/>
        </w:rPr>
        <w:lastRenderedPageBreak/>
        <w:t xml:space="preserve">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ID + scaffold reported a decrease in cavity volume (86%) and an increase of preserved tissue width (44%) relative to the untreated animal group. Compared to the 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C960DC" w:rsidRDefault="00BC64EB" w:rsidP="00BC64EB">
      <w:pPr>
        <w:pStyle w:val="Heading6"/>
        <w:rPr>
          <w:bCs/>
          <w:sz w:val="22"/>
          <w:szCs w:val="22"/>
          <w:lang w:bidi="en-US"/>
        </w:rPr>
      </w:pPr>
      <w:r w:rsidRPr="00C960DC">
        <w:t>Human Embryonic Stem Cell-Derived Oligodendrocyte Progenitor Cells</w:t>
      </w:r>
    </w:p>
    <w:p w14:paraId="6FB79872" w14:textId="05ADD91A" w:rsidR="00E46945" w:rsidRPr="004500BB" w:rsidRDefault="003A38B7" w:rsidP="004500BB">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57704189" w14:textId="77777777" w:rsidR="001B4A07"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p>
    <w:p w14:paraId="364A7E98" w14:textId="77777777" w:rsidR="00BC64EB" w:rsidRDefault="00BC64EB" w:rsidP="001B4A07">
      <w:pPr>
        <w:pStyle w:val="Body"/>
        <w:spacing w:line="480" w:lineRule="auto"/>
        <w:rPr>
          <w:b/>
          <w:bCs w:val="0"/>
          <w:sz w:val="22"/>
        </w:rPr>
      </w:pPr>
    </w:p>
    <w:p w14:paraId="64742778" w14:textId="6BEE76A5" w:rsidR="00551058" w:rsidRPr="001B4A07" w:rsidRDefault="00551058" w:rsidP="001B4A07">
      <w:pPr>
        <w:pStyle w:val="Body"/>
        <w:spacing w:line="480" w:lineRule="auto"/>
        <w:rPr>
          <w:b/>
          <w:bCs w:val="0"/>
          <w:sz w:val="22"/>
          <w:szCs w:val="22"/>
          <w:lang w:bidi="en-US"/>
        </w:rPr>
      </w:pPr>
      <w:r w:rsidRPr="001B4A07">
        <w:rPr>
          <w:b/>
          <w:bCs w:val="0"/>
          <w:sz w:val="22"/>
        </w:rPr>
        <w:lastRenderedPageBreak/>
        <w:t>Validation</w:t>
      </w:r>
    </w:p>
    <w:p w14:paraId="12715F15" w14:textId="2AFF9035"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420E5815" w14:textId="4E963C0D" w:rsidR="009A6BE4" w:rsidRPr="00AF0B31" w:rsidRDefault="008C2722" w:rsidP="0010363F">
      <w:pPr>
        <w:pStyle w:val="Body"/>
        <w:numPr>
          <w:ilvl w:val="0"/>
          <w:numId w:val="42"/>
        </w:numPr>
        <w:spacing w:line="480" w:lineRule="auto"/>
        <w:rPr>
          <w:sz w:val="22"/>
          <w:szCs w:val="22"/>
        </w:rPr>
      </w:pPr>
      <w:r w:rsidRPr="00C960DC">
        <w:rPr>
          <w:sz w:val="22"/>
          <w:szCs w:val="22"/>
        </w:rPr>
        <w:t xml:space="preserve">Lineage therapeutic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lastRenderedPageBreak/>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lastRenderedPageBreak/>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(Crossref)</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r w:rsidRPr="00C960DC">
        <w:rPr>
          <w:rFonts w:cs="Tahoma"/>
        </w:rPr>
        <w:t xml:space="preserve">Badner,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(Crossref)</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Wugui, et al. “NeuroRegen Scaffolds Combined with Autologous Bone Marrow Mononuclear Cells for the Repair of Acute Complete Spinal Cord Injury: A 3-Year Clinical Study.” </w:t>
      </w:r>
      <w:r w:rsidRPr="00C960DC">
        <w:rPr>
          <w:rFonts w:cs="Tahoma"/>
          <w:i/>
          <w:iCs/>
        </w:rPr>
        <w:t>Cell Transplantation</w:t>
      </w:r>
      <w:r w:rsidRPr="00C960DC">
        <w:rPr>
          <w:rFonts w:cs="Tahoma"/>
        </w:rPr>
        <w:t xml:space="preserve">, vol. 29, Jan. 2020, p. 096368972095063. </w:t>
      </w:r>
      <w:r w:rsidRPr="00C960DC">
        <w:rPr>
          <w:rFonts w:cs="Tahoma"/>
          <w:i/>
          <w:iCs/>
        </w:rPr>
        <w:t>DOI.org (Crossref)</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lastRenderedPageBreak/>
        <w:t xml:space="preserve">Cheng, Xiaoxin,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(Crossref)</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Jyaysi,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(Crossref)</w:t>
      </w:r>
      <w:r w:rsidRPr="00C960DC">
        <w:rPr>
          <w:rFonts w:cs="Tahoma"/>
        </w:rPr>
        <w:t>, https://doi.org/10.1016/j.molmed.2017.06.005.</w:t>
      </w:r>
    </w:p>
    <w:p w14:paraId="2CB0B00D" w14:textId="77777777" w:rsidR="00C960DC" w:rsidRPr="00C960DC" w:rsidRDefault="00C960DC" w:rsidP="00C960DC">
      <w:pPr>
        <w:pStyle w:val="Bibliography"/>
        <w:rPr>
          <w:rFonts w:cs="Tahoma"/>
        </w:rPr>
      </w:pPr>
      <w:r w:rsidRPr="00C960DC">
        <w:rPr>
          <w:rFonts w:cs="Tahoma"/>
        </w:rPr>
        <w:t xml:space="preserve">Dobkin,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Surgical Neurology 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r w:rsidRPr="00C960DC">
        <w:rPr>
          <w:rFonts w:cs="Tahoma"/>
        </w:rPr>
        <w:t xml:space="preserve">Fehlings, Michael G., et al. “A Clinical Practice Guideline for the Management of Patients With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t xml:space="preserve">Guest, James D., et al. “Internal Decompression of the Acutely Contused Spinal Cord: Differential Effects of Irrigation Only versus Biodegradable Scaffold Implantation.” </w:t>
      </w:r>
      <w:r w:rsidRPr="00C960DC">
        <w:rPr>
          <w:rFonts w:cs="Tahoma"/>
          <w:i/>
          <w:iCs/>
        </w:rPr>
        <w:lastRenderedPageBreak/>
        <w:t>Biomaterials</w:t>
      </w:r>
      <w:r w:rsidRPr="00C960DC">
        <w:rPr>
          <w:rFonts w:cs="Tahoma"/>
        </w:rPr>
        <w:t xml:space="preserve">, vol. 185, Dec. 2018, pp. 284–300. </w:t>
      </w:r>
      <w:r w:rsidRPr="00C960DC">
        <w:rPr>
          <w:rFonts w:cs="Tahoma"/>
          <w:i/>
          <w:iCs/>
        </w:rPr>
        <w:t>DOI.org (Crossref)</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r w:rsidRPr="00C960DC">
        <w:rPr>
          <w:rFonts w:cs="Tahoma"/>
        </w:rPr>
        <w:t xml:space="preserve">Kaneva,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(Crossref)</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With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 xml:space="preserve">Lee, Byung-Jou, and Je Hoon Jeong. “Review: Steroid Use in Patients With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(Crossref)</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(Crossref)</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no. 3, Sept. 2011, pp. 238–51. </w:t>
      </w:r>
      <w:r w:rsidRPr="00C960DC">
        <w:rPr>
          <w:rFonts w:cs="Tahoma"/>
          <w:i/>
          <w:iCs/>
        </w:rPr>
        <w:t>DOI.org (Crossref)</w:t>
      </w:r>
      <w:r w:rsidRPr="00C960DC">
        <w:rPr>
          <w:rFonts w:cs="Tahoma"/>
        </w:rPr>
        <w:t>, https://doi.org/10.3171/2011.4.SPINE10543.</w:t>
      </w:r>
    </w:p>
    <w:p w14:paraId="54216451" w14:textId="77777777" w:rsidR="00C960DC" w:rsidRPr="00C960DC" w:rsidRDefault="00C960DC" w:rsidP="00C960DC">
      <w:pPr>
        <w:pStyle w:val="Bibliography"/>
        <w:rPr>
          <w:rFonts w:cs="Tahoma"/>
        </w:rPr>
      </w:pPr>
      <w:r w:rsidRPr="00C960DC">
        <w:rPr>
          <w:rFonts w:cs="Tahoma"/>
        </w:rPr>
        <w:lastRenderedPageBreak/>
        <w:t xml:space="preserve">Norenberg,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(Crossref)</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(Crossref)</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Wenrui,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(Crossref)</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r w:rsidRPr="00C960DC">
        <w:rPr>
          <w:rFonts w:cs="Tahoma"/>
        </w:rPr>
        <w:t xml:space="preserve">Slotkin,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(Crossref)</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(Crossref)</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lastRenderedPageBreak/>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(Crossref)</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(Crossref)</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(Crossref)</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r w:rsidRPr="00C960DC">
        <w:rPr>
          <w:rFonts w:cs="Tahoma"/>
        </w:rPr>
        <w:t xml:space="preserve">Valković,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(Crossref)</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lastRenderedPageBreak/>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r w:rsidRPr="00C960DC">
        <w:rPr>
          <w:rFonts w:cs="Tahoma"/>
        </w:rPr>
        <w:t xml:space="preserve">Wąsik, Norbert, et al. “Clusterin,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(Crossref)</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(Crossref)</w:t>
      </w:r>
      <w:r w:rsidRPr="00C960DC">
        <w:rPr>
          <w:rFonts w:cs="Tahoma"/>
        </w:rPr>
        <w:t>, https://doi.org/10.1016/j.expneurol.2009.03.037.</w:t>
      </w:r>
    </w:p>
    <w:p w14:paraId="00B184D1" w14:textId="77777777" w:rsidR="00C960DC" w:rsidRPr="00C960DC" w:rsidRDefault="00C960DC" w:rsidP="00C960DC">
      <w:pPr>
        <w:pStyle w:val="Bibliography"/>
        <w:rPr>
          <w:rFonts w:cs="Tahoma"/>
        </w:rPr>
      </w:pPr>
      <w:r w:rsidRPr="00C960DC">
        <w:rPr>
          <w:rFonts w:cs="Tahoma"/>
        </w:rPr>
        <w:t xml:space="preserve">Yoshitani,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(Crossref)</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t xml:space="preserve">Zou, Hong-jun,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801B" w14:textId="77777777" w:rsidR="00AB6599" w:rsidRDefault="00AB6599" w:rsidP="00B657A0">
      <w:r>
        <w:separator/>
      </w:r>
    </w:p>
  </w:endnote>
  <w:endnote w:type="continuationSeparator" w:id="0">
    <w:p w14:paraId="42682AFF" w14:textId="77777777" w:rsidR="00AB6599" w:rsidRDefault="00AB6599" w:rsidP="00B657A0">
      <w:r>
        <w:continuationSeparator/>
      </w:r>
    </w:p>
  </w:endnote>
  <w:endnote w:type="continuationNotice" w:id="1">
    <w:p w14:paraId="6FD17B45" w14:textId="77777777" w:rsidR="00AB6599" w:rsidRDefault="00AB6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0C6B2" w14:textId="77777777" w:rsidR="00AB6599" w:rsidRDefault="00AB6599" w:rsidP="00B657A0">
      <w:r>
        <w:separator/>
      </w:r>
    </w:p>
  </w:footnote>
  <w:footnote w:type="continuationSeparator" w:id="0">
    <w:p w14:paraId="5CD4A8E9" w14:textId="77777777" w:rsidR="00AB6599" w:rsidRDefault="00AB6599" w:rsidP="00B657A0">
      <w:r>
        <w:continuationSeparator/>
      </w:r>
    </w:p>
  </w:footnote>
  <w:footnote w:type="continuationNotice" w:id="1">
    <w:p w14:paraId="4DE7BED7" w14:textId="77777777" w:rsidR="00AB6599" w:rsidRDefault="00AB6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3"/>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0"/>
  </w:num>
  <w:num w:numId="13" w16cid:durableId="1999653488">
    <w:abstractNumId w:val="12"/>
  </w:num>
  <w:num w:numId="14" w16cid:durableId="1948655657">
    <w:abstractNumId w:val="38"/>
  </w:num>
  <w:num w:numId="15" w16cid:durableId="1426876100">
    <w:abstractNumId w:val="29"/>
  </w:num>
  <w:num w:numId="16" w16cid:durableId="148448031">
    <w:abstractNumId w:val="15"/>
  </w:num>
  <w:num w:numId="17" w16cid:durableId="432239574">
    <w:abstractNumId w:val="39"/>
  </w:num>
  <w:num w:numId="18" w16cid:durableId="1902785539">
    <w:abstractNumId w:val="10"/>
  </w:num>
  <w:num w:numId="19" w16cid:durableId="2016347357">
    <w:abstractNumId w:val="18"/>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9"/>
  </w:num>
  <w:num w:numId="26" w16cid:durableId="1839885816">
    <w:abstractNumId w:val="5"/>
  </w:num>
  <w:num w:numId="27" w16cid:durableId="1730300100">
    <w:abstractNumId w:val="17"/>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4"/>
  </w:num>
  <w:num w:numId="33" w16cid:durableId="687414347">
    <w:abstractNumId w:val="6"/>
  </w:num>
  <w:num w:numId="34" w16cid:durableId="313729409">
    <w:abstractNumId w:val="8"/>
  </w:num>
  <w:num w:numId="35" w16cid:durableId="125003735">
    <w:abstractNumId w:val="32"/>
  </w:num>
  <w:num w:numId="36" w16cid:durableId="1622567168">
    <w:abstractNumId w:val="34"/>
  </w:num>
  <w:num w:numId="37" w16cid:durableId="556285773">
    <w:abstractNumId w:val="16"/>
  </w:num>
  <w:num w:numId="38" w16cid:durableId="1016425218">
    <w:abstractNumId w:val="35"/>
  </w:num>
  <w:num w:numId="39" w16cid:durableId="1404329616">
    <w:abstractNumId w:val="4"/>
  </w:num>
  <w:num w:numId="40" w16cid:durableId="1481801130">
    <w:abstractNumId w:val="7"/>
  </w:num>
  <w:num w:numId="41" w16cid:durableId="820737566">
    <w:abstractNumId w:val="13"/>
  </w:num>
  <w:num w:numId="42" w16cid:durableId="1629970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2DB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173E"/>
    <w:rsid w:val="00B83268"/>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73</TotalTime>
  <Pages>20</Pages>
  <Words>22655</Words>
  <Characters>129140</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151493</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42</cp:revision>
  <cp:lastPrinted>2022-11-05T16:00:00Z</cp:lastPrinted>
  <dcterms:created xsi:type="dcterms:W3CDTF">2022-11-05T16:00:00Z</dcterms:created>
  <dcterms:modified xsi:type="dcterms:W3CDTF">2022-11-06T14:09:00Z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