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018DEAC6" w:rsidR="003F7429" w:rsidRDefault="003F7429" w:rsidP="003F7429">
      <w:pPr>
        <w:jc w:val="center"/>
        <w:rPr>
          <w:b/>
          <w:bCs/>
          <w:color w:val="0072CE" w:themeColor="text2"/>
          <w:sz w:val="36"/>
          <w:szCs w:val="36"/>
        </w:rPr>
      </w:pPr>
      <w:r w:rsidRPr="00CA4464">
        <w:rPr>
          <w:b/>
          <w:bCs/>
          <w:color w:val="0072CE" w:themeColor="text2"/>
          <w:sz w:val="36"/>
          <w:szCs w:val="36"/>
        </w:rPr>
        <w:t xml:space="preserve">A </w:t>
      </w:r>
      <w:r w:rsidR="00280C9D">
        <w:rPr>
          <w:b/>
          <w:bCs/>
          <w:color w:val="0072CE" w:themeColor="text2"/>
          <w:sz w:val="36"/>
          <w:szCs w:val="36"/>
        </w:rPr>
        <w:t>S</w:t>
      </w:r>
      <w:r w:rsidRPr="00CA4464">
        <w:rPr>
          <w:b/>
          <w:bCs/>
          <w:color w:val="0072CE" w:themeColor="text2"/>
          <w:sz w:val="36"/>
          <w:szCs w:val="36"/>
        </w:rPr>
        <w:t xml:space="preserve">pinal </w:t>
      </w:r>
      <w:r w:rsidR="00280C9D">
        <w:rPr>
          <w:b/>
          <w:bCs/>
          <w:color w:val="0072CE" w:themeColor="text2"/>
          <w:sz w:val="36"/>
          <w:szCs w:val="36"/>
        </w:rPr>
        <w:t>C</w:t>
      </w:r>
      <w:r w:rsidRPr="00CA4464">
        <w:rPr>
          <w:b/>
          <w:bCs/>
          <w:color w:val="0072CE" w:themeColor="text2"/>
          <w:sz w:val="36"/>
          <w:szCs w:val="36"/>
        </w:rPr>
        <w:t>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428630C8" w:rsidR="002733AE" w:rsidRPr="00483BCD" w:rsidRDefault="00280C9D" w:rsidP="002733AE">
      <w:pPr>
        <w:pStyle w:val="JHEPBody"/>
        <w:numPr>
          <w:ilvl w:val="0"/>
          <w:numId w:val="29"/>
        </w:numPr>
        <w:spacing w:line="480" w:lineRule="auto"/>
        <w:rPr>
          <w:bCs/>
          <w:sz w:val="22"/>
        </w:rPr>
      </w:pPr>
      <w:r>
        <w:rPr>
          <w:bCs/>
          <w:sz w:val="22"/>
        </w:rPr>
        <w:t>Thoracic spinal nerve</w:t>
      </w:r>
      <w:r w:rsidR="002733AE" w:rsidRPr="00483BCD">
        <w:rPr>
          <w:bCs/>
          <w:sz w:val="22"/>
        </w:rPr>
        <w:t xml:space="preserve"> is cross-clamped during SCI surgery.  For this specific surgery; risks of ischemia resulting in paraplegia are increased due to the distal localization of blood supply.</w:t>
      </w:r>
      <w:r w:rsidR="002733AE">
        <w:rPr>
          <w:bCs/>
          <w:sz w:val="22"/>
        </w:rPr>
        <w:t xml:space="preserve"> </w:t>
      </w:r>
      <w:r w:rsidR="002733AE"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002733AE" w:rsidRPr="00483BCD">
        <w:rPr>
          <w:bCs/>
          <w:sz w:val="22"/>
        </w:rPr>
        <w:fldChar w:fldCharType="begin"/>
      </w:r>
      <w:r w:rsidR="002733AE"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Reviews of CSF drainage outcomes have reached contradictory conclusions showing that </w:t>
      </w:r>
      <w:r w:rsidR="002733AE">
        <w:rPr>
          <w:bCs/>
          <w:sz w:val="22"/>
        </w:rPr>
        <w:t xml:space="preserve">in one hand; </w:t>
      </w:r>
      <w:r w:rsidR="002733AE" w:rsidRPr="00483BCD">
        <w:rPr>
          <w:bCs/>
          <w:sz w:val="22"/>
        </w:rPr>
        <w:t>in animal models or patients</w:t>
      </w:r>
      <w:r w:rsidR="002733AE">
        <w:rPr>
          <w:bCs/>
          <w:sz w:val="22"/>
        </w:rPr>
        <w:t xml:space="preserve">; </w:t>
      </w:r>
      <w:r w:rsidR="002733AE" w:rsidRPr="00483BCD">
        <w:rPr>
          <w:bCs/>
          <w:sz w:val="22"/>
        </w:rPr>
        <w:t xml:space="preserve">incidence of paraplegia decreased from 50% to 8% or even 90% </w:t>
      </w:r>
      <w:r w:rsidR="002733AE" w:rsidRPr="00483BCD">
        <w:rPr>
          <w:bCs/>
          <w:sz w:val="22"/>
        </w:rPr>
        <w:fldChar w:fldCharType="begin"/>
      </w:r>
      <w:r w:rsidR="002733AE"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w:t>
      </w:r>
      <w:r w:rsidR="002733AE">
        <w:rPr>
          <w:bCs/>
          <w:sz w:val="22"/>
        </w:rPr>
        <w:t>and</w:t>
      </w:r>
      <w:r w:rsidR="002733AE" w:rsidRPr="00483BCD">
        <w:rPr>
          <w:bCs/>
          <w:sz w:val="22"/>
        </w:rPr>
        <w:t xml:space="preserve"> the opposite</w:t>
      </w:r>
      <w:r w:rsidR="002733AE">
        <w:rPr>
          <w:bCs/>
          <w:sz w:val="22"/>
        </w:rPr>
        <w:t>: for example, a</w:t>
      </w:r>
      <w:r w:rsidR="002733AE" w:rsidRPr="00483BCD">
        <w:rPr>
          <w:bCs/>
          <w:sz w:val="22"/>
        </w:rPr>
        <w:t xml:space="preserve"> study</w:t>
      </w:r>
      <w:r w:rsidR="002733AE">
        <w:rPr>
          <w:bCs/>
          <w:sz w:val="22"/>
        </w:rPr>
        <w:t xml:space="preserve"> </w:t>
      </w:r>
      <w:r w:rsidR="002733AE" w:rsidRPr="00483BCD">
        <w:rPr>
          <w:bCs/>
          <w:sz w:val="22"/>
        </w:rPr>
        <w:t xml:space="preserve">reviewed the data of 12 hospitals between 2000 and 2013 where CSFD was performed without postoperative motor benefits </w:t>
      </w:r>
      <w:r w:rsidR="002733AE" w:rsidRPr="00483BCD">
        <w:rPr>
          <w:bCs/>
          <w:sz w:val="22"/>
        </w:rPr>
        <w:fldChar w:fldCharType="begin"/>
      </w:r>
      <w:r w:rsidR="002733AE"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2733AE" w:rsidRPr="00483BCD">
        <w:rPr>
          <w:bCs/>
          <w:sz w:val="22"/>
        </w:rPr>
        <w:fldChar w:fldCharType="separate"/>
      </w:r>
      <w:r w:rsidR="002733AE" w:rsidRPr="00483BCD">
        <w:rPr>
          <w:bCs/>
          <w:noProof/>
          <w:sz w:val="22"/>
        </w:rPr>
        <w:t>(Yoshitani et al.)</w:t>
      </w:r>
      <w:r w:rsidR="002733AE" w:rsidRPr="00483BCD">
        <w:rPr>
          <w:bCs/>
          <w:sz w:val="22"/>
        </w:rPr>
        <w:fldChar w:fldCharType="end"/>
      </w:r>
      <w:r w:rsidR="002733AE"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794DF8">
      <w:pPr>
        <w:pStyle w:val="JHEPBody"/>
        <w:spacing w:line="480" w:lineRule="auto"/>
        <w:ind w:left="360"/>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0454B38E" w14:textId="6D8C8133" w:rsidR="008B2474" w:rsidRPr="00056DB8" w:rsidRDefault="00274369" w:rsidP="008B2474">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8B2474" w:rsidRPr="00773149" w14:paraId="5FB7166D" w14:textId="77777777" w:rsidTr="009B6F3F">
        <w:trPr>
          <w:trHeight w:val="220"/>
        </w:trPr>
        <w:tc>
          <w:tcPr>
            <w:tcW w:w="2212" w:type="pct"/>
            <w:shd w:val="clear" w:color="auto" w:fill="C6D9F1"/>
          </w:tcPr>
          <w:p w14:paraId="4078F1EA" w14:textId="77777777" w:rsidR="008B2474" w:rsidRPr="00773149" w:rsidRDefault="008B2474" w:rsidP="009B6F3F">
            <w:pPr>
              <w:pStyle w:val="JHEPBody"/>
              <w:rPr>
                <w:b/>
                <w:bCs/>
                <w:sz w:val="20"/>
                <w:szCs w:val="20"/>
                <w:lang w:bidi="en-US"/>
              </w:rPr>
            </w:pPr>
            <w:r>
              <w:rPr>
                <w:b/>
                <w:bCs/>
                <w:sz w:val="20"/>
                <w:szCs w:val="20"/>
                <w:lang w:bidi="en-US"/>
              </w:rPr>
              <w:t>Need / Criteria</w:t>
            </w:r>
          </w:p>
        </w:tc>
        <w:tc>
          <w:tcPr>
            <w:tcW w:w="940" w:type="pct"/>
            <w:shd w:val="clear" w:color="auto" w:fill="C6D9F1"/>
          </w:tcPr>
          <w:p w14:paraId="7AE57D5A" w14:textId="77777777" w:rsidR="008B2474" w:rsidRPr="00773149" w:rsidRDefault="008B2474" w:rsidP="009B6F3F">
            <w:pPr>
              <w:pStyle w:val="JHEPBody"/>
              <w:rPr>
                <w:b/>
                <w:bCs/>
                <w:sz w:val="20"/>
                <w:szCs w:val="20"/>
                <w:lang w:bidi="en-US"/>
              </w:rPr>
            </w:pPr>
            <w:r>
              <w:rPr>
                <w:b/>
                <w:bCs/>
                <w:sz w:val="20"/>
                <w:szCs w:val="20"/>
                <w:lang w:bidi="en-US"/>
              </w:rPr>
              <w:t>Unit of Measure</w:t>
            </w:r>
          </w:p>
        </w:tc>
        <w:tc>
          <w:tcPr>
            <w:tcW w:w="1022" w:type="pct"/>
            <w:shd w:val="clear" w:color="auto" w:fill="C6D9F1"/>
          </w:tcPr>
          <w:p w14:paraId="5106D809" w14:textId="77777777" w:rsidR="008B2474" w:rsidRPr="00773149" w:rsidRDefault="008B2474" w:rsidP="009B6F3F">
            <w:pPr>
              <w:pStyle w:val="JHEPBody"/>
              <w:rPr>
                <w:b/>
                <w:bCs/>
                <w:sz w:val="20"/>
                <w:szCs w:val="20"/>
                <w:lang w:bidi="en-US"/>
              </w:rPr>
            </w:pPr>
            <w:r>
              <w:rPr>
                <w:b/>
                <w:bCs/>
                <w:sz w:val="20"/>
                <w:szCs w:val="20"/>
                <w:lang w:bidi="en-US"/>
              </w:rPr>
              <w:t>Ideal Value / Range</w:t>
            </w:r>
          </w:p>
        </w:tc>
        <w:tc>
          <w:tcPr>
            <w:tcW w:w="826" w:type="pct"/>
            <w:shd w:val="clear" w:color="auto" w:fill="C6D9F1"/>
          </w:tcPr>
          <w:p w14:paraId="0E9AB24E" w14:textId="77777777" w:rsidR="008B2474" w:rsidRPr="00773149" w:rsidRDefault="008B2474" w:rsidP="009B6F3F">
            <w:pPr>
              <w:pStyle w:val="JHEPBody"/>
              <w:rPr>
                <w:b/>
                <w:bCs/>
                <w:sz w:val="20"/>
                <w:szCs w:val="20"/>
                <w:lang w:bidi="en-US"/>
              </w:rPr>
            </w:pPr>
            <w:r w:rsidRPr="00773149">
              <w:rPr>
                <w:b/>
                <w:bCs/>
                <w:sz w:val="20"/>
                <w:szCs w:val="20"/>
                <w:lang w:bidi="en-US"/>
              </w:rPr>
              <w:t>Reference</w:t>
            </w:r>
          </w:p>
        </w:tc>
      </w:tr>
      <w:tr w:rsidR="008B2474" w:rsidRPr="00773149" w14:paraId="21422DA1" w14:textId="77777777" w:rsidTr="009B6F3F">
        <w:trPr>
          <w:trHeight w:val="1098"/>
        </w:trPr>
        <w:tc>
          <w:tcPr>
            <w:tcW w:w="2212" w:type="pct"/>
          </w:tcPr>
          <w:p w14:paraId="0DE4475E" w14:textId="77777777" w:rsidR="008B2474" w:rsidRPr="006C4359" w:rsidRDefault="008B2474" w:rsidP="009B6F3F">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0992869E" w14:textId="77777777" w:rsidR="008B2474" w:rsidRPr="006C4359" w:rsidRDefault="008B2474" w:rsidP="009B6F3F">
            <w:pPr>
              <w:pStyle w:val="JHEPBody"/>
              <w:rPr>
                <w:b/>
                <w:sz w:val="22"/>
                <w:lang w:bidi="en-US"/>
              </w:rPr>
            </w:pPr>
            <w:r>
              <w:rPr>
                <w:bCs/>
                <w:sz w:val="22"/>
                <w:lang w:bidi="en-US"/>
              </w:rPr>
              <w:t>Clinical feasibility of scaffold implantation</w:t>
            </w:r>
          </w:p>
        </w:tc>
        <w:tc>
          <w:tcPr>
            <w:tcW w:w="940" w:type="pct"/>
          </w:tcPr>
          <w:p w14:paraId="554307FB" w14:textId="77777777" w:rsidR="008B2474" w:rsidRPr="006C4359" w:rsidRDefault="008B2474" w:rsidP="009B6F3F">
            <w:pPr>
              <w:pStyle w:val="JHEPBody"/>
              <w:ind w:left="106"/>
              <w:jc w:val="center"/>
              <w:rPr>
                <w:bCs/>
                <w:sz w:val="22"/>
                <w:lang w:bidi="en-US"/>
              </w:rPr>
            </w:pPr>
            <w:r w:rsidRPr="006C4359">
              <w:rPr>
                <w:bCs/>
                <w:sz w:val="22"/>
                <w:lang w:bidi="en-US"/>
              </w:rPr>
              <w:t>mmHg</w:t>
            </w:r>
          </w:p>
        </w:tc>
        <w:tc>
          <w:tcPr>
            <w:tcW w:w="1022" w:type="pct"/>
          </w:tcPr>
          <w:p w14:paraId="079604F3" w14:textId="77777777" w:rsidR="008B2474" w:rsidRPr="006C4359" w:rsidRDefault="008B2474" w:rsidP="009B6F3F">
            <w:pPr>
              <w:pStyle w:val="JHEPBody"/>
              <w:jc w:val="center"/>
              <w:rPr>
                <w:bCs/>
                <w:sz w:val="22"/>
                <w:lang w:bidi="en-US"/>
              </w:rPr>
            </w:pPr>
            <w:r w:rsidRPr="006C4359">
              <w:rPr>
                <w:bCs/>
                <w:sz w:val="22"/>
                <w:lang w:bidi="en-US"/>
              </w:rPr>
              <w:t>[70, 100]</w:t>
            </w:r>
          </w:p>
        </w:tc>
        <w:tc>
          <w:tcPr>
            <w:tcW w:w="826" w:type="pct"/>
          </w:tcPr>
          <w:p w14:paraId="21488CCF" w14:textId="77777777" w:rsidR="008B2474" w:rsidRPr="006C4359" w:rsidRDefault="008B2474" w:rsidP="009B6F3F">
            <w:pPr>
              <w:pStyle w:val="JHEPBody"/>
              <w:rPr>
                <w:bCs/>
                <w:sz w:val="22"/>
                <w:lang w:bidi="en-US"/>
              </w:rPr>
            </w:pPr>
            <w:r w:rsidRPr="006C4359">
              <w:rPr>
                <w:bCs/>
                <w:sz w:val="22"/>
                <w:lang w:bidi="en-US"/>
              </w:rPr>
              <w:t>[MABP]</w:t>
            </w:r>
          </w:p>
          <w:p w14:paraId="774EB351"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8B2474" w:rsidRPr="00773149" w14:paraId="61A6477C" w14:textId="77777777" w:rsidTr="009B6F3F">
        <w:trPr>
          <w:trHeight w:val="1098"/>
        </w:trPr>
        <w:tc>
          <w:tcPr>
            <w:tcW w:w="2212" w:type="pct"/>
          </w:tcPr>
          <w:p w14:paraId="02DD2F11" w14:textId="77777777" w:rsidR="008B2474" w:rsidRDefault="008B2474" w:rsidP="009B6F3F">
            <w:pPr>
              <w:pStyle w:val="JHEPBody"/>
              <w:rPr>
                <w:b/>
                <w:sz w:val="22"/>
                <w:lang w:bidi="en-US"/>
              </w:rPr>
            </w:pPr>
            <w:r>
              <w:rPr>
                <w:b/>
                <w:sz w:val="22"/>
                <w:lang w:bidi="en-US"/>
              </w:rPr>
              <w:t>Tissue sparing and new tissue formation</w:t>
            </w:r>
          </w:p>
          <w:p w14:paraId="7A634DC7" w14:textId="77777777" w:rsidR="008B2474" w:rsidRPr="00B33494" w:rsidRDefault="008B2474" w:rsidP="009B6F3F">
            <w:pPr>
              <w:pStyle w:val="JHEPBody"/>
              <w:rPr>
                <w:bCs/>
                <w:sz w:val="22"/>
                <w:lang w:bidi="en-US"/>
              </w:rPr>
            </w:pPr>
            <w:r w:rsidRPr="00B33494">
              <w:rPr>
                <w:bCs/>
                <w:sz w:val="22"/>
                <w:lang w:bidi="en-US"/>
              </w:rPr>
              <w:t>Regrowth or new neurite formation is critical in SCI repair</w:t>
            </w:r>
          </w:p>
        </w:tc>
        <w:tc>
          <w:tcPr>
            <w:tcW w:w="940" w:type="pct"/>
          </w:tcPr>
          <w:p w14:paraId="4EABCABF" w14:textId="77777777" w:rsidR="008B2474" w:rsidRPr="006C4359" w:rsidRDefault="008B2474" w:rsidP="009B6F3F">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or mm</w:t>
            </w:r>
            <w:r w:rsidRPr="00055522">
              <w:rPr>
                <w:bCs/>
                <w:sz w:val="22"/>
                <w:vertAlign w:val="superscript"/>
                <w:lang w:bidi="en-US"/>
              </w:rPr>
              <w:t>3</w:t>
            </w:r>
          </w:p>
        </w:tc>
        <w:tc>
          <w:tcPr>
            <w:tcW w:w="1022" w:type="pct"/>
          </w:tcPr>
          <w:p w14:paraId="2F8DF11B"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3676BFA" w14:textId="77777777" w:rsidR="008B2474" w:rsidRPr="006C4359" w:rsidRDefault="008B2474" w:rsidP="009B6F3F">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8B2474" w:rsidRPr="00773149" w14:paraId="56C0F3C6" w14:textId="77777777" w:rsidTr="009B6F3F">
        <w:trPr>
          <w:trHeight w:val="1098"/>
        </w:trPr>
        <w:tc>
          <w:tcPr>
            <w:tcW w:w="2212" w:type="pct"/>
          </w:tcPr>
          <w:p w14:paraId="43114F04" w14:textId="77777777" w:rsidR="008B2474" w:rsidRPr="006C4359" w:rsidRDefault="008B2474" w:rsidP="009B6F3F">
            <w:pPr>
              <w:pStyle w:val="JHEPBody"/>
              <w:rPr>
                <w:b/>
                <w:sz w:val="22"/>
                <w:lang w:bidi="en-US"/>
              </w:rPr>
            </w:pPr>
            <w:r w:rsidRPr="006C4359">
              <w:rPr>
                <w:b/>
                <w:sz w:val="22"/>
                <w:lang w:bidi="en-US"/>
              </w:rPr>
              <w:t>Biodegradability</w:t>
            </w:r>
          </w:p>
          <w:p w14:paraId="0A1126AC" w14:textId="77777777" w:rsidR="008B2474" w:rsidRPr="006C4359" w:rsidRDefault="008B2474" w:rsidP="009B6F3F">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4F053C45" w14:textId="77777777" w:rsidR="008B2474" w:rsidRPr="006C4359" w:rsidRDefault="008B2474" w:rsidP="009B6F3F">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16E60E37"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12BC2415"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8B2474" w:rsidRPr="00773149" w14:paraId="519D8519" w14:textId="77777777" w:rsidTr="009B6F3F">
        <w:trPr>
          <w:trHeight w:val="1098"/>
        </w:trPr>
        <w:tc>
          <w:tcPr>
            <w:tcW w:w="2212" w:type="pct"/>
          </w:tcPr>
          <w:p w14:paraId="4354CAF8" w14:textId="77777777" w:rsidR="008B2474" w:rsidRPr="006C4359" w:rsidRDefault="008B2474" w:rsidP="009B6F3F">
            <w:pPr>
              <w:pStyle w:val="JHEPBody"/>
              <w:rPr>
                <w:b/>
                <w:bCs/>
                <w:sz w:val="22"/>
                <w:lang w:bidi="en-US"/>
              </w:rPr>
            </w:pPr>
            <w:r w:rsidRPr="006C4359">
              <w:rPr>
                <w:b/>
                <w:bCs/>
                <w:sz w:val="22"/>
                <w:lang w:bidi="en-US"/>
              </w:rPr>
              <w:t>Biological factors (</w:t>
            </w:r>
            <w:proofErr w:type="spellStart"/>
            <w:r w:rsidRPr="006C4359">
              <w:rPr>
                <w:b/>
                <w:bCs/>
                <w:sz w:val="22"/>
                <w:lang w:bidi="en-US"/>
              </w:rPr>
              <w:t>clusterin</w:t>
            </w:r>
            <w:proofErr w:type="spellEnd"/>
            <w:r w:rsidRPr="006C4359">
              <w:rPr>
                <w:b/>
                <w:bCs/>
                <w:sz w:val="22"/>
                <w:lang w:bidi="en-US"/>
              </w:rPr>
              <w:t xml:space="preserve">, </w:t>
            </w:r>
            <w:proofErr w:type="spellStart"/>
            <w:r w:rsidRPr="006C4359">
              <w:rPr>
                <w:b/>
                <w:bCs/>
                <w:sz w:val="22"/>
                <w:lang w:bidi="en-US"/>
              </w:rPr>
              <w:t>apoE</w:t>
            </w:r>
            <w:proofErr w:type="spellEnd"/>
            <w:r w:rsidRPr="006C4359">
              <w:rPr>
                <w:b/>
                <w:bCs/>
                <w:sz w:val="22"/>
                <w:lang w:bidi="en-US"/>
              </w:rPr>
              <w:t>, MCP-1)</w:t>
            </w:r>
          </w:p>
          <w:p w14:paraId="26FB7658" w14:textId="77777777" w:rsidR="008B2474" w:rsidRPr="006C4359" w:rsidRDefault="008B2474" w:rsidP="009B6F3F">
            <w:pPr>
              <w:pStyle w:val="JHEPBody"/>
              <w:rPr>
                <w:bCs/>
                <w:sz w:val="22"/>
                <w:lang w:bidi="en-US"/>
              </w:rPr>
            </w:pPr>
            <w:r w:rsidRPr="006C4359">
              <w:rPr>
                <w:bCs/>
                <w:sz w:val="22"/>
                <w:lang w:bidi="en-US"/>
              </w:rPr>
              <w:t xml:space="preserve">Measure factors which stimulate axonal growth, neural repair, and myelination (glial differentiation) </w:t>
            </w:r>
          </w:p>
          <w:p w14:paraId="17F7D72D" w14:textId="77777777" w:rsidR="008B2474" w:rsidRPr="006C4359" w:rsidRDefault="008B2474" w:rsidP="009B6F3F">
            <w:pPr>
              <w:pStyle w:val="JHEPBody"/>
              <w:rPr>
                <w:b/>
                <w:bCs/>
                <w:sz w:val="22"/>
                <w:lang w:bidi="en-US"/>
              </w:rPr>
            </w:pPr>
            <w:r w:rsidRPr="006C4359">
              <w:rPr>
                <w:bCs/>
                <w:sz w:val="22"/>
                <w:lang w:bidi="en-US"/>
              </w:rPr>
              <w:t xml:space="preserve"> </w:t>
            </w:r>
          </w:p>
        </w:tc>
        <w:tc>
          <w:tcPr>
            <w:tcW w:w="940" w:type="pct"/>
          </w:tcPr>
          <w:p w14:paraId="1A069E96" w14:textId="77777777" w:rsidR="008B2474" w:rsidRPr="006C4359" w:rsidRDefault="008B2474" w:rsidP="009B6F3F">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mg/L</w:t>
            </w:r>
          </w:p>
          <w:p w14:paraId="0AFE8DAD" w14:textId="77777777" w:rsidR="008B2474" w:rsidRPr="006C4359" w:rsidRDefault="008B2474" w:rsidP="009B6F3F">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28DEDA1"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clusterin</w:t>
            </w:r>
            <w:proofErr w:type="spellEnd"/>
            <w:r w:rsidRPr="006C4359">
              <w:rPr>
                <w:bCs/>
                <w:sz w:val="22"/>
                <w:lang w:bidi="en-US"/>
              </w:rPr>
              <w:t xml:space="preserve">: [1.87-1.94] </w:t>
            </w:r>
          </w:p>
          <w:p w14:paraId="79E213C6"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[35-49]  </w:t>
            </w:r>
          </w:p>
          <w:p w14:paraId="711D8E69" w14:textId="14F8578D" w:rsidR="008B2474" w:rsidRPr="006C4359" w:rsidRDefault="008B2474" w:rsidP="009B6F3F">
            <w:pPr>
              <w:pStyle w:val="JHEPBody"/>
              <w:numPr>
                <w:ilvl w:val="0"/>
                <w:numId w:val="34"/>
              </w:numPr>
              <w:rPr>
                <w:bCs/>
                <w:sz w:val="22"/>
                <w:lang w:bidi="en-US"/>
              </w:rPr>
            </w:pPr>
            <w:r w:rsidRPr="006C4359">
              <w:rPr>
                <w:bCs/>
                <w:sz w:val="22"/>
                <w:lang w:bidi="en-US"/>
              </w:rPr>
              <w:t>MCP-</w:t>
            </w:r>
            <w:r w:rsidR="007E4D42" w:rsidRPr="006C4359">
              <w:rPr>
                <w:bCs/>
                <w:sz w:val="22"/>
                <w:lang w:bidi="en-US"/>
              </w:rPr>
              <w:t>1: [</w:t>
            </w:r>
            <w:r w:rsidRPr="006C4359">
              <w:rPr>
                <w:bCs/>
                <w:sz w:val="22"/>
                <w:lang w:bidi="en-US"/>
              </w:rPr>
              <w:t>69.5-175.2]</w:t>
            </w:r>
          </w:p>
        </w:tc>
        <w:tc>
          <w:tcPr>
            <w:tcW w:w="826" w:type="pct"/>
          </w:tcPr>
          <w:p w14:paraId="15ED392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48B71D88"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33F4CE5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8B2474" w:rsidRPr="00773149" w14:paraId="7157E831" w14:textId="77777777" w:rsidTr="009B6F3F">
        <w:trPr>
          <w:trHeight w:val="1098"/>
        </w:trPr>
        <w:tc>
          <w:tcPr>
            <w:tcW w:w="2212" w:type="pct"/>
          </w:tcPr>
          <w:p w14:paraId="2307FC95" w14:textId="77777777" w:rsidR="008B2474" w:rsidRPr="006C4359" w:rsidRDefault="008B2474" w:rsidP="009B6F3F">
            <w:pPr>
              <w:pStyle w:val="JHEPBody"/>
              <w:rPr>
                <w:b/>
                <w:bCs/>
                <w:sz w:val="22"/>
                <w:lang w:bidi="en-US"/>
              </w:rPr>
            </w:pPr>
            <w:r>
              <w:rPr>
                <w:b/>
                <w:bCs/>
                <w:sz w:val="22"/>
                <w:lang w:bidi="en-US"/>
              </w:rPr>
              <w:t>Human Alu</w:t>
            </w:r>
          </w:p>
          <w:p w14:paraId="04719435" w14:textId="77777777" w:rsidR="008B2474" w:rsidRPr="006C4359" w:rsidRDefault="008B2474" w:rsidP="009B6F3F">
            <w:pPr>
              <w:pStyle w:val="JHEPBody"/>
              <w:rPr>
                <w:sz w:val="22"/>
                <w:lang w:bidi="en-US"/>
              </w:rPr>
            </w:pPr>
            <w:r>
              <w:rPr>
                <w:sz w:val="22"/>
                <w:lang w:bidi="en-US"/>
              </w:rPr>
              <w:t>Distribution of the stem cells within the body</w:t>
            </w:r>
          </w:p>
        </w:tc>
        <w:tc>
          <w:tcPr>
            <w:tcW w:w="940" w:type="pct"/>
          </w:tcPr>
          <w:p w14:paraId="144F71F3" w14:textId="77777777" w:rsidR="008B2474" w:rsidRPr="006C4359" w:rsidRDefault="008B2474" w:rsidP="009B6F3F">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46D32FB3" w14:textId="77777777" w:rsidR="008B2474" w:rsidRPr="006C4359" w:rsidRDefault="008B2474" w:rsidP="009B6F3F">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2ED9B740" w14:textId="20E4E3AF" w:rsidR="008B2474" w:rsidRPr="006C4359" w:rsidRDefault="008B2474" w:rsidP="009B6F3F">
            <w:pPr>
              <w:pStyle w:val="JHEPBody"/>
              <w:rPr>
                <w:bCs/>
                <w:sz w:val="22"/>
                <w:lang w:bidi="en-US"/>
              </w:rPr>
            </w:pPr>
            <w:r w:rsidRPr="006C4359">
              <w:rPr>
                <w:bCs/>
                <w:sz w:val="22"/>
                <w:lang w:bidi="en-US"/>
              </w:rPr>
              <w:fldChar w:fldCharType="begin"/>
            </w:r>
            <w:r w:rsidR="00FC3DC5">
              <w:rPr>
                <w:bCs/>
                <w:sz w:val="22"/>
                <w:lang w:bidi="en-US"/>
              </w:rPr>
              <w:instrText xml:space="preserve"> ADDIN ZOTERO_ITEM CSL_CITATION {"citationID":"OOBPxf4O","properties":{"formattedCitation":"(Rivera et al.)","plainCitation":"(Rivera et al.)","noteIndex":0},"citationItems":[{"id":"1lueMOhJ/oyajN1Sy","uris":["http://zotero.org/users/7286058/items/8Y7ZC3GS"],"itemData":{"id":4700,"type":"article-journal","abstract":"The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8B2474" w:rsidRPr="00773149" w14:paraId="12C640FB" w14:textId="77777777" w:rsidTr="009B6F3F">
        <w:trPr>
          <w:trHeight w:val="1319"/>
        </w:trPr>
        <w:tc>
          <w:tcPr>
            <w:tcW w:w="2212" w:type="pct"/>
          </w:tcPr>
          <w:p w14:paraId="547386C0" w14:textId="77777777" w:rsidR="008B2474" w:rsidRPr="00627087" w:rsidRDefault="008B2474" w:rsidP="009B6F3F">
            <w:pPr>
              <w:pStyle w:val="JHEPBody"/>
              <w:rPr>
                <w:b/>
                <w:sz w:val="22"/>
                <w:lang w:bidi="en-US"/>
              </w:rPr>
            </w:pPr>
            <w:r w:rsidRPr="00627087">
              <w:rPr>
                <w:b/>
                <w:sz w:val="22"/>
                <w:lang w:bidi="en-US"/>
              </w:rPr>
              <w:t>Tumorigenicity</w:t>
            </w:r>
          </w:p>
          <w:p w14:paraId="6F0563C4" w14:textId="77777777" w:rsidR="008B2474" w:rsidRPr="005C610E" w:rsidRDefault="008B2474" w:rsidP="009B6F3F">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3CD1453F" w14:textId="77777777" w:rsidR="008B2474" w:rsidRPr="005C610E" w:rsidRDefault="008B2474" w:rsidP="009B6F3F">
            <w:pPr>
              <w:pStyle w:val="JHEPBody"/>
              <w:numPr>
                <w:ilvl w:val="0"/>
                <w:numId w:val="20"/>
              </w:numPr>
              <w:jc w:val="center"/>
              <w:rPr>
                <w:bCs/>
                <w:sz w:val="22"/>
                <w:lang w:bidi="en-US"/>
              </w:rPr>
            </w:pPr>
            <w:r w:rsidRPr="005C610E">
              <w:rPr>
                <w:bCs/>
                <w:sz w:val="22"/>
                <w:lang w:bidi="en-US"/>
              </w:rPr>
              <w:t>number</w:t>
            </w:r>
          </w:p>
        </w:tc>
        <w:tc>
          <w:tcPr>
            <w:tcW w:w="1022" w:type="pct"/>
          </w:tcPr>
          <w:p w14:paraId="435A6338" w14:textId="77777777" w:rsidR="008B2474" w:rsidRPr="005C610E" w:rsidRDefault="008B2474" w:rsidP="009B6F3F">
            <w:pPr>
              <w:pStyle w:val="JHEPBody"/>
              <w:jc w:val="center"/>
              <w:rPr>
                <w:bCs/>
                <w:sz w:val="22"/>
                <w:lang w:bidi="en-US"/>
              </w:rPr>
            </w:pPr>
            <w:r w:rsidRPr="005C610E">
              <w:rPr>
                <w:bCs/>
                <w:sz w:val="22"/>
                <w:lang w:bidi="en-US"/>
              </w:rPr>
              <w:t>[2,4]</w:t>
            </w:r>
          </w:p>
        </w:tc>
        <w:tc>
          <w:tcPr>
            <w:tcW w:w="826" w:type="pct"/>
          </w:tcPr>
          <w:p w14:paraId="7D9D334E" w14:textId="77777777" w:rsidR="008B2474" w:rsidRPr="005C610E" w:rsidRDefault="008B2474" w:rsidP="009B6F3F">
            <w:pPr>
              <w:pStyle w:val="JHEPBody"/>
              <w:rPr>
                <w:rFonts w:cs="Tahoma"/>
                <w:color w:val="000000"/>
                <w:sz w:val="22"/>
              </w:rPr>
            </w:pPr>
            <w:r w:rsidRPr="005C610E">
              <w:rPr>
                <w:rFonts w:cs="Tahoma"/>
                <w:color w:val="000000"/>
                <w:sz w:val="22"/>
              </w:rPr>
              <w:t>(Biopsy score)</w:t>
            </w:r>
          </w:p>
        </w:tc>
      </w:tr>
      <w:tr w:rsidR="008B2474" w:rsidRPr="00773149" w14:paraId="3D9D6B17" w14:textId="77777777" w:rsidTr="009B6F3F">
        <w:trPr>
          <w:trHeight w:val="1319"/>
        </w:trPr>
        <w:tc>
          <w:tcPr>
            <w:tcW w:w="2212" w:type="pct"/>
          </w:tcPr>
          <w:p w14:paraId="5AB7AA95" w14:textId="77777777" w:rsidR="008B2474" w:rsidRPr="006C4359" w:rsidRDefault="008B2474" w:rsidP="009B6F3F">
            <w:pPr>
              <w:pStyle w:val="JHEPBody"/>
              <w:rPr>
                <w:b/>
                <w:bCs/>
                <w:sz w:val="22"/>
                <w:lang w:bidi="en-US"/>
              </w:rPr>
            </w:pPr>
            <w:r>
              <w:rPr>
                <w:b/>
                <w:sz w:val="22"/>
                <w:lang w:bidi="en-US"/>
              </w:rPr>
              <w:t>Basso Beattie and Bresnahan (BBB) score</w:t>
            </w:r>
          </w:p>
          <w:p w14:paraId="53180852" w14:textId="77777777" w:rsidR="008B2474" w:rsidRPr="00F1604C" w:rsidRDefault="008B2474" w:rsidP="009B6F3F">
            <w:pPr>
              <w:pStyle w:val="JHEPBody"/>
              <w:rPr>
                <w:rFonts w:cs="Tahoma"/>
                <w:sz w:val="22"/>
              </w:rPr>
            </w:pPr>
            <w:r>
              <w:rPr>
                <w:bCs/>
                <w:sz w:val="22"/>
                <w:lang w:bidi="en-US"/>
              </w:rPr>
              <w:t xml:space="preserve">This score is used to assess motor functions and recovery in rats. </w:t>
            </w:r>
            <w:r w:rsidRPr="00F1604C">
              <w:rPr>
                <w:rFonts w:cs="Tahoma"/>
                <w:color w:val="212121"/>
                <w:sz w:val="22"/>
                <w:shd w:val="clear" w:color="auto" w:fill="FFFFFF"/>
              </w:rPr>
              <w:t>International Standards for Neurological Classification of Spinal Cord Injury</w:t>
            </w:r>
            <w:r>
              <w:rPr>
                <w:rFonts w:cs="Tahoma"/>
                <w:color w:val="212121"/>
                <w:sz w:val="22"/>
                <w:shd w:val="clear" w:color="auto" w:fill="FFFFFF"/>
              </w:rPr>
              <w:t xml:space="preserve"> (ISNCSC) includes different scores for patients.</w:t>
            </w:r>
          </w:p>
        </w:tc>
        <w:tc>
          <w:tcPr>
            <w:tcW w:w="940" w:type="pct"/>
          </w:tcPr>
          <w:p w14:paraId="5C0404BC" w14:textId="77777777" w:rsidR="008B2474" w:rsidRPr="005C610E" w:rsidRDefault="008B2474" w:rsidP="009B6F3F">
            <w:pPr>
              <w:pStyle w:val="JHEPBody"/>
              <w:numPr>
                <w:ilvl w:val="0"/>
                <w:numId w:val="20"/>
              </w:numPr>
              <w:jc w:val="center"/>
              <w:rPr>
                <w:bCs/>
                <w:sz w:val="22"/>
                <w:lang w:bidi="en-US"/>
              </w:rPr>
            </w:pPr>
            <w:r>
              <w:rPr>
                <w:bCs/>
                <w:sz w:val="22"/>
                <w:lang w:bidi="en-US"/>
              </w:rPr>
              <w:t>number</w:t>
            </w:r>
          </w:p>
        </w:tc>
        <w:tc>
          <w:tcPr>
            <w:tcW w:w="1022" w:type="pct"/>
          </w:tcPr>
          <w:p w14:paraId="21367D0F" w14:textId="77777777" w:rsidR="008B2474" w:rsidRPr="005C610E" w:rsidRDefault="008B2474" w:rsidP="009B6F3F">
            <w:pPr>
              <w:pStyle w:val="JHEPBody"/>
              <w:jc w:val="center"/>
              <w:rPr>
                <w:bCs/>
                <w:sz w:val="22"/>
                <w:lang w:bidi="en-US"/>
              </w:rPr>
            </w:pPr>
            <w:r w:rsidRPr="006C4359">
              <w:rPr>
                <w:bCs/>
                <w:sz w:val="22"/>
                <w:lang w:bidi="en-US"/>
              </w:rPr>
              <w:t xml:space="preserve">[0, </w:t>
            </w:r>
            <w:r>
              <w:rPr>
                <w:bCs/>
                <w:sz w:val="22"/>
                <w:lang w:bidi="en-US"/>
              </w:rPr>
              <w:t>21</w:t>
            </w:r>
            <w:r w:rsidRPr="006C4359">
              <w:rPr>
                <w:bCs/>
                <w:sz w:val="22"/>
                <w:lang w:bidi="en-US"/>
              </w:rPr>
              <w:t>]</w:t>
            </w:r>
          </w:p>
        </w:tc>
        <w:tc>
          <w:tcPr>
            <w:tcW w:w="826" w:type="pct"/>
          </w:tcPr>
          <w:p w14:paraId="42687D58" w14:textId="77777777" w:rsidR="008B2474" w:rsidRPr="005C610E" w:rsidRDefault="008B2474" w:rsidP="009B6F3F">
            <w:pPr>
              <w:pStyle w:val="JHEPBody"/>
              <w:rPr>
                <w:rFonts w:cs="Tahoma"/>
                <w:color w:val="000000"/>
                <w:sz w:val="22"/>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bl>
    <w:p w14:paraId="5B222E31" w14:textId="77777777" w:rsidR="008B2474" w:rsidRPr="006558CC" w:rsidRDefault="008B2474" w:rsidP="008B2474">
      <w:pPr>
        <w:rPr>
          <w:rFonts w:cs="Arial"/>
          <w:szCs w:val="22"/>
        </w:rPr>
        <w:sectPr w:rsidR="008B2474" w:rsidRPr="006558CC" w:rsidSect="007146E7">
          <w:pgSz w:w="15840" w:h="12240" w:orient="landscape"/>
          <w:pgMar w:top="1080" w:right="720" w:bottom="1080" w:left="1728" w:header="720" w:footer="720" w:gutter="0"/>
          <w:cols w:space="720"/>
          <w:docGrid w:linePitch="360"/>
        </w:sectPr>
      </w:pPr>
    </w:p>
    <w:p w14:paraId="4952E9AA" w14:textId="77777777" w:rsidR="008B2474" w:rsidRDefault="008B2474" w:rsidP="008B2474">
      <w:pPr>
        <w:pStyle w:val="JHEPBody"/>
      </w:pPr>
    </w:p>
    <w:p w14:paraId="0CDAECC3" w14:textId="77777777" w:rsidR="008B2474" w:rsidRDefault="008B2474" w:rsidP="008B2474">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45B9ABB0" w14:textId="77777777" w:rsidR="008B2474" w:rsidRPr="00153359" w:rsidRDefault="008B2474" w:rsidP="008B2474">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cav</w:t>
      </w:r>
      <w:r>
        <w:rPr>
          <w:sz w:val="22"/>
        </w:rPr>
        <w:t>ita</w:t>
      </w:r>
      <w:r w:rsidRPr="00153359">
        <w:rPr>
          <w:sz w:val="22"/>
        </w:rPr>
        <w:t xml:space="preserve">tion,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r w:rsidRPr="00153359">
        <w:rPr>
          <w:sz w:val="22"/>
        </w:rPr>
        <w:t>cav</w:t>
      </w:r>
      <w:r>
        <w:rPr>
          <w:sz w:val="22"/>
        </w:rPr>
        <w:t>ita</w:t>
      </w:r>
      <w:r w:rsidRPr="00153359">
        <w:rPr>
          <w:sz w:val="22"/>
        </w:rPr>
        <w:t>tion</w:t>
      </w:r>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7EFC5746" w14:textId="77777777" w:rsidR="008B2474" w:rsidRPr="00B43499" w:rsidRDefault="008B2474" w:rsidP="008B2474">
      <w:pPr>
        <w:pStyle w:val="JHEPBody"/>
        <w:numPr>
          <w:ilvl w:val="0"/>
          <w:numId w:val="33"/>
        </w:numPr>
        <w:spacing w:line="480" w:lineRule="auto"/>
        <w:rPr>
          <w:bCs/>
          <w:sz w:val="20"/>
          <w:szCs w:val="20"/>
          <w:lang w:bidi="en-US"/>
        </w:rPr>
      </w:pPr>
      <w:r w:rsidRPr="00B43499">
        <w:rPr>
          <w:b/>
          <w:bCs/>
          <w:sz w:val="22"/>
          <w:lang w:bidi="en-US"/>
        </w:rPr>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 xml:space="preserve">made </w:t>
      </w:r>
      <w:r>
        <w:rPr>
          <w:sz w:val="22"/>
        </w:rPr>
        <w:t xml:space="preserve">from a blend of PLGA </w:t>
      </w:r>
      <w:r w:rsidRPr="0048052E">
        <w:rPr>
          <w:sz w:val="22"/>
        </w:rPr>
        <w:t>(</w:t>
      </w:r>
      <w:r>
        <w:rPr>
          <w:sz w:val="22"/>
        </w:rPr>
        <w:t xml:space="preserve">75%, MW </w:t>
      </w:r>
      <w:r>
        <w:rPr>
          <w:sz w:val="22"/>
        </w:rPr>
        <w:sym w:font="Symbol" w:char="F0BB"/>
      </w:r>
      <w:r>
        <w:rPr>
          <w:sz w:val="22"/>
        </w:rPr>
        <w:t xml:space="preserve"> 40,000), and a copolymer (25%, PLGA block MW </w:t>
      </w:r>
      <w:r>
        <w:rPr>
          <w:sz w:val="22"/>
        </w:rPr>
        <w:sym w:font="Symbol" w:char="F0BB"/>
      </w:r>
      <w:r>
        <w:rPr>
          <w:sz w:val="22"/>
        </w:rPr>
        <w:t xml:space="preserve"> 30,000, </w:t>
      </w:r>
      <w:proofErr w:type="spellStart"/>
      <w:r>
        <w:rPr>
          <w:sz w:val="22"/>
        </w:rPr>
        <w:t>polylysine</w:t>
      </w:r>
      <w:proofErr w:type="spellEnd"/>
      <w:r>
        <w:rPr>
          <w:sz w:val="22"/>
        </w:rPr>
        <w:t xml:space="preserve"> block </w:t>
      </w:r>
      <w:r>
        <w:rPr>
          <w:sz w:val="22"/>
        </w:rPr>
        <w:sym w:font="Symbol" w:char="F0BB"/>
      </w:r>
      <w:r>
        <w:rPr>
          <w:sz w:val="22"/>
        </w:rPr>
        <w:t xml:space="preserve"> MW 2,000);</w:t>
      </w:r>
      <w:r w:rsidRPr="0048052E">
        <w:rPr>
          <w:sz w:val="22"/>
        </w:rPr>
        <w:t xml:space="preserve"> FDA approved</w:t>
      </w:r>
      <w:r w:rsidRPr="00B43499">
        <w:rPr>
          <w:sz w:val="22"/>
        </w:rPr>
        <w:t xml:space="preserve">; which resorb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31AD1E8D" w14:textId="63A7B042" w:rsidR="008B2474" w:rsidRDefault="008B2474" w:rsidP="008B2474">
      <w:pPr>
        <w:pStyle w:val="JHEPBody"/>
        <w:numPr>
          <w:ilvl w:val="0"/>
          <w:numId w:val="33"/>
        </w:numPr>
        <w:spacing w:line="480" w:lineRule="auto"/>
        <w:rPr>
          <w:sz w:val="22"/>
        </w:rPr>
      </w:pPr>
      <w:r w:rsidRPr="00395F2E">
        <w:rPr>
          <w:b/>
          <w:bCs/>
          <w:sz w:val="22"/>
        </w:rPr>
        <w:lastRenderedPageBreak/>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microgrooves can have different diameters (0.5</w:t>
      </w:r>
      <w:r>
        <w:rPr>
          <w:sz w:val="22"/>
        </w:rPr>
        <w:sym w:font="Symbol" w:char="F06D"/>
      </w:r>
      <w:r>
        <w:rPr>
          <w:sz w:val="22"/>
        </w:rPr>
        <w:t>m and 4</w:t>
      </w:r>
      <w:r>
        <w:rPr>
          <w:sz w:val="22"/>
        </w:rPr>
        <w:sym w:font="Symbol" w:char="F06D"/>
      </w:r>
      <w:r>
        <w:rPr>
          <w:sz w:val="22"/>
        </w:rPr>
        <w:t xml:space="preserve">m) and depths; and may be </w:t>
      </w:r>
      <w:proofErr w:type="spellStart"/>
      <w:r>
        <w:rPr>
          <w:sz w:val="22"/>
        </w:rPr>
        <w:t>be</w:t>
      </w:r>
      <w:proofErr w:type="spellEnd"/>
      <w:r>
        <w:rPr>
          <w:sz w:val="22"/>
        </w:rPr>
        <w:t xml:space="preserve"> seeded with human neuronal stem cells such as OPC1s</w:t>
      </w:r>
      <w:r w:rsidRPr="00395F2E">
        <w:rPr>
          <w:sz w:val="22"/>
        </w:rPr>
        <w:t xml:space="preserve">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xml:space="preserve">. </w:t>
      </w:r>
      <w:r>
        <w:rPr>
          <w:sz w:val="22"/>
        </w:rPr>
        <w:t>By generating these biological factors,</w:t>
      </w:r>
      <w:r w:rsidRPr="00395F2E">
        <w:rPr>
          <w:sz w:val="22"/>
        </w:rPr>
        <w:t xml:space="preserve"> </w:t>
      </w:r>
      <w:r>
        <w:rPr>
          <w:sz w:val="22"/>
        </w:rPr>
        <w:t>t</w:t>
      </w:r>
      <w:r w:rsidRPr="00395F2E">
        <w:rPr>
          <w:sz w:val="22"/>
        </w:rPr>
        <w:t>he OPC</w:t>
      </w:r>
      <w:r>
        <w:rPr>
          <w:sz w:val="22"/>
        </w:rPr>
        <w:t>1</w:t>
      </w:r>
      <w:r w:rsidRPr="00395F2E">
        <w:rPr>
          <w:sz w:val="22"/>
        </w:rPr>
        <w:t>s within the scaffold</w:t>
      </w:r>
      <w:r>
        <w:rPr>
          <w:sz w:val="22"/>
        </w:rPr>
        <w:t>;</w:t>
      </w:r>
      <w:r w:rsidRPr="00395F2E">
        <w:rPr>
          <w:sz w:val="22"/>
        </w:rPr>
        <w:t xml:space="preserve"> amplify the scaffold positive neural effect</w:t>
      </w:r>
      <w:r>
        <w:rPr>
          <w:sz w:val="22"/>
        </w:rPr>
        <w:t xml:space="preserve"> and </w:t>
      </w:r>
      <w:r w:rsidRPr="00395F2E">
        <w:rPr>
          <w:sz w:val="22"/>
        </w:rPr>
        <w:t>promot</w:t>
      </w:r>
      <w:r>
        <w:rPr>
          <w:sz w:val="22"/>
        </w:rPr>
        <w:t>e</w:t>
      </w:r>
      <w:r w:rsidRPr="00395F2E">
        <w:rPr>
          <w:sz w:val="22"/>
        </w:rPr>
        <w:t xml:space="preserve">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5979E675" w14:textId="77777777" w:rsidR="008B2474" w:rsidRDefault="008B2474" w:rsidP="008B2474">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provide us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348AEB2D" w14:textId="77777777" w:rsidR="008B2474" w:rsidRPr="007E6B9D" w:rsidRDefault="008B2474" w:rsidP="008B2474">
      <w:pPr>
        <w:pStyle w:val="JHEPBody"/>
        <w:numPr>
          <w:ilvl w:val="0"/>
          <w:numId w:val="33"/>
        </w:numPr>
        <w:spacing w:line="480" w:lineRule="auto"/>
        <w:rPr>
          <w:bCs/>
          <w:sz w:val="20"/>
          <w:szCs w:val="20"/>
          <w:lang w:bidi="en-US"/>
        </w:rPr>
      </w:pPr>
      <w:r w:rsidRPr="00A0265E">
        <w:rPr>
          <w:rFonts w:cs="Tahoma"/>
          <w:b/>
          <w:sz w:val="22"/>
          <w:lang w:bidi="en-US"/>
        </w:rPr>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06CDA90" w14:textId="5A67B024" w:rsidR="008B2474" w:rsidRPr="007E6B9D" w:rsidRDefault="008B2474" w:rsidP="008B2474">
      <w:pPr>
        <w:pStyle w:val="JHEPBody"/>
        <w:numPr>
          <w:ilvl w:val="0"/>
          <w:numId w:val="33"/>
        </w:numPr>
        <w:spacing w:line="480" w:lineRule="auto"/>
        <w:rPr>
          <w:sz w:val="22"/>
        </w:rPr>
      </w:pPr>
      <w:r w:rsidRPr="00874999">
        <w:rPr>
          <w:b/>
          <w:bCs/>
          <w:sz w:val="22"/>
        </w:rPr>
        <w:lastRenderedPageBreak/>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promotes survival, axonal growth and locomotor recovery </w:t>
      </w:r>
      <w:r>
        <w:rPr>
          <w:sz w:val="22"/>
        </w:rPr>
        <w:fldChar w:fldCharType="begin"/>
      </w:r>
      <w:r w:rsidR="00FC3DC5">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FC3DC5" w:rsidRPr="00FC3DC5">
        <w:rPr>
          <w:rFonts w:cs="Tahoma"/>
          <w:sz w:val="22"/>
        </w:rPr>
        <w:t>(Teng et al.</w:t>
      </w:r>
      <w:r w:rsidR="00CB5131">
        <w:rPr>
          <w:rFonts w:cs="Tahoma"/>
          <w:sz w:val="22"/>
        </w:rPr>
        <w:t>)</w:t>
      </w:r>
      <w:r>
        <w:rPr>
          <w:sz w:val="22"/>
        </w:rPr>
        <w:fldChar w:fldCharType="end"/>
      </w:r>
      <w:r w:rsidR="00CB5131">
        <w:rPr>
          <w:sz w:val="22"/>
        </w:rPr>
        <w:t xml:space="preserve"> </w:t>
      </w:r>
      <w:r>
        <w:rPr>
          <w:sz w:val="22"/>
        </w:rPr>
        <w:t xml:space="preserve">. In addition, animals or patients treated with OPC1s,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5AA40F0C" w14:textId="364EF4D2" w:rsidR="00274369" w:rsidRDefault="00974719" w:rsidP="00974719">
      <w:pPr>
        <w:pStyle w:val="Heading2"/>
      </w:pPr>
      <w:r>
        <w:t>E – Verification and Validation</w:t>
      </w:r>
    </w:p>
    <w:p w14:paraId="423F02EA" w14:textId="2A9A732F" w:rsidR="000E6E88" w:rsidRPr="00C37B86" w:rsidRDefault="00551058" w:rsidP="004B5E34">
      <w:pPr>
        <w:pStyle w:val="SubsectionTitle"/>
        <w:spacing w:after="120"/>
        <w:rPr>
          <w:sz w:val="28"/>
          <w:szCs w:val="28"/>
        </w:rPr>
      </w:pPr>
      <w:r w:rsidRPr="00C37B86">
        <w:rPr>
          <w:sz w:val="28"/>
          <w:szCs w:val="28"/>
        </w:rPr>
        <w:t>Verification</w:t>
      </w:r>
    </w:p>
    <w:p w14:paraId="14561E66" w14:textId="77777777" w:rsidR="00BC64EB" w:rsidRPr="00C37B86" w:rsidRDefault="000E6E88" w:rsidP="004B5E34">
      <w:pPr>
        <w:pStyle w:val="Heading6"/>
        <w:spacing w:before="0" w:after="120"/>
        <w:rPr>
          <w:b/>
          <w:bCs/>
          <w:color w:val="0072CE" w:themeColor="text2"/>
        </w:rPr>
      </w:pPr>
      <w:r w:rsidRPr="00C37B86">
        <w:rPr>
          <w:b/>
          <w:bCs/>
          <w:color w:val="0072CE" w:themeColor="text2"/>
        </w:rPr>
        <w:t>Scaffold With Neural Stem Cells</w:t>
      </w:r>
    </w:p>
    <w:p w14:paraId="6306FEB9" w14:textId="46D8E587" w:rsidR="00E46945" w:rsidRDefault="00BC64EB" w:rsidP="00C960DC">
      <w:pPr>
        <w:spacing w:line="480" w:lineRule="auto"/>
        <w:rPr>
          <w:sz w:val="22"/>
          <w:szCs w:val="22"/>
        </w:rPr>
      </w:pPr>
      <w:r>
        <w:rPr>
          <w:sz w:val="22"/>
          <w:szCs w:val="22"/>
        </w:rPr>
        <w:t>I</w:t>
      </w:r>
      <w:r w:rsidR="00E46945" w:rsidRPr="00E46945">
        <w:rPr>
          <w:sz w:val="22"/>
          <w:szCs w:val="22"/>
        </w:rPr>
        <w:t>n this study b</w:t>
      </w:r>
      <w:r w:rsidR="00E46945">
        <w:rPr>
          <w:sz w:val="22"/>
          <w:szCs w:val="22"/>
        </w:rPr>
        <w:t xml:space="preserve">y </w:t>
      </w:r>
      <w:r w:rsidR="00E46945" w:rsidRPr="00C960DC">
        <w:rPr>
          <w:sz w:val="22"/>
          <w:szCs w:val="22"/>
        </w:rPr>
        <w:t xml:space="preserve"> </w:t>
      </w:r>
      <w:r w:rsidR="00E46945" w:rsidRPr="00C960DC">
        <w:rPr>
          <w:sz w:val="22"/>
          <w:szCs w:val="22"/>
        </w:rPr>
        <w:fldChar w:fldCharType="begin"/>
      </w:r>
      <w:r w:rsidR="00E46945"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E46945" w:rsidRPr="00C960DC">
        <w:rPr>
          <w:sz w:val="22"/>
          <w:szCs w:val="22"/>
        </w:rPr>
        <w:fldChar w:fldCharType="separate"/>
      </w:r>
      <w:r w:rsidR="00E46945" w:rsidRPr="00C960DC">
        <w:rPr>
          <w:rFonts w:cs="Tahoma"/>
          <w:sz w:val="22"/>
          <w:szCs w:val="22"/>
        </w:rPr>
        <w:t>(Teng et al.)</w:t>
      </w:r>
      <w:r w:rsidR="00E46945" w:rsidRPr="00C960DC">
        <w:rPr>
          <w:sz w:val="22"/>
          <w:szCs w:val="22"/>
        </w:rPr>
        <w:fldChar w:fldCharType="end"/>
      </w:r>
      <w:r w:rsidR="00E46945">
        <w:rPr>
          <w:sz w:val="22"/>
          <w:szCs w:val="22"/>
        </w:rPr>
        <w:t>, a</w:t>
      </w:r>
      <w:r w:rsidR="00E46945" w:rsidRPr="00C960DC">
        <w:rPr>
          <w:sz w:val="22"/>
          <w:szCs w:val="22"/>
        </w:rPr>
        <w:t xml:space="preserve"> cut of 4mm at the T9-T10 level was performed in a population of rodents. 4 groups of rats were </w:t>
      </w:r>
      <w:r w:rsidR="00E46945">
        <w:rPr>
          <w:sz w:val="22"/>
          <w:szCs w:val="22"/>
        </w:rPr>
        <w:t>created</w:t>
      </w:r>
      <w:r w:rsidR="00E46945" w:rsidRPr="00C960DC">
        <w:rPr>
          <w:sz w:val="22"/>
          <w:szCs w:val="22"/>
        </w:rPr>
        <w:t xml:space="preserve">: (1) scaffold + </w:t>
      </w:r>
      <w:r w:rsidR="00C90E44" w:rsidRPr="00C960DC">
        <w:rPr>
          <w:sz w:val="22"/>
          <w:szCs w:val="22"/>
        </w:rPr>
        <w:t xml:space="preserve">neural stem cells </w:t>
      </w:r>
      <w:r w:rsidR="00C90E44">
        <w:rPr>
          <w:sz w:val="22"/>
          <w:szCs w:val="22"/>
        </w:rPr>
        <w:t>(NSCs)</w:t>
      </w:r>
      <w:r w:rsidR="00E46945" w:rsidRPr="00C960DC">
        <w:rPr>
          <w:sz w:val="22"/>
          <w:szCs w:val="22"/>
        </w:rPr>
        <w:t>, (2) scaffold alone, (3) NSCs in the SCI, and (4) lesion-control. One day postinjury (</w:t>
      </w:r>
      <w:proofErr w:type="spellStart"/>
      <w:r w:rsidR="00E46945" w:rsidRPr="00C960DC">
        <w:rPr>
          <w:sz w:val="22"/>
          <w:szCs w:val="22"/>
        </w:rPr>
        <w:t>p.i.</w:t>
      </w:r>
      <w:proofErr w:type="spellEnd"/>
      <w:r w:rsidR="00E46945" w:rsidRPr="00C960DC">
        <w:rPr>
          <w:sz w:val="22"/>
          <w:szCs w:val="22"/>
        </w:rPr>
        <w:t>) and then weekly</w:t>
      </w:r>
      <w:r w:rsidR="00E46945">
        <w:rPr>
          <w:sz w:val="22"/>
          <w:szCs w:val="22"/>
        </w:rPr>
        <w:t xml:space="preserve"> thereafter</w:t>
      </w:r>
      <w:r w:rsidR="00E46945" w:rsidRPr="00C960DC">
        <w:rPr>
          <w:sz w:val="22"/>
          <w:szCs w:val="22"/>
        </w:rPr>
        <w:t xml:space="preserve">, behavioral assessment of the rats was performed using the open-field BBB scale. At 70 days </w:t>
      </w:r>
      <w:proofErr w:type="spellStart"/>
      <w:r w:rsidR="00E46945" w:rsidRPr="00C960DC">
        <w:rPr>
          <w:sz w:val="22"/>
          <w:szCs w:val="22"/>
        </w:rPr>
        <w:t>p.i.</w:t>
      </w:r>
      <w:proofErr w:type="spellEnd"/>
      <w:r w:rsidR="00E46945" w:rsidRPr="00C960DC">
        <w:rPr>
          <w:sz w:val="22"/>
          <w:szCs w:val="22"/>
        </w:rPr>
        <w:t xml:space="preserve">, 69% </w:t>
      </w:r>
      <w:r w:rsidR="00E46945">
        <w:rPr>
          <w:sz w:val="22"/>
          <w:szCs w:val="22"/>
        </w:rPr>
        <w:t xml:space="preserve">of </w:t>
      </w:r>
      <w:r w:rsidR="00E46945" w:rsidRPr="00C960DC">
        <w:rPr>
          <w:sz w:val="22"/>
          <w:szCs w:val="22"/>
        </w:rPr>
        <w:t xml:space="preserve">scaffold plus cells group, 54% of scaffold alone, </w:t>
      </w:r>
      <w:r w:rsidR="00E46945">
        <w:rPr>
          <w:sz w:val="22"/>
          <w:szCs w:val="22"/>
        </w:rPr>
        <w:t>compared to</w:t>
      </w:r>
      <w:r w:rsidR="00E46945" w:rsidRPr="00C960DC">
        <w:rPr>
          <w:sz w:val="22"/>
          <w:szCs w:val="22"/>
        </w:rPr>
        <w:t xml:space="preserve"> only 17% of cells-alone, and 33% of lesion-control groups attained a score of at least 10 (threshold of significant walking behavior).</w:t>
      </w:r>
      <w:r w:rsidR="00565ECD">
        <w:rPr>
          <w:sz w:val="22"/>
          <w:szCs w:val="22"/>
        </w:rPr>
        <w:t xml:space="preserve"> </w:t>
      </w:r>
    </w:p>
    <w:p w14:paraId="18096511" w14:textId="069723F9" w:rsidR="00565ECD" w:rsidRDefault="00565ECD" w:rsidP="00565ECD">
      <w:pPr>
        <w:pStyle w:val="Body"/>
        <w:spacing w:line="480" w:lineRule="auto"/>
        <w:rPr>
          <w:sz w:val="22"/>
          <w:szCs w:val="22"/>
        </w:rPr>
      </w:pPr>
      <w:r w:rsidRPr="00565ECD">
        <w:rPr>
          <w:sz w:val="22"/>
          <w:szCs w:val="22"/>
        </w:rPr>
        <w:t xml:space="preserve">The scaffold plus cells group showed more normal sensory responses: at 70 days </w:t>
      </w:r>
      <w:proofErr w:type="spellStart"/>
      <w:r w:rsidRPr="00565ECD">
        <w:rPr>
          <w:sz w:val="22"/>
          <w:szCs w:val="22"/>
        </w:rPr>
        <w:t>p.i.</w:t>
      </w:r>
      <w:proofErr w:type="spellEnd"/>
      <w:r w:rsidRPr="00565ECD">
        <w:rPr>
          <w:sz w:val="22"/>
          <w:szCs w:val="22"/>
        </w:rPr>
        <w:t>, 50% of the animals regained a normal pain withdrawal reflex on the lesioned side</w:t>
      </w:r>
      <w:r w:rsidR="008E0794">
        <w:rPr>
          <w:sz w:val="22"/>
          <w:szCs w:val="22"/>
        </w:rPr>
        <w:t xml:space="preserve"> (</w:t>
      </w:r>
      <w:r w:rsidRPr="00565ECD">
        <w:rPr>
          <w:sz w:val="22"/>
          <w:szCs w:val="22"/>
        </w:rPr>
        <w:t>only 15%</w:t>
      </w:r>
      <w:r w:rsidR="008E0794">
        <w:rPr>
          <w:sz w:val="22"/>
          <w:szCs w:val="22"/>
        </w:rPr>
        <w:t xml:space="preserve"> for</w:t>
      </w:r>
      <w:r w:rsidRPr="00565ECD">
        <w:rPr>
          <w:sz w:val="22"/>
          <w:szCs w:val="22"/>
        </w:rPr>
        <w:t xml:space="preserve"> the cells-alone and lesion-control</w:t>
      </w:r>
      <w:r w:rsidR="008E0794">
        <w:rPr>
          <w:sz w:val="22"/>
          <w:szCs w:val="22"/>
        </w:rPr>
        <w:t>)</w:t>
      </w:r>
      <w:r w:rsidRPr="00565ECD">
        <w:rPr>
          <w:sz w:val="22"/>
          <w:szCs w:val="22"/>
        </w:rPr>
        <w:t>.</w:t>
      </w:r>
      <w:r w:rsidR="005D4FB5">
        <w:rPr>
          <w:sz w:val="22"/>
          <w:szCs w:val="22"/>
        </w:rPr>
        <w:t xml:space="preserve"> </w:t>
      </w:r>
    </w:p>
    <w:p w14:paraId="6F4BCDD0" w14:textId="51EE021F" w:rsidR="00BC64EB" w:rsidRPr="00C37B86" w:rsidRDefault="00BC64EB" w:rsidP="004B5E34">
      <w:pPr>
        <w:pStyle w:val="Heading6"/>
        <w:spacing w:before="0" w:after="120"/>
        <w:rPr>
          <w:b/>
          <w:bCs/>
          <w:color w:val="0072CE" w:themeColor="text2"/>
          <w:sz w:val="22"/>
          <w:szCs w:val="22"/>
        </w:rPr>
      </w:pPr>
      <w:r w:rsidRPr="00C37B86">
        <w:rPr>
          <w:b/>
          <w:bCs/>
          <w:color w:val="0072CE" w:themeColor="text2"/>
        </w:rPr>
        <w:t>Internal Decompression of the Acutely Contused Spinal Cord</w:t>
      </w:r>
    </w:p>
    <w:p w14:paraId="1FF83F63" w14:textId="35215D4E" w:rsidR="00AD1619" w:rsidRDefault="00591646" w:rsidP="00AD1619">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two groups of animals were used</w:t>
      </w:r>
      <w:r w:rsidR="001003CA">
        <w:rPr>
          <w:bCs w:val="0"/>
          <w:noProof/>
          <w:sz w:val="22"/>
          <w:szCs w:val="22"/>
        </w:rPr>
        <w:t>:</w:t>
      </w:r>
      <w:r>
        <w:rPr>
          <w:bCs w:val="0"/>
          <w:noProof/>
          <w:sz w:val="22"/>
          <w:szCs w:val="22"/>
        </w:rPr>
        <w:t xml:space="preserve"> rodents and minipigs. </w:t>
      </w:r>
      <w:r w:rsidR="00896CE6">
        <w:rPr>
          <w:bCs w:val="0"/>
          <w:noProof/>
          <w:sz w:val="22"/>
          <w:szCs w:val="22"/>
        </w:rPr>
        <w:t xml:space="preserve">They all went through an internal timed decompression procedure (ID) consiting in opening the pia of the spinal cord </w:t>
      </w:r>
      <w:r w:rsidR="00CC48AD">
        <w:rPr>
          <w:bCs w:val="0"/>
          <w:noProof/>
          <w:sz w:val="22"/>
          <w:szCs w:val="22"/>
        </w:rPr>
        <w:t xml:space="preserve">to allow the insertion of the </w:t>
      </w:r>
      <w:r w:rsidR="00AD1619">
        <w:rPr>
          <w:bCs w:val="0"/>
          <w:noProof/>
          <w:sz w:val="22"/>
          <w:szCs w:val="22"/>
        </w:rPr>
        <w:t xml:space="preserve">NS scaffold. </w:t>
      </w:r>
      <w:r w:rsidR="00AD1619">
        <w:rPr>
          <w:bCs w:val="0"/>
          <w:sz w:val="22"/>
          <w:szCs w:val="22"/>
        </w:rPr>
        <w:t>During the implantation, m</w:t>
      </w:r>
      <w:r w:rsidR="00AD1619" w:rsidRPr="00C960DC">
        <w:rPr>
          <w:bCs w:val="0"/>
          <w:sz w:val="22"/>
          <w:szCs w:val="22"/>
        </w:rPr>
        <w:t xml:space="preserve">onitored </w:t>
      </w:r>
      <w:r w:rsidR="00AD1619">
        <w:rPr>
          <w:bCs w:val="0"/>
          <w:sz w:val="22"/>
          <w:szCs w:val="22"/>
        </w:rPr>
        <w:t>intraspinal p</w:t>
      </w:r>
      <w:r w:rsidR="00AD1619" w:rsidRPr="00C960DC">
        <w:rPr>
          <w:bCs w:val="0"/>
          <w:sz w:val="22"/>
          <w:szCs w:val="22"/>
        </w:rPr>
        <w:t>ressure, initially peaked when the scaffold was inserted</w:t>
      </w:r>
      <w:r w:rsidR="00AD1619">
        <w:rPr>
          <w:bCs w:val="0"/>
          <w:sz w:val="22"/>
          <w:szCs w:val="22"/>
        </w:rPr>
        <w:t>;</w:t>
      </w:r>
      <w:r w:rsidR="00AD1619" w:rsidRPr="00C960DC">
        <w:rPr>
          <w:bCs w:val="0"/>
          <w:sz w:val="22"/>
          <w:szCs w:val="22"/>
        </w:rPr>
        <w:t xml:space="preserve"> </w:t>
      </w:r>
      <w:r w:rsidR="00AD1619">
        <w:rPr>
          <w:bCs w:val="0"/>
          <w:sz w:val="22"/>
          <w:szCs w:val="22"/>
        </w:rPr>
        <w:t>but</w:t>
      </w:r>
      <w:r w:rsidR="00AD1619" w:rsidRPr="00C960DC">
        <w:rPr>
          <w:bCs w:val="0"/>
          <w:sz w:val="22"/>
          <w:szCs w:val="22"/>
        </w:rPr>
        <w:t xml:space="preserve"> sw</w:t>
      </w:r>
      <w:r w:rsidR="00AD1619">
        <w:rPr>
          <w:bCs w:val="0"/>
          <w:sz w:val="22"/>
          <w:szCs w:val="22"/>
        </w:rPr>
        <w:t>u</w:t>
      </w:r>
      <w:r w:rsidR="00AD1619" w:rsidRPr="00C960DC">
        <w:rPr>
          <w:bCs w:val="0"/>
          <w:sz w:val="22"/>
          <w:szCs w:val="22"/>
        </w:rPr>
        <w:t xml:space="preserve">ng back to the normal expected range after </w:t>
      </w:r>
      <w:proofErr w:type="spellStart"/>
      <w:r w:rsidR="00AD1619" w:rsidRPr="00C960DC">
        <w:rPr>
          <w:bCs w:val="0"/>
          <w:sz w:val="22"/>
          <w:szCs w:val="22"/>
        </w:rPr>
        <w:t>dural</w:t>
      </w:r>
      <w:proofErr w:type="spellEnd"/>
      <w:r w:rsidR="00AD1619" w:rsidRPr="00C960DC">
        <w:rPr>
          <w:bCs w:val="0"/>
          <w:sz w:val="22"/>
          <w:szCs w:val="22"/>
        </w:rPr>
        <w:t xml:space="preserve"> closure. </w:t>
      </w:r>
      <w:r w:rsidR="00AD1619" w:rsidRPr="00C960DC">
        <w:rPr>
          <w:bCs w:val="0"/>
          <w:sz w:val="22"/>
          <w:szCs w:val="22"/>
          <w:lang w:bidi="en-US"/>
        </w:rPr>
        <w:t xml:space="preserve">ID + scaffold reported a decrease in cavity volume (86%) and an increase of preserved tissue width (44%) relative to the untreated animal group. Compared to the </w:t>
      </w:r>
      <w:r w:rsidR="00AD1619" w:rsidRPr="00C960DC">
        <w:rPr>
          <w:bCs w:val="0"/>
          <w:sz w:val="22"/>
          <w:szCs w:val="22"/>
          <w:lang w:bidi="en-US"/>
        </w:rPr>
        <w:lastRenderedPageBreak/>
        <w:t>control group, scaffold implanted animals had an increase of 0.6 mm</w:t>
      </w:r>
      <w:r w:rsidR="00AD1619" w:rsidRPr="00C960DC">
        <w:rPr>
          <w:bCs w:val="0"/>
          <w:sz w:val="22"/>
          <w:szCs w:val="22"/>
          <w:vertAlign w:val="superscript"/>
          <w:lang w:bidi="en-US"/>
        </w:rPr>
        <w:t>3</w:t>
      </w:r>
      <w:r w:rsidR="00AD1619" w:rsidRPr="00C960DC">
        <w:rPr>
          <w:bCs w:val="0"/>
          <w:sz w:val="22"/>
          <w:szCs w:val="22"/>
          <w:lang w:bidi="en-US"/>
        </w:rPr>
        <w:t xml:space="preserve"> in white matter width and 2mm</w:t>
      </w:r>
      <w:r w:rsidR="00AD1619" w:rsidRPr="00C960DC">
        <w:rPr>
          <w:bCs w:val="0"/>
          <w:sz w:val="22"/>
          <w:szCs w:val="22"/>
          <w:vertAlign w:val="superscript"/>
          <w:lang w:bidi="en-US"/>
        </w:rPr>
        <w:t>3</w:t>
      </w:r>
      <w:r w:rsidR="00AD1619" w:rsidRPr="00C960DC">
        <w:rPr>
          <w:bCs w:val="0"/>
          <w:sz w:val="22"/>
          <w:szCs w:val="22"/>
          <w:lang w:bidi="en-US"/>
        </w:rPr>
        <w:t xml:space="preserve"> remodeled volume tissue. </w:t>
      </w:r>
      <w:r w:rsidR="001003CA">
        <w:rPr>
          <w:bCs w:val="0"/>
          <w:sz w:val="22"/>
          <w:szCs w:val="22"/>
          <w:lang w:bidi="en-US"/>
        </w:rPr>
        <w:t>This PLGA scaffold degrade</w:t>
      </w:r>
      <w:r w:rsidR="00614210">
        <w:rPr>
          <w:bCs w:val="0"/>
          <w:sz w:val="22"/>
          <w:szCs w:val="22"/>
          <w:lang w:bidi="en-US"/>
        </w:rPr>
        <w:t>d</w:t>
      </w:r>
      <w:r w:rsidR="001003CA">
        <w:rPr>
          <w:bCs w:val="0"/>
          <w:sz w:val="22"/>
          <w:szCs w:val="22"/>
          <w:lang w:bidi="en-US"/>
        </w:rPr>
        <w:t xml:space="preserve"> over 4-8 weeks. </w:t>
      </w:r>
      <w:r w:rsidR="001003CA" w:rsidRPr="00C960DC">
        <w:rPr>
          <w:bCs w:val="0"/>
          <w:sz w:val="22"/>
          <w:szCs w:val="22"/>
          <w:lang w:bidi="en-US"/>
        </w:rPr>
        <w:t>H&amp;H staining, one week after implantation, revealed that few cells have entered the scaffold. At 2 weeks, the scaffold was extensively infiltrated. By week</w:t>
      </w:r>
      <w:r w:rsidR="001003CA">
        <w:rPr>
          <w:bCs w:val="0"/>
          <w:sz w:val="22"/>
          <w:szCs w:val="22"/>
          <w:lang w:bidi="en-US"/>
        </w:rPr>
        <w:t xml:space="preserve"> 3</w:t>
      </w:r>
      <w:r w:rsidR="001003CA" w:rsidRPr="00C960DC">
        <w:rPr>
          <w:bCs w:val="0"/>
          <w:sz w:val="22"/>
          <w:szCs w:val="22"/>
          <w:lang w:bidi="en-US"/>
        </w:rPr>
        <w:t xml:space="preserve"> and onward, the scaffold volume was reduced further and further. </w:t>
      </w:r>
      <w:r w:rsidR="001003CA">
        <w:rPr>
          <w:bCs w:val="0"/>
          <w:sz w:val="22"/>
          <w:szCs w:val="22"/>
          <w:lang w:bidi="en-US"/>
        </w:rPr>
        <w:t>And b</w:t>
      </w:r>
      <w:r w:rsidR="001003CA" w:rsidRPr="00C960DC">
        <w:rPr>
          <w:bCs w:val="0"/>
          <w:sz w:val="22"/>
          <w:szCs w:val="22"/>
          <w:lang w:bidi="en-US"/>
        </w:rPr>
        <w:t>y week 12, the scaffold was mostly replaced by new tissue with foreign body giant cells (FBGC</w:t>
      </w:r>
      <w:r w:rsidR="007E4D42">
        <w:rPr>
          <w:bCs w:val="0"/>
          <w:sz w:val="22"/>
          <w:szCs w:val="22"/>
          <w:lang w:bidi="en-US"/>
        </w:rPr>
        <w:t>)</w:t>
      </w:r>
      <w:r w:rsidR="001003CA">
        <w:rPr>
          <w:bCs w:val="0"/>
          <w:sz w:val="22"/>
          <w:szCs w:val="22"/>
          <w:lang w:bidi="en-US"/>
        </w:rPr>
        <w:t xml:space="preserve">. </w:t>
      </w:r>
      <w:r w:rsidR="001003CA" w:rsidRPr="00C960DC">
        <w:rPr>
          <w:bCs w:val="0"/>
          <w:sz w:val="22"/>
          <w:szCs w:val="22"/>
          <w:lang w:bidi="en-US"/>
        </w:rPr>
        <w:t>By comparison, 12 weeks after</w:t>
      </w:r>
      <w:r w:rsidR="001003CA">
        <w:rPr>
          <w:bCs w:val="0"/>
          <w:sz w:val="22"/>
          <w:szCs w:val="22"/>
          <w:lang w:bidi="en-US"/>
        </w:rPr>
        <w:t>,</w:t>
      </w:r>
      <w:r w:rsidR="001003CA" w:rsidRPr="00C960DC">
        <w:rPr>
          <w:bCs w:val="0"/>
          <w:sz w:val="22"/>
          <w:szCs w:val="22"/>
          <w:lang w:bidi="en-US"/>
        </w:rPr>
        <w:t xml:space="preserve"> </w:t>
      </w:r>
      <w:r w:rsidR="001003CA">
        <w:rPr>
          <w:bCs w:val="0"/>
          <w:sz w:val="22"/>
          <w:szCs w:val="22"/>
          <w:lang w:bidi="en-US"/>
        </w:rPr>
        <w:t xml:space="preserve">for </w:t>
      </w:r>
      <w:r w:rsidR="001003CA" w:rsidRPr="00C960DC">
        <w:rPr>
          <w:bCs w:val="0"/>
          <w:sz w:val="22"/>
          <w:szCs w:val="22"/>
          <w:lang w:bidi="en-US"/>
        </w:rPr>
        <w:t>an SCI only, the injury was filled with an empty cyst with macrophages along thin septations</w:t>
      </w:r>
      <w:r w:rsidR="005E2DB0">
        <w:rPr>
          <w:bCs w:val="0"/>
          <w:sz w:val="22"/>
          <w:szCs w:val="22"/>
          <w:lang w:bidi="en-US"/>
        </w:rPr>
        <w:t xml:space="preserve">. </w:t>
      </w:r>
      <w:r w:rsidR="00A61D8D">
        <w:rPr>
          <w:bCs w:val="0"/>
          <w:sz w:val="22"/>
          <w:szCs w:val="22"/>
          <w:lang w:bidi="en-US"/>
        </w:rPr>
        <w:t>The</w:t>
      </w:r>
      <w:r w:rsidR="005355A4">
        <w:rPr>
          <w:bCs w:val="0"/>
          <w:sz w:val="22"/>
          <w:szCs w:val="22"/>
          <w:lang w:bidi="en-US"/>
        </w:rPr>
        <w:t xml:space="preserve"> </w:t>
      </w:r>
      <w:r w:rsidR="005355A4" w:rsidRPr="00C960DC">
        <w:rPr>
          <w:bCs w:val="0"/>
          <w:sz w:val="22"/>
          <w:szCs w:val="22"/>
          <w:lang w:bidi="en-US"/>
        </w:rPr>
        <w:t>newly formed tissues</w:t>
      </w:r>
      <w:r w:rsidR="00A61D8D">
        <w:rPr>
          <w:bCs w:val="0"/>
          <w:sz w:val="22"/>
          <w:szCs w:val="22"/>
          <w:lang w:bidi="en-US"/>
        </w:rPr>
        <w:t xml:space="preserve"> </w:t>
      </w:r>
      <w:r w:rsidR="005355A4" w:rsidRPr="00C960DC">
        <w:rPr>
          <w:bCs w:val="0"/>
          <w:sz w:val="22"/>
          <w:szCs w:val="22"/>
          <w:lang w:bidi="en-US"/>
        </w:rPr>
        <w:t xml:space="preserve">were analyzed by immunofluorescent labeling and </w:t>
      </w:r>
      <w:r w:rsidR="005355A4">
        <w:rPr>
          <w:bCs w:val="0"/>
          <w:sz w:val="22"/>
          <w:szCs w:val="22"/>
          <w:lang w:bidi="en-US"/>
        </w:rPr>
        <w:t xml:space="preserve">it </w:t>
      </w:r>
      <w:r w:rsidR="005355A4" w:rsidRPr="00C960DC">
        <w:rPr>
          <w:bCs w:val="0"/>
          <w:sz w:val="22"/>
          <w:szCs w:val="22"/>
          <w:lang w:bidi="en-US"/>
        </w:rPr>
        <w:t xml:space="preserve">showed laminl-1 indicating regenerating axons entering </w:t>
      </w:r>
      <w:r w:rsidR="005355A4">
        <w:rPr>
          <w:bCs w:val="0"/>
          <w:sz w:val="22"/>
          <w:szCs w:val="22"/>
          <w:lang w:bidi="en-US"/>
        </w:rPr>
        <w:t>these</w:t>
      </w:r>
      <w:r w:rsidR="005355A4" w:rsidRPr="00C960DC">
        <w:rPr>
          <w:bCs w:val="0"/>
          <w:sz w:val="22"/>
          <w:szCs w:val="22"/>
          <w:lang w:bidi="en-US"/>
        </w:rPr>
        <w:t xml:space="preserve"> tissue</w:t>
      </w:r>
      <w:r w:rsidR="005355A4">
        <w:rPr>
          <w:bCs w:val="0"/>
          <w:sz w:val="22"/>
          <w:szCs w:val="22"/>
          <w:lang w:bidi="en-US"/>
        </w:rPr>
        <w:t>s</w:t>
      </w:r>
      <w:r w:rsidR="005355A4" w:rsidRPr="00C960DC">
        <w:rPr>
          <w:bCs w:val="0"/>
          <w:sz w:val="22"/>
          <w:szCs w:val="22"/>
          <w:lang w:bidi="en-US"/>
        </w:rPr>
        <w:t xml:space="preserve"> at the injury site compared to control. </w:t>
      </w:r>
      <w:r w:rsidR="00A61D8D">
        <w:rPr>
          <w:bCs w:val="0"/>
          <w:sz w:val="22"/>
          <w:szCs w:val="22"/>
          <w:lang w:bidi="en-US"/>
        </w:rPr>
        <w:t>A</w:t>
      </w:r>
      <w:r w:rsidR="00A61D8D" w:rsidRPr="00C960DC">
        <w:rPr>
          <w:bCs w:val="0"/>
          <w:sz w:val="22"/>
          <w:szCs w:val="22"/>
          <w:lang w:bidi="en-US"/>
        </w:rPr>
        <w:t>fter scaffold degradation</w:t>
      </w:r>
      <w:r w:rsidR="00A61D8D">
        <w:rPr>
          <w:bCs w:val="0"/>
          <w:sz w:val="22"/>
          <w:szCs w:val="22"/>
          <w:lang w:bidi="en-US"/>
        </w:rPr>
        <w:t>, m</w:t>
      </w:r>
      <w:r w:rsidR="00FD7A12">
        <w:rPr>
          <w:bCs w:val="0"/>
          <w:sz w:val="22"/>
          <w:szCs w:val="22"/>
          <w:lang w:bidi="en-US"/>
        </w:rPr>
        <w:t xml:space="preserve">yelin </w:t>
      </w:r>
      <w:r w:rsidR="005355A4" w:rsidRPr="00C960DC">
        <w:rPr>
          <w:bCs w:val="0"/>
          <w:sz w:val="22"/>
          <w:szCs w:val="22"/>
          <w:lang w:bidi="en-US"/>
        </w:rPr>
        <w:t xml:space="preserve">P0 </w:t>
      </w:r>
      <w:r w:rsidR="00FD7A12">
        <w:rPr>
          <w:bCs w:val="0"/>
          <w:sz w:val="22"/>
          <w:szCs w:val="22"/>
          <w:lang w:bidi="en-US"/>
        </w:rPr>
        <w:t xml:space="preserve">protein </w:t>
      </w:r>
      <w:r w:rsidR="005355A4" w:rsidRPr="00C960DC">
        <w:rPr>
          <w:bCs w:val="0"/>
          <w:sz w:val="22"/>
          <w:szCs w:val="22"/>
          <w:lang w:bidi="en-US"/>
        </w:rPr>
        <w:t>staining</w:t>
      </w:r>
      <w:r w:rsidR="00F16744">
        <w:rPr>
          <w:bCs w:val="0"/>
          <w:sz w:val="22"/>
          <w:szCs w:val="22"/>
          <w:lang w:bidi="en-US"/>
        </w:rPr>
        <w:t>,</w:t>
      </w:r>
      <w:r w:rsidR="005355A4" w:rsidRPr="00C960DC">
        <w:rPr>
          <w:bCs w:val="0"/>
          <w:sz w:val="22"/>
          <w:szCs w:val="22"/>
          <w:lang w:bidi="en-US"/>
        </w:rPr>
        <w:t xml:space="preserve"> showed Schwan cell (SCs) extensively remyelinating </w:t>
      </w:r>
      <w:r w:rsidR="00A61D8D">
        <w:rPr>
          <w:bCs w:val="0"/>
          <w:sz w:val="22"/>
          <w:szCs w:val="22"/>
          <w:lang w:bidi="en-US"/>
        </w:rPr>
        <w:t>these</w:t>
      </w:r>
      <w:r w:rsidR="005355A4" w:rsidRPr="00C960DC">
        <w:rPr>
          <w:bCs w:val="0"/>
          <w:sz w:val="22"/>
          <w:szCs w:val="22"/>
          <w:lang w:bidi="en-US"/>
        </w:rPr>
        <w:t xml:space="preserve"> tissue</w:t>
      </w:r>
      <w:r w:rsidR="001B4A07">
        <w:rPr>
          <w:bCs w:val="0"/>
          <w:sz w:val="22"/>
          <w:szCs w:val="22"/>
          <w:lang w:bidi="en-US"/>
        </w:rPr>
        <w:t>s</w:t>
      </w:r>
      <w:r w:rsidR="00182F78">
        <w:rPr>
          <w:bCs w:val="0"/>
          <w:sz w:val="22"/>
          <w:szCs w:val="22"/>
          <w:lang w:bidi="en-US"/>
        </w:rPr>
        <w:t xml:space="preserve"> (axial sections)</w:t>
      </w:r>
      <w:r w:rsidR="005355A4" w:rsidRPr="00C960DC">
        <w:rPr>
          <w:bCs w:val="0"/>
          <w:sz w:val="22"/>
          <w:szCs w:val="22"/>
          <w:lang w:bidi="en-US"/>
        </w:rPr>
        <w:t>.</w:t>
      </w:r>
      <w:r w:rsidR="00C56B04">
        <w:rPr>
          <w:bCs w:val="0"/>
          <w:sz w:val="22"/>
          <w:szCs w:val="22"/>
          <w:lang w:bidi="en-US"/>
        </w:rPr>
        <w:t xml:space="preserve"> </w:t>
      </w:r>
    </w:p>
    <w:p w14:paraId="7A4F5E88" w14:textId="51EA7361" w:rsidR="00BC64EB" w:rsidRPr="003219EE" w:rsidRDefault="00BC64EB" w:rsidP="004B5E34">
      <w:pPr>
        <w:pStyle w:val="Heading6"/>
        <w:spacing w:before="0" w:after="120"/>
        <w:rPr>
          <w:b/>
          <w:bCs/>
          <w:color w:val="0072CE" w:themeColor="text2"/>
          <w:sz w:val="22"/>
          <w:szCs w:val="22"/>
          <w:lang w:bidi="en-US"/>
        </w:rPr>
      </w:pPr>
      <w:r w:rsidRPr="003219EE">
        <w:rPr>
          <w:b/>
          <w:bCs/>
          <w:color w:val="0072CE" w:themeColor="text2"/>
        </w:rPr>
        <w:t>Human Embryonic Stem Cell-Derived Oligodendrocyte Progenitor Cells</w:t>
      </w:r>
    </w:p>
    <w:p w14:paraId="6FB79872" w14:textId="05ADD91A" w:rsidR="00E46945" w:rsidRPr="004500BB" w:rsidRDefault="003A38B7" w:rsidP="00B86CEF">
      <w:pPr>
        <w:pStyle w:val="Body"/>
        <w:spacing w:before="120"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sidR="004500BB">
        <w:rPr>
          <w:sz w:val="22"/>
          <w:szCs w:val="22"/>
        </w:rPr>
        <w:t>,</w:t>
      </w:r>
      <w:r w:rsidRPr="00C960DC">
        <w:rPr>
          <w:sz w:val="22"/>
          <w:szCs w:val="22"/>
        </w:rPr>
        <w:t xml:space="preserve"> close to the injury site</w:t>
      </w:r>
      <w:r>
        <w:rPr>
          <w:sz w:val="22"/>
          <w:szCs w:val="22"/>
        </w:rPr>
        <w:t xml:space="preserve">  of rats subjected to an SCI at level C5.</w:t>
      </w:r>
      <w:r w:rsidR="004B5EE8" w:rsidRPr="004B5EE8">
        <w:rPr>
          <w:sz w:val="22"/>
          <w:szCs w:val="22"/>
        </w:rPr>
        <w:t xml:space="preserve"> </w:t>
      </w:r>
      <w:r w:rsidR="004B5EE8" w:rsidRPr="00C960DC">
        <w:rPr>
          <w:sz w:val="22"/>
          <w:szCs w:val="22"/>
        </w:rPr>
        <w:t xml:space="preserve">Assessment of the locomotor performance was </w:t>
      </w:r>
      <w:r w:rsidR="004B5EE8">
        <w:rPr>
          <w:sz w:val="22"/>
          <w:szCs w:val="22"/>
        </w:rPr>
        <w:t>measured</w:t>
      </w:r>
      <w:r w:rsidR="004B5EE8" w:rsidRPr="00C960DC">
        <w:rPr>
          <w:sz w:val="22"/>
          <w:szCs w:val="22"/>
        </w:rPr>
        <w:t xml:space="preserve"> </w:t>
      </w:r>
      <w:r w:rsidR="004B5EE8">
        <w:rPr>
          <w:sz w:val="22"/>
          <w:szCs w:val="22"/>
        </w:rPr>
        <w:t xml:space="preserve">using the </w:t>
      </w:r>
      <w:proofErr w:type="spellStart"/>
      <w:r w:rsidR="004B5EE8">
        <w:rPr>
          <w:sz w:val="22"/>
          <w:szCs w:val="22"/>
        </w:rPr>
        <w:t>TreadScan</w:t>
      </w:r>
      <w:proofErr w:type="spellEnd"/>
      <w:r w:rsidR="004B5EE8">
        <w:rPr>
          <w:sz w:val="22"/>
          <w:szCs w:val="22"/>
        </w:rPr>
        <w:t xml:space="preserve"> system</w:t>
      </w:r>
      <w:r w:rsidR="00D85A2E">
        <w:rPr>
          <w:sz w:val="22"/>
          <w:szCs w:val="22"/>
        </w:rPr>
        <w:t>;</w:t>
      </w:r>
      <w:r w:rsidR="004B5EE8">
        <w:rPr>
          <w:sz w:val="22"/>
          <w:szCs w:val="22"/>
        </w:rPr>
        <w:t xml:space="preserve"> </w:t>
      </w:r>
      <w:r w:rsidR="004B5EE8" w:rsidRPr="00C960DC">
        <w:rPr>
          <w:sz w:val="22"/>
          <w:szCs w:val="22"/>
        </w:rPr>
        <w:t xml:space="preserve">prior and at </w:t>
      </w:r>
      <w:r w:rsidR="00522708" w:rsidRPr="00C960DC">
        <w:rPr>
          <w:sz w:val="22"/>
          <w:szCs w:val="22"/>
        </w:rPr>
        <w:t>1,2- and 4-months</w:t>
      </w:r>
      <w:r w:rsidR="004B5EE8">
        <w:rPr>
          <w:sz w:val="22"/>
          <w:szCs w:val="22"/>
        </w:rPr>
        <w:t xml:space="preserve"> post injury</w:t>
      </w:r>
      <w:r w:rsidR="004B5EE8" w:rsidRPr="00C960DC">
        <w:rPr>
          <w:sz w:val="22"/>
          <w:szCs w:val="22"/>
        </w:rPr>
        <w:t xml:space="preserve"> </w:t>
      </w:r>
      <w:r w:rsidR="004B5EE8">
        <w:rPr>
          <w:sz w:val="22"/>
          <w:szCs w:val="22"/>
        </w:rPr>
        <w:t>(</w:t>
      </w:r>
      <w:proofErr w:type="spellStart"/>
      <w:r w:rsidR="004B5EE8" w:rsidRPr="00C960DC">
        <w:rPr>
          <w:sz w:val="22"/>
          <w:szCs w:val="22"/>
        </w:rPr>
        <w:t>p.i.</w:t>
      </w:r>
      <w:proofErr w:type="spellEnd"/>
      <w:r w:rsidR="004B5EE8">
        <w:rPr>
          <w:sz w:val="22"/>
          <w:szCs w:val="22"/>
        </w:rPr>
        <w:t>)</w:t>
      </w:r>
      <w:r w:rsidR="004B5EE8" w:rsidRPr="00C960DC">
        <w:rPr>
          <w:sz w:val="22"/>
          <w:szCs w:val="22"/>
        </w:rPr>
        <w:t>. Compared to animals treated with Hank’s balanced salt solution</w:t>
      </w:r>
      <w:r w:rsidR="00522708">
        <w:rPr>
          <w:sz w:val="22"/>
          <w:szCs w:val="22"/>
        </w:rPr>
        <w:t xml:space="preserve"> (HBSS)</w:t>
      </w:r>
      <w:r w:rsidR="004B5EE8" w:rsidRPr="00C960DC">
        <w:rPr>
          <w:sz w:val="22"/>
          <w:szCs w:val="22"/>
        </w:rPr>
        <w:t>, OPC1 animals exhibited the greatest score improvements</w:t>
      </w:r>
      <w:r w:rsidR="00B8173E">
        <w:rPr>
          <w:sz w:val="22"/>
          <w:szCs w:val="22"/>
        </w:rPr>
        <w:t xml:space="preserve"> closely matching the uninjured animals.</w:t>
      </w:r>
      <w:r w:rsidR="00522708">
        <w:rPr>
          <w:sz w:val="22"/>
          <w:szCs w:val="22"/>
        </w:rPr>
        <w:t xml:space="preserve"> </w:t>
      </w:r>
      <w:r w:rsidR="00F16744">
        <w:rPr>
          <w:sz w:val="22"/>
          <w:szCs w:val="22"/>
        </w:rPr>
        <w:t xml:space="preserve">And </w:t>
      </w:r>
      <w:r w:rsidR="00522708">
        <w:rPr>
          <w:sz w:val="22"/>
          <w:szCs w:val="22"/>
        </w:rPr>
        <w:t xml:space="preserve">OPC1 treatment resulted in a significant reduction to no parenchymal cavitation at the injury site, and </w:t>
      </w:r>
      <w:r w:rsidR="00F16744">
        <w:rPr>
          <w:sz w:val="22"/>
          <w:szCs w:val="22"/>
        </w:rPr>
        <w:t xml:space="preserve">treated animals </w:t>
      </w:r>
      <w:r w:rsidR="00522708">
        <w:rPr>
          <w:sz w:val="22"/>
          <w:szCs w:val="22"/>
        </w:rPr>
        <w:t xml:space="preserve">exhibited myelinated axons. </w:t>
      </w:r>
      <w:r w:rsidR="008D5313">
        <w:rPr>
          <w:sz w:val="22"/>
          <w:szCs w:val="22"/>
        </w:rPr>
        <w:t>H&amp;E staning and q</w:t>
      </w:r>
      <w:r w:rsidR="00522708">
        <w:rPr>
          <w:sz w:val="22"/>
          <w:szCs w:val="22"/>
        </w:rPr>
        <w:t xml:space="preserve">uantification of </w:t>
      </w:r>
      <w:proofErr w:type="spellStart"/>
      <w:r w:rsidR="00522708">
        <w:rPr>
          <w:sz w:val="22"/>
          <w:szCs w:val="22"/>
        </w:rPr>
        <w:t>hALU</w:t>
      </w:r>
      <w:proofErr w:type="spellEnd"/>
      <w:r w:rsidR="00522708">
        <w:rPr>
          <w:sz w:val="22"/>
          <w:szCs w:val="22"/>
        </w:rPr>
        <w:t xml:space="preserve"> by PCR </w:t>
      </w:r>
      <w:r w:rsidR="00D842C9">
        <w:rPr>
          <w:sz w:val="22"/>
          <w:szCs w:val="22"/>
        </w:rPr>
        <w:t>showed that</w:t>
      </w:r>
      <w:r w:rsidR="008D5313">
        <w:rPr>
          <w:sz w:val="22"/>
          <w:szCs w:val="22"/>
        </w:rPr>
        <w:t xml:space="preserve"> OPC1 cells were located in the spinal cord within and around the injury site (2 days, </w:t>
      </w:r>
      <w:r w:rsidR="004500BB">
        <w:rPr>
          <w:sz w:val="22"/>
          <w:szCs w:val="22"/>
        </w:rPr>
        <w:t>3-, 6-, and 9-months</w:t>
      </w:r>
      <w:r w:rsidR="008D5313">
        <w:rPr>
          <w:sz w:val="22"/>
          <w:szCs w:val="22"/>
        </w:rPr>
        <w:t xml:space="preserve"> post treatment)</w:t>
      </w:r>
      <w:r w:rsidR="00F16744">
        <w:rPr>
          <w:sz w:val="22"/>
          <w:szCs w:val="22"/>
        </w:rPr>
        <w:t xml:space="preserve">; </w:t>
      </w:r>
      <w:r w:rsidR="00D842C9">
        <w:rPr>
          <w:sz w:val="22"/>
          <w:szCs w:val="22"/>
        </w:rPr>
        <w:t>no OPC1</w:t>
      </w:r>
      <w:r w:rsidR="008D5313">
        <w:rPr>
          <w:sz w:val="22"/>
          <w:szCs w:val="22"/>
        </w:rPr>
        <w:t>s</w:t>
      </w:r>
      <w:r w:rsidR="00D842C9">
        <w:rPr>
          <w:sz w:val="22"/>
          <w:szCs w:val="22"/>
        </w:rPr>
        <w:t xml:space="preserve"> migration occurred outside of the CNS parenchyma.</w:t>
      </w:r>
    </w:p>
    <w:p w14:paraId="364A7E98" w14:textId="0C7248D3" w:rsidR="00BC64EB" w:rsidRPr="0034482B" w:rsidRDefault="005E25B4" w:rsidP="001B4A07">
      <w:pPr>
        <w:pStyle w:val="Body"/>
        <w:spacing w:line="480" w:lineRule="auto"/>
        <w:rPr>
          <w:bCs w:val="0"/>
          <w:sz w:val="22"/>
          <w:szCs w:val="22"/>
          <w:lang w:bidi="en-US"/>
        </w:rPr>
      </w:pPr>
      <w:r>
        <w:rPr>
          <w:bCs w:val="0"/>
          <w:sz w:val="22"/>
          <w:szCs w:val="22"/>
          <w:lang w:bidi="en-US"/>
        </w:rPr>
        <w:t xml:space="preserve">Histological examination of the spinal cord, did not reveal any teratoma, or tumor. No </w:t>
      </w:r>
      <w:r w:rsidR="00F16744">
        <w:rPr>
          <w:bCs w:val="0"/>
          <w:sz w:val="22"/>
          <w:szCs w:val="22"/>
          <w:lang w:bidi="en-US"/>
        </w:rPr>
        <w:t>toxicities</w:t>
      </w:r>
      <w:r>
        <w:rPr>
          <w:bCs w:val="0"/>
          <w:sz w:val="22"/>
          <w:szCs w:val="22"/>
          <w:lang w:bidi="en-US"/>
        </w:rPr>
        <w:t xml:space="preserve"> were reported with OPC1 treatment including no impacts on morbidity or mortality.</w:t>
      </w:r>
      <w:r w:rsidR="00F16744">
        <w:rPr>
          <w:bCs w:val="0"/>
          <w:sz w:val="22"/>
          <w:szCs w:val="22"/>
          <w:lang w:bidi="en-US"/>
        </w:rPr>
        <w:t xml:space="preserve"> </w:t>
      </w:r>
      <w:r w:rsidR="00131ABE" w:rsidRPr="00C960DC">
        <w:rPr>
          <w:bCs w:val="0"/>
          <w:sz w:val="22"/>
          <w:szCs w:val="22"/>
          <w:lang w:bidi="en-US"/>
        </w:rPr>
        <w:t>In vitro, proteins secreted by OPC1s involved in axonal growth (</w:t>
      </w:r>
      <w:proofErr w:type="spellStart"/>
      <w:r w:rsidR="00131ABE" w:rsidRPr="00C960DC">
        <w:rPr>
          <w:bCs w:val="0"/>
          <w:sz w:val="22"/>
          <w:szCs w:val="22"/>
          <w:lang w:bidi="en-US"/>
        </w:rPr>
        <w:t>clusterin</w:t>
      </w:r>
      <w:proofErr w:type="spellEnd"/>
      <w:r w:rsidR="00131ABE" w:rsidRPr="00C960DC">
        <w:rPr>
          <w:bCs w:val="0"/>
          <w:sz w:val="22"/>
          <w:szCs w:val="22"/>
          <w:lang w:bidi="en-US"/>
        </w:rPr>
        <w:t>), neural repair (MCP-1), and suppression of apoptosis (</w:t>
      </w:r>
      <w:proofErr w:type="spellStart"/>
      <w:r w:rsidR="00131ABE" w:rsidRPr="00C960DC">
        <w:rPr>
          <w:bCs w:val="0"/>
          <w:sz w:val="22"/>
          <w:szCs w:val="22"/>
          <w:lang w:bidi="en-US"/>
        </w:rPr>
        <w:t>apoE</w:t>
      </w:r>
      <w:proofErr w:type="spellEnd"/>
      <w:r w:rsidR="00131ABE" w:rsidRPr="00C960DC">
        <w:rPr>
          <w:bCs w:val="0"/>
          <w:sz w:val="22"/>
          <w:szCs w:val="22"/>
          <w:lang w:bidi="en-US"/>
        </w:rPr>
        <w:t xml:space="preserve">,  TIMP1 or 2) were detected by Luminex assay at high levels (see supplementary </w:t>
      </w:r>
      <w:r w:rsidR="00131ABE" w:rsidRPr="00C960DC">
        <w:rPr>
          <w:bCs w:val="0"/>
          <w:sz w:val="22"/>
          <w:szCs w:val="22"/>
          <w:lang w:bidi="en-US"/>
        </w:rPr>
        <w:lastRenderedPageBreak/>
        <w:t xml:space="preserve">Table 2 in </w:t>
      </w:r>
      <w:r w:rsidR="00131ABE" w:rsidRPr="00C960DC">
        <w:rPr>
          <w:bCs w:val="0"/>
          <w:sz w:val="22"/>
          <w:szCs w:val="22"/>
          <w:lang w:bidi="en-US"/>
        </w:rPr>
        <w:fldChar w:fldCharType="begin"/>
      </w:r>
      <w:r w:rsidR="00131ABE" w:rsidRPr="00C960DC">
        <w:rPr>
          <w:bCs w:val="0"/>
          <w:sz w:val="22"/>
          <w:szCs w:val="22"/>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131ABE" w:rsidRPr="00C960DC">
        <w:rPr>
          <w:bCs w:val="0"/>
          <w:sz w:val="22"/>
          <w:szCs w:val="22"/>
          <w:lang w:bidi="en-US"/>
        </w:rPr>
        <w:fldChar w:fldCharType="separate"/>
      </w:r>
      <w:r w:rsidR="00131ABE" w:rsidRPr="00C960DC">
        <w:rPr>
          <w:bCs w:val="0"/>
          <w:noProof/>
          <w:sz w:val="22"/>
          <w:szCs w:val="22"/>
          <w:lang w:bidi="en-US"/>
        </w:rPr>
        <w:t>(Priest et al.)</w:t>
      </w:r>
      <w:r w:rsidR="00131ABE" w:rsidRPr="00C960DC">
        <w:rPr>
          <w:bCs w:val="0"/>
          <w:sz w:val="22"/>
          <w:szCs w:val="22"/>
          <w:lang w:bidi="en-US"/>
        </w:rPr>
        <w:fldChar w:fldCharType="end"/>
      </w:r>
      <w:r w:rsidR="00131ABE" w:rsidRPr="00C960DC">
        <w:rPr>
          <w:bCs w:val="0"/>
          <w:sz w:val="22"/>
          <w:szCs w:val="22"/>
          <w:lang w:bidi="en-US"/>
        </w:rPr>
        <w:t>).</w:t>
      </w:r>
      <w:r w:rsidR="004B5E34">
        <w:rPr>
          <w:bCs w:val="0"/>
          <w:sz w:val="22"/>
          <w:szCs w:val="22"/>
          <w:lang w:bidi="en-US"/>
        </w:rPr>
        <w:t xml:space="preserve"> In addition, a variety of transcription factors involved in neurogenesis; Olig1, PDGFR</w:t>
      </w:r>
      <w:r w:rsidR="004B5E34">
        <w:rPr>
          <w:bCs w:val="0"/>
          <w:sz w:val="22"/>
          <w:szCs w:val="22"/>
          <w:lang w:bidi="en-US"/>
        </w:rPr>
        <w:sym w:font="Symbol" w:char="F061"/>
      </w:r>
      <w:r w:rsidR="004B5E34">
        <w:rPr>
          <w:bCs w:val="0"/>
          <w:sz w:val="22"/>
          <w:szCs w:val="22"/>
          <w:lang w:bidi="en-US"/>
        </w:rPr>
        <w:t xml:space="preserve">, </w:t>
      </w:r>
      <w:proofErr w:type="spellStart"/>
      <w:r w:rsidR="004B5E34">
        <w:rPr>
          <w:bCs w:val="0"/>
          <w:sz w:val="22"/>
          <w:szCs w:val="22"/>
          <w:lang w:bidi="en-US"/>
        </w:rPr>
        <w:t>Nestin</w:t>
      </w:r>
      <w:proofErr w:type="spellEnd"/>
      <w:r w:rsidR="004B5E34">
        <w:rPr>
          <w:bCs w:val="0"/>
          <w:sz w:val="22"/>
          <w:szCs w:val="22"/>
          <w:lang w:bidi="en-US"/>
        </w:rPr>
        <w:t>, NG2; were highly expressed (&gt;70% marker positive).</w:t>
      </w:r>
    </w:p>
    <w:p w14:paraId="64742778" w14:textId="6BEE76A5" w:rsidR="00551058" w:rsidRPr="00C37B86" w:rsidRDefault="00551058" w:rsidP="001B4A07">
      <w:pPr>
        <w:pStyle w:val="Body"/>
        <w:spacing w:line="480" w:lineRule="auto"/>
        <w:rPr>
          <w:b/>
          <w:bCs w:val="0"/>
          <w:lang w:bidi="en-US"/>
        </w:rPr>
      </w:pPr>
      <w:r w:rsidRPr="00C37B86">
        <w:rPr>
          <w:b/>
          <w:bCs w:val="0"/>
        </w:rPr>
        <w:t>Validation</w:t>
      </w:r>
    </w:p>
    <w:p w14:paraId="12715F15" w14:textId="326FAC1C" w:rsidR="00A42A22" w:rsidRPr="00C960DC" w:rsidRDefault="00F36B31" w:rsidP="0010363F">
      <w:pPr>
        <w:pStyle w:val="Body"/>
        <w:numPr>
          <w:ilvl w:val="0"/>
          <w:numId w:val="42"/>
        </w:numPr>
        <w:spacing w:line="480" w:lineRule="auto"/>
        <w:rPr>
          <w:sz w:val="22"/>
          <w:szCs w:val="22"/>
        </w:rPr>
      </w:pPr>
      <w:proofErr w:type="spellStart"/>
      <w:r w:rsidRPr="00C960DC">
        <w:rPr>
          <w:sz w:val="22"/>
          <w:szCs w:val="22"/>
        </w:rPr>
        <w:t>InVivo</w:t>
      </w:r>
      <w:proofErr w:type="spellEnd"/>
      <w:r w:rsidRPr="00C960DC">
        <w:rPr>
          <w:sz w:val="22"/>
          <w:szCs w:val="22"/>
        </w:rPr>
        <w:t xml:space="preserve"> </w:t>
      </w:r>
      <w:r w:rsidR="00FC3DC5">
        <w:rPr>
          <w:sz w:val="22"/>
          <w:szCs w:val="22"/>
        </w:rPr>
        <w:t>T</w:t>
      </w:r>
      <w:r w:rsidRPr="00C960DC">
        <w:rPr>
          <w:sz w:val="22"/>
          <w:szCs w:val="22"/>
        </w:rPr>
        <w:t xml:space="preserve">herapeutics has completed its first clinical trial in 2015, and since then has an on-going </w:t>
      </w:r>
      <w:r w:rsidR="000F0964" w:rsidRPr="00C960DC">
        <w:rPr>
          <w:sz w:val="22"/>
          <w:szCs w:val="22"/>
        </w:rPr>
        <w:t xml:space="preserve">second </w:t>
      </w:r>
      <w:r w:rsidRPr="00C960DC">
        <w:rPr>
          <w:sz w:val="22"/>
          <w:szCs w:val="22"/>
        </w:rPr>
        <w:t xml:space="preserve">clinical trial (INSPIRE 2.0). </w:t>
      </w:r>
      <w:r w:rsidR="00BC06BA" w:rsidRPr="00C960DC">
        <w:rPr>
          <w:sz w:val="22"/>
          <w:szCs w:val="22"/>
        </w:rPr>
        <w:t xml:space="preserve">In INSPIRE 2.0, </w:t>
      </w:r>
      <w:r w:rsidR="00FE3A1C" w:rsidRPr="00C960DC">
        <w:rPr>
          <w:sz w:val="22"/>
          <w:szCs w:val="22"/>
        </w:rPr>
        <w:t>19 patients with nonpenetrating S</w:t>
      </w:r>
      <w:r w:rsidR="000F0964" w:rsidRPr="00C960DC">
        <w:rPr>
          <w:sz w:val="22"/>
          <w:szCs w:val="22"/>
        </w:rPr>
        <w:t>C</w:t>
      </w:r>
      <w:r w:rsidR="00FE3A1C" w:rsidRPr="00C960DC">
        <w:rPr>
          <w:sz w:val="22"/>
          <w:szCs w:val="22"/>
        </w:rPr>
        <w:t>I with a visible contusion on MRI, AIS A scale, neurological level of injury at T2-T12 underwent NSS implantation.</w:t>
      </w:r>
      <w:r w:rsidR="00A42A22" w:rsidRPr="00C960DC">
        <w:rPr>
          <w:sz w:val="22"/>
          <w:szCs w:val="22"/>
        </w:rPr>
        <w:t xml:space="preserve"> These patients were monitored for adverse and adverse device events (AEs and ADEs), </w:t>
      </w:r>
      <w:r w:rsidR="00BC06BA" w:rsidRPr="00C960DC">
        <w:rPr>
          <w:sz w:val="22"/>
          <w:szCs w:val="22"/>
        </w:rPr>
        <w:t xml:space="preserve">bowel and bladder functions and they had </w:t>
      </w:r>
      <w:r w:rsidR="00A42A22" w:rsidRPr="00C960DC">
        <w:rPr>
          <w:sz w:val="22"/>
          <w:szCs w:val="22"/>
        </w:rPr>
        <w:t xml:space="preserve">follow-up MRIs to assess for presence or not of cyst formation. 7 of 16 had an improvement exceeding historical benchmarks </w:t>
      </w:r>
      <w:r w:rsidR="00C571FE" w:rsidRPr="00C960DC">
        <w:rPr>
          <w:sz w:val="22"/>
          <w:szCs w:val="22"/>
        </w:rPr>
        <w:t>(</w:t>
      </w:r>
      <w:r w:rsidR="00A42A22" w:rsidRPr="00C960DC">
        <w:rPr>
          <w:sz w:val="22"/>
          <w:szCs w:val="22"/>
        </w:rPr>
        <w:t xml:space="preserve">AIS grade </w:t>
      </w:r>
      <w:r w:rsidR="00C571FE" w:rsidRPr="00C960DC">
        <w:rPr>
          <w:sz w:val="22"/>
          <w:szCs w:val="22"/>
        </w:rPr>
        <w:t xml:space="preserve">A to B or C </w:t>
      </w:r>
      <w:r w:rsidR="00A42A22" w:rsidRPr="00C960DC">
        <w:rPr>
          <w:sz w:val="22"/>
          <w:szCs w:val="22"/>
        </w:rPr>
        <w:t>at 6 month</w:t>
      </w:r>
      <w:r w:rsidR="00C571FE" w:rsidRPr="00C960DC">
        <w:rPr>
          <w:sz w:val="22"/>
          <w:szCs w:val="22"/>
        </w:rPr>
        <w:t xml:space="preserve">). 4 patients </w:t>
      </w:r>
      <w:r w:rsidR="00A02DB4">
        <w:rPr>
          <w:sz w:val="22"/>
          <w:szCs w:val="22"/>
        </w:rPr>
        <w:t xml:space="preserve">(25%) </w:t>
      </w:r>
      <w:r w:rsidR="00C571FE" w:rsidRPr="00C960DC">
        <w:rPr>
          <w:sz w:val="22"/>
          <w:szCs w:val="22"/>
        </w:rPr>
        <w:t xml:space="preserve">had an </w:t>
      </w:r>
      <w:r w:rsidR="00CA3595" w:rsidRPr="00C960DC">
        <w:rPr>
          <w:sz w:val="22"/>
          <w:szCs w:val="22"/>
        </w:rPr>
        <w:t xml:space="preserve">improvement in motor score of 1 to 18 point by 24 months. Bowel and bladder functions were improved in all 6 responders. </w:t>
      </w:r>
      <w:r w:rsidR="00E01421" w:rsidRPr="00C960DC">
        <w:rPr>
          <w:sz w:val="22"/>
          <w:szCs w:val="22"/>
        </w:rPr>
        <w:t xml:space="preserve">And </w:t>
      </w:r>
      <w:r w:rsidR="00A83D07" w:rsidRPr="00C960DC">
        <w:rPr>
          <w:sz w:val="22"/>
          <w:szCs w:val="22"/>
        </w:rPr>
        <w:t xml:space="preserve">finally </w:t>
      </w:r>
      <w:r w:rsidR="00E01421" w:rsidRPr="00C960DC">
        <w:rPr>
          <w:sz w:val="22"/>
          <w:szCs w:val="22"/>
        </w:rPr>
        <w:t>no ADEs were reported</w:t>
      </w:r>
      <w:r w:rsidR="00AA4F28" w:rsidRPr="00C960DC">
        <w:rPr>
          <w:sz w:val="22"/>
          <w:szCs w:val="22"/>
        </w:rPr>
        <w:t xml:space="preserve"> </w:t>
      </w:r>
      <w:r w:rsidR="00AA4F28" w:rsidRPr="00C960DC">
        <w:rPr>
          <w:sz w:val="22"/>
          <w:szCs w:val="22"/>
        </w:rPr>
        <w:fldChar w:fldCharType="begin"/>
      </w:r>
      <w:r w:rsidR="00AA4F28"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00AA4F28" w:rsidRPr="00C960DC">
        <w:rPr>
          <w:sz w:val="22"/>
          <w:szCs w:val="22"/>
        </w:rPr>
        <w:fldChar w:fldCharType="separate"/>
      </w:r>
      <w:r w:rsidR="00AA4F28" w:rsidRPr="00C960DC">
        <w:rPr>
          <w:noProof/>
          <w:sz w:val="22"/>
          <w:szCs w:val="22"/>
        </w:rPr>
        <w:t>(Kim et al.)</w:t>
      </w:r>
      <w:r w:rsidR="00AA4F28" w:rsidRPr="00C960DC">
        <w:rPr>
          <w:sz w:val="22"/>
          <w:szCs w:val="22"/>
        </w:rPr>
        <w:fldChar w:fldCharType="end"/>
      </w:r>
      <w:r w:rsidR="00E01421" w:rsidRPr="00C960DC">
        <w:rPr>
          <w:sz w:val="22"/>
          <w:szCs w:val="22"/>
        </w:rPr>
        <w:t>.</w:t>
      </w:r>
      <w:r w:rsidR="00DA0EF0" w:rsidRPr="00C960DC">
        <w:rPr>
          <w:sz w:val="22"/>
          <w:szCs w:val="22"/>
        </w:rPr>
        <w:t xml:space="preserve"> </w:t>
      </w:r>
    </w:p>
    <w:p w14:paraId="5E52955D" w14:textId="0E9F289E" w:rsidR="0043376A" w:rsidRPr="00FC3DC5" w:rsidRDefault="008C2722" w:rsidP="00FC3DC5">
      <w:pPr>
        <w:pStyle w:val="Body"/>
        <w:numPr>
          <w:ilvl w:val="0"/>
          <w:numId w:val="42"/>
        </w:numPr>
        <w:spacing w:line="480" w:lineRule="auto"/>
        <w:rPr>
          <w:sz w:val="22"/>
          <w:szCs w:val="22"/>
        </w:rPr>
      </w:pPr>
      <w:r w:rsidRPr="00C960DC">
        <w:rPr>
          <w:sz w:val="22"/>
          <w:szCs w:val="22"/>
        </w:rPr>
        <w:t xml:space="preserve">Lineage </w:t>
      </w:r>
      <w:r w:rsidR="00FC3DC5">
        <w:rPr>
          <w:sz w:val="22"/>
          <w:szCs w:val="22"/>
        </w:rPr>
        <w:t>T</w:t>
      </w:r>
      <w:r w:rsidRPr="00C960DC">
        <w:rPr>
          <w:sz w:val="22"/>
          <w:szCs w:val="22"/>
        </w:rPr>
        <w:t xml:space="preserve">herapeutic </w:t>
      </w:r>
      <w:r w:rsidR="00AF0B31">
        <w:rPr>
          <w:sz w:val="22"/>
          <w:szCs w:val="22"/>
        </w:rPr>
        <w:t>has</w:t>
      </w:r>
      <w:r w:rsidRPr="00C960DC">
        <w:rPr>
          <w:sz w:val="22"/>
          <w:szCs w:val="22"/>
        </w:rPr>
        <w:t xml:space="preserve"> completed 2 clinical trials. In the most recent (Phase 1/2a dose escalation trial), </w:t>
      </w:r>
      <w:r w:rsidR="00E43D6C" w:rsidRPr="00C960DC">
        <w:rPr>
          <w:sz w:val="22"/>
          <w:szCs w:val="22"/>
        </w:rPr>
        <w:t xml:space="preserve">25 </w:t>
      </w:r>
      <w:r w:rsidRPr="00C960DC">
        <w:rPr>
          <w:sz w:val="22"/>
          <w:szCs w:val="22"/>
        </w:rPr>
        <w:t>patient</w:t>
      </w:r>
      <w:r w:rsidR="00E43D6C" w:rsidRPr="00C960DC">
        <w:rPr>
          <w:sz w:val="22"/>
          <w:szCs w:val="22"/>
        </w:rPr>
        <w:t>s with C4-7 AIS grade A or B,</w:t>
      </w:r>
      <w:r w:rsidRPr="00C960DC">
        <w:rPr>
          <w:sz w:val="22"/>
          <w:szCs w:val="22"/>
        </w:rPr>
        <w:t xml:space="preserve"> received different dose</w:t>
      </w:r>
      <w:r w:rsidR="00E2311B" w:rsidRPr="00C960DC">
        <w:rPr>
          <w:sz w:val="22"/>
          <w:szCs w:val="22"/>
        </w:rPr>
        <w:t>s</w:t>
      </w:r>
      <w:r w:rsidRPr="00C960DC">
        <w:rPr>
          <w:sz w:val="22"/>
          <w:szCs w:val="22"/>
        </w:rPr>
        <w:t xml:space="preserve">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w:t>
      </w:r>
      <w:r w:rsidR="00631AC2" w:rsidRPr="00C960DC">
        <w:rPr>
          <w:sz w:val="22"/>
          <w:szCs w:val="22"/>
        </w:rPr>
        <w:t xml:space="preserve"> At -</w:t>
      </w:r>
      <w:r w:rsidR="00AF0B31">
        <w:rPr>
          <w:sz w:val="22"/>
          <w:szCs w:val="22"/>
        </w:rPr>
        <w:t>1-</w:t>
      </w:r>
      <w:r w:rsidR="00631AC2" w:rsidRPr="00C960DC">
        <w:rPr>
          <w:sz w:val="22"/>
          <w:szCs w:val="22"/>
        </w:rPr>
        <w:t>year follow-up, 21/22 (96%) and 7/22 (32%), recovered 2 or more levels of neurological function on at least one</w:t>
      </w:r>
      <w:r w:rsidR="00E2311B" w:rsidRPr="00C960DC">
        <w:rPr>
          <w:sz w:val="22"/>
          <w:szCs w:val="22"/>
        </w:rPr>
        <w:t xml:space="preserve"> s</w:t>
      </w:r>
      <w:r w:rsidR="00631AC2" w:rsidRPr="00C960DC">
        <w:rPr>
          <w:sz w:val="22"/>
          <w:szCs w:val="22"/>
        </w:rPr>
        <w:t>ide of their body.</w:t>
      </w:r>
      <w:r w:rsidR="00E2311B" w:rsidRPr="00C960DC">
        <w:rPr>
          <w:sz w:val="22"/>
          <w:szCs w:val="22"/>
        </w:rPr>
        <w:t xml:space="preserve"> The </w:t>
      </w:r>
      <w:r w:rsidR="007734E1" w:rsidRPr="00C960DC">
        <w:rPr>
          <w:sz w:val="22"/>
          <w:szCs w:val="22"/>
        </w:rPr>
        <w:t xml:space="preserve">only </w:t>
      </w:r>
      <w:r w:rsidR="00E2311B" w:rsidRPr="00C960DC">
        <w:rPr>
          <w:sz w:val="22"/>
          <w:szCs w:val="22"/>
        </w:rPr>
        <w:t>AEs reported</w:t>
      </w:r>
      <w:r w:rsidR="007734E1" w:rsidRPr="00C960DC">
        <w:rPr>
          <w:sz w:val="22"/>
          <w:szCs w:val="22"/>
        </w:rPr>
        <w:t xml:space="preserve"> such as urinary tract infections, muscle spasms, or neuropathic pain are commonly reported SCI complications, none of SAEs were related to OPC1</w:t>
      </w:r>
      <w:r w:rsidR="00FC3DC5">
        <w:rPr>
          <w:sz w:val="22"/>
          <w:szCs w:val="22"/>
        </w:rPr>
        <w:t xml:space="preserve"> </w:t>
      </w:r>
      <w:r w:rsidR="00FC3DC5">
        <w:rPr>
          <w:sz w:val="22"/>
          <w:szCs w:val="22"/>
        </w:rPr>
        <w:fldChar w:fldCharType="begin"/>
      </w:r>
      <w:r w:rsidR="00FC3DC5">
        <w:rPr>
          <w:sz w:val="22"/>
          <w:szCs w:val="22"/>
        </w:rPr>
        <w:instrText xml:space="preserve"> ADDIN ZOTERO_ITEM CSL_CITATION {"citationID":"L3ytnJTJ","properties":{"formattedCitation":"(Fessler et al.)","plainCitation":"(Fessler et al.)","noteIndex":0},"citationItems":[{"id":4078,"uris":["http://zotero.org/users/7286058/items/IUZ63Z7D"],"itemData":{"id":4078,"type":"article-journal","abstract":"OBJECTIVE  The primary objective of this study was to evaluate the safety of 3 escalating doses of oligodendrocyte progenitor cells (LCTOPC1; previously known as GRNOPC1 and AST-OPC1) administered at a single time point between 21 and 42 days postinjury to participants with subacute cervical spinal cord injuries (SCIs). The secondary objective was to evaluate changes in neurological function following administration of LCTOPC1.\nMETHODS  This study was designed as an open-label, dose-escalation, multicenter clinical trial. Twenty-five participants with C4–7 American Spinal Injury Association Impairment Scale grade A or B injuries received a single dose of either 2 × 106, 1 × 107, or 2 × 107 LCTOPC1 delivered via intraparenchymal injection into the spinal cord at the site of injury using a custom-designed syringe positioning device. Low-dose tacrolimus was administered until day 60. Outcome measures included adverse event (AE) monitoring and neurological function as measured by the International Standards for Neurological Classification of Spinal Cord Injury.\nRESULTS  All 25 participants experienced at least one AE, with a total of 534 AEs (32 study-related vs 502 studyunrelated anticipated complications of SCI) reported at the completion of 1-year follow-up. There were 29 serious AEs reported. Two grade 3 serious AEs (CSF leak in one participant and a bacterial infection in another) were considered related to the injection procedure and to immunosuppression with tacrolimus, respectively. The CSF leakage resolved with sequelae, including self-limited altered mental status, and the infection resolved with antibiotic therapy. For all participants, MRI scans demonstrated no evidence of an enlarging mass, spinal cord damage related to the injection procedure, inflammatory lesions in the spinal cord, or masses in the ventricular system. At 1-year follow-up, 21/22 (96%) of the intention-to-treat group recovered one or more levels of neurological function on at least one side of their body, and 7/22 (32%) recovered two or more levels of neurological function on at least one side of their body.\nCONCLUSIONS  LCTOPC1 can be safely administered to participants in the subacute period after cervical SCI. The injection procedure, low-dose temporary immunosuppression regimen, and LCTOPC1 were well tolerated. The safety and neurological function data support further investigation to determine the efficacy of LCTOPC1 in the treatment of SCI.","container-title":"Journal of Neurosurgery: Spine","DOI":"10.3171/2022.5.SPINE22167","ISSN":"1547-5654","language":"en","page":"1-9","source":"DOI.org (Crossref)","title":"A phase 1/2a dose-escalation study of oligodendrocyte progenitor cells in individuals with subacute cervical spinal cord injury","URL":"https://thejns.org/view/journals/j-neurosurg-spine/aop/article-10.3171-2022.5.SPINE22167/article-10.3171-2022.5.SPINE22167.xml","author":[{"family":"Fessler","given":"Richard G."},{"family":"Ehsanian","given":"Reza"},{"family":"Liu","given":"Charles Y."},{"family":"Steinberg","given":"Gary K."},{"family":"Jones","given":"Linda"},{"family":"Lebkowski","given":"Jane S."},{"family":"Wirth","given":"Edward D."},{"family":"McKenna","given":"Stephen L."}],"accessed":{"date-parts":[["2022",10,10]]},"issued":{"date-parts":[["2022",7,1]]}}}],"schema":"https://github.com/citation-style-language/schema/raw/master/csl-citation.json"} </w:instrText>
      </w:r>
      <w:r w:rsidR="00FC3DC5">
        <w:rPr>
          <w:sz w:val="22"/>
          <w:szCs w:val="22"/>
        </w:rPr>
        <w:fldChar w:fldCharType="separate"/>
      </w:r>
      <w:r w:rsidR="00FC3DC5">
        <w:rPr>
          <w:noProof/>
          <w:sz w:val="22"/>
          <w:szCs w:val="22"/>
        </w:rPr>
        <w:t>(Fessler et al.)</w:t>
      </w:r>
      <w:r w:rsidR="00FC3DC5">
        <w:rPr>
          <w:sz w:val="22"/>
          <w:szCs w:val="22"/>
        </w:rPr>
        <w:fldChar w:fldCharType="end"/>
      </w:r>
      <w:r w:rsidR="007734E1" w:rsidRPr="00C960DC">
        <w:rPr>
          <w:sz w:val="22"/>
          <w:szCs w:val="22"/>
        </w:rPr>
        <w:t>.</w:t>
      </w:r>
    </w:p>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29E6E45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9D1EC8B" w14:textId="256C404D" w:rsidR="00FC3DC5" w:rsidRDefault="00FC3DC5" w:rsidP="00C17335">
      <w:pPr>
        <w:pStyle w:val="Body"/>
      </w:pPr>
    </w:p>
    <w:p w14:paraId="28C690BE" w14:textId="6A2986ED" w:rsidR="006C65A9" w:rsidRDefault="006C65A9" w:rsidP="006C65A9">
      <w:pPr>
        <w:pStyle w:val="Heading2"/>
      </w:pPr>
      <w:r>
        <w:lastRenderedPageBreak/>
        <w:t>References</w:t>
      </w:r>
    </w:p>
    <w:p w14:paraId="2C290206" w14:textId="77777777" w:rsidR="009F00BF" w:rsidRDefault="009F00BF" w:rsidP="009F00BF">
      <w:pPr>
        <w:pStyle w:val="Bibliography"/>
        <w:numPr>
          <w:ilvl w:val="0"/>
          <w:numId w:val="43"/>
        </w:numPr>
        <w:spacing w:line="240" w:lineRule="auto"/>
        <w:ind w:left="360"/>
        <w:rPr>
          <w:rFonts w:cs="Tahoma"/>
        </w:rPr>
      </w:pPr>
      <w:r>
        <w:fldChar w:fldCharType="begin"/>
      </w:r>
      <w:r>
        <w:instrText xml:space="preserve"> ADDIN ZOTERO_BIBL {"uncited":[],"omitted":[],"custom":[]} CSL_BIBLIOGRAPHY </w:instrText>
      </w:r>
      <w:r>
        <w:fldChar w:fldCharType="separate"/>
      </w:r>
      <w:r w:rsidRPr="00B74FD0">
        <w:rPr>
          <w:rFonts w:cs="Tahoma"/>
        </w:rPr>
        <w:t xml:space="preserve">Badner, Anna, et al. “Spinal Cord Injuries: How Could Cell Therapy Help?” </w:t>
      </w:r>
      <w:r w:rsidRPr="00B74FD0">
        <w:rPr>
          <w:rFonts w:cs="Tahoma"/>
          <w:i/>
          <w:iCs/>
        </w:rPr>
        <w:t>Expert Opinion on Biological Therapy</w:t>
      </w:r>
      <w:r w:rsidRPr="00B74FD0">
        <w:rPr>
          <w:rFonts w:cs="Tahoma"/>
        </w:rPr>
        <w:t xml:space="preserve">, vol. 17, no. 5, May 2017, pp. 529–41. </w:t>
      </w:r>
      <w:r w:rsidRPr="00B74FD0">
        <w:rPr>
          <w:rFonts w:cs="Tahoma"/>
          <w:i/>
          <w:iCs/>
        </w:rPr>
        <w:t>DOI.org (Crossref)</w:t>
      </w:r>
      <w:r w:rsidRPr="00B74FD0">
        <w:rPr>
          <w:rFonts w:cs="Tahoma"/>
        </w:rPr>
        <w:t>, https://doi.org/10.1080/14712598.2017.1308481.</w:t>
      </w:r>
    </w:p>
    <w:p w14:paraId="3C3F7945" w14:textId="77777777" w:rsidR="009F00BF" w:rsidRPr="00043D87" w:rsidRDefault="009F00BF" w:rsidP="009F00BF">
      <w:pPr>
        <w:pStyle w:val="Bibliography"/>
        <w:numPr>
          <w:ilvl w:val="0"/>
          <w:numId w:val="43"/>
        </w:numPr>
        <w:spacing w:line="240" w:lineRule="auto"/>
        <w:ind w:left="360"/>
        <w:rPr>
          <w:rFonts w:cs="Tahoma"/>
        </w:rPr>
      </w:pPr>
      <w:r>
        <w:t xml:space="preserve">Biopsy score: </w:t>
      </w:r>
      <w:hyperlink r:id="rId13" w:history="1">
        <w:r w:rsidRPr="005771F7">
          <w:rPr>
            <w:rStyle w:val="Hyperlink"/>
          </w:rPr>
          <w:t>https://news.cancerconnect.com/treatment-care/understanding-your-biopsy-results-and-pathology-report</w:t>
        </w:r>
      </w:hyperlink>
    </w:p>
    <w:p w14:paraId="6A1C24C7"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Chen, Wugui, et al. “NeuroRegen Scaffolds Combined with Autologous Bone Marrow Mononuclear Cells for the Repair of Acute Complete Spinal Cord Injury: A 3-Year Clinical Study.” </w:t>
      </w:r>
      <w:r w:rsidRPr="00B74FD0">
        <w:rPr>
          <w:rFonts w:cs="Tahoma"/>
          <w:i/>
          <w:iCs/>
        </w:rPr>
        <w:t>Cell Transplantation</w:t>
      </w:r>
      <w:r w:rsidRPr="00B74FD0">
        <w:rPr>
          <w:rFonts w:cs="Tahoma"/>
        </w:rPr>
        <w:t xml:space="preserve">, vol. 29, Jan. 2020, p. 096368972095063. </w:t>
      </w:r>
      <w:r w:rsidRPr="00B74FD0">
        <w:rPr>
          <w:rFonts w:cs="Tahoma"/>
          <w:i/>
          <w:iCs/>
        </w:rPr>
        <w:t>DOI.org (Crossref)</w:t>
      </w:r>
      <w:r w:rsidRPr="00B74FD0">
        <w:rPr>
          <w:rFonts w:cs="Tahoma"/>
        </w:rPr>
        <w:t>, https://doi.org/10.1177/0963689720950637.</w:t>
      </w:r>
    </w:p>
    <w:p w14:paraId="54BBE8E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Cheng, Xiaoxin, et al. “Apolipoprotein E as a Novel Therapeutic Neuroprotection Target after Traumatic Spinal Cord Injury.” </w:t>
      </w:r>
      <w:r w:rsidRPr="00B74FD0">
        <w:rPr>
          <w:rFonts w:cs="Tahoma"/>
          <w:i/>
          <w:iCs/>
        </w:rPr>
        <w:t>Experimental Neurology</w:t>
      </w:r>
      <w:r w:rsidRPr="00B74FD0">
        <w:rPr>
          <w:rFonts w:cs="Tahoma"/>
        </w:rPr>
        <w:t xml:space="preserve">, vol. 299, Jan. 2018, pp. 97–108. </w:t>
      </w:r>
      <w:r w:rsidRPr="00B74FD0">
        <w:rPr>
          <w:rFonts w:cs="Tahoma"/>
          <w:i/>
          <w:iCs/>
        </w:rPr>
        <w:t>DOI.org (Crossref)</w:t>
      </w:r>
      <w:r w:rsidRPr="00B74FD0">
        <w:rPr>
          <w:rFonts w:cs="Tahoma"/>
        </w:rPr>
        <w:t>, https://doi.org/10.1016/j.expneurol.2017.10.014.</w:t>
      </w:r>
    </w:p>
    <w:p w14:paraId="47E263AC" w14:textId="77777777" w:rsidR="009F00BF" w:rsidRDefault="009F00BF" w:rsidP="009F00BF">
      <w:pPr>
        <w:pStyle w:val="Bibliography"/>
        <w:numPr>
          <w:ilvl w:val="0"/>
          <w:numId w:val="43"/>
        </w:numPr>
        <w:spacing w:line="240" w:lineRule="auto"/>
        <w:ind w:left="360"/>
      </w:pPr>
      <w:r w:rsidRPr="00B23D1D">
        <w:t>Crawford ES, Crawford JL, Safi HJ, Coselli JS: Redo operations for recurrent aneurysmal disease of the ascending aorta and transverse aortic arch. Ann Thorac Surg 40:439–455, 1985</w:t>
      </w:r>
    </w:p>
    <w:p w14:paraId="53168617"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b/>
          <w:bCs/>
        </w:rPr>
        <w:t>CRP</w:t>
      </w:r>
      <w:r w:rsidRPr="00043D87">
        <w:rPr>
          <w:rFonts w:cs="Tahoma"/>
        </w:rPr>
        <w:t xml:space="preserve">: </w:t>
      </w:r>
      <w:hyperlink r:id="rId14" w:history="1">
        <w:r w:rsidRPr="00043D87">
          <w:rPr>
            <w:rStyle w:val="Hyperlink"/>
            <w:rFonts w:cs="Tahoma"/>
          </w:rPr>
          <w:t>https://my.clevelandclinic.org/health/diagnostics/23056-c-reactive-protein-crp-test</w:t>
        </w:r>
      </w:hyperlink>
    </w:p>
    <w:p w14:paraId="2222FA92"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Desai, Jyaysi, et al. “Molecular Pathophysiology of Gout.” </w:t>
      </w:r>
      <w:r w:rsidRPr="00B74FD0">
        <w:rPr>
          <w:rFonts w:cs="Tahoma"/>
          <w:i/>
          <w:iCs/>
        </w:rPr>
        <w:t>Trends in Molecular Medicine</w:t>
      </w:r>
      <w:r w:rsidRPr="00B74FD0">
        <w:rPr>
          <w:rFonts w:cs="Tahoma"/>
        </w:rPr>
        <w:t xml:space="preserve">, vol. 23, no. 8, Aug. 2017, pp. 756–68. </w:t>
      </w:r>
      <w:r w:rsidRPr="00B74FD0">
        <w:rPr>
          <w:rFonts w:cs="Tahoma"/>
          <w:i/>
          <w:iCs/>
        </w:rPr>
        <w:t>DOI.org (Crossref)</w:t>
      </w:r>
      <w:r w:rsidRPr="00B74FD0">
        <w:rPr>
          <w:rFonts w:cs="Tahoma"/>
        </w:rPr>
        <w:t>, https://doi.org/10.1016/j.molmed.2017.06.005.</w:t>
      </w:r>
    </w:p>
    <w:p w14:paraId="32F3813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Dobkin, B., et al. “Weight-Supported Treadmill vs over-Ground Training for Walking after Acute Incomplete SCI.” </w:t>
      </w:r>
      <w:r w:rsidRPr="00B74FD0">
        <w:rPr>
          <w:rFonts w:cs="Tahoma"/>
          <w:i/>
          <w:iCs/>
        </w:rPr>
        <w:t>Neurology</w:t>
      </w:r>
      <w:r w:rsidRPr="00B74FD0">
        <w:rPr>
          <w:rFonts w:cs="Tahoma"/>
        </w:rPr>
        <w:t xml:space="preserve">, vol. 66, no. 4, Feb. 2006, pp. 484–93. </w:t>
      </w:r>
      <w:r w:rsidRPr="00B74FD0">
        <w:rPr>
          <w:rFonts w:cs="Tahoma"/>
          <w:i/>
          <w:iCs/>
        </w:rPr>
        <w:t>PubMed Central</w:t>
      </w:r>
      <w:r w:rsidRPr="00B74FD0">
        <w:rPr>
          <w:rFonts w:cs="Tahoma"/>
        </w:rPr>
        <w:t>, https://doi.org/10.1212/01.wnl.0000202600.72018.39.</w:t>
      </w:r>
    </w:p>
    <w:p w14:paraId="42AFF99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Dukes, Ellen M., et al. “Relationship of American Spinal Injury Association Impairment Scale Grade to Post-Injury Hospitalization and Costs in Thoracic Spinal Cord Injury.” </w:t>
      </w:r>
      <w:r w:rsidRPr="00B74FD0">
        <w:rPr>
          <w:rFonts w:cs="Tahoma"/>
          <w:i/>
          <w:iCs/>
        </w:rPr>
        <w:t>Neurosurgery</w:t>
      </w:r>
      <w:r w:rsidRPr="00B74FD0">
        <w:rPr>
          <w:rFonts w:cs="Tahoma"/>
        </w:rPr>
        <w:t xml:space="preserve">, vol. 83, no. 3, Sept. 2018, pp. 445–51. </w:t>
      </w:r>
      <w:r w:rsidRPr="00B74FD0">
        <w:rPr>
          <w:rFonts w:cs="Tahoma"/>
          <w:i/>
          <w:iCs/>
        </w:rPr>
        <w:t>PubMed Central</w:t>
      </w:r>
      <w:r w:rsidRPr="00B74FD0">
        <w:rPr>
          <w:rFonts w:cs="Tahoma"/>
        </w:rPr>
        <w:t>, https://doi.org/10.1093/neuros/nyx425.</w:t>
      </w:r>
    </w:p>
    <w:p w14:paraId="7406BF96"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Epstein, Nancy E. “Cerebrospinal Fluid Drains Reduce Risk of Spinal Cord Injury for Thoracic/Thoracoabdominal Aneurysm Surgery: A Review.” </w:t>
      </w:r>
      <w:r w:rsidRPr="00B74FD0">
        <w:rPr>
          <w:rFonts w:cs="Tahoma"/>
          <w:i/>
          <w:iCs/>
        </w:rPr>
        <w:t>Surgical Neurology International</w:t>
      </w:r>
      <w:r w:rsidRPr="00B74FD0">
        <w:rPr>
          <w:rFonts w:cs="Tahoma"/>
        </w:rPr>
        <w:t xml:space="preserve">, vol. 9, Feb. 2018, p. 48. </w:t>
      </w:r>
      <w:r w:rsidRPr="00B74FD0">
        <w:rPr>
          <w:rFonts w:cs="Tahoma"/>
          <w:i/>
          <w:iCs/>
        </w:rPr>
        <w:t>PubMed Central</w:t>
      </w:r>
      <w:r w:rsidRPr="00B74FD0">
        <w:rPr>
          <w:rFonts w:cs="Tahoma"/>
        </w:rPr>
        <w:t>, https://doi.org/10.4103/sni.sni_433_17.</w:t>
      </w:r>
    </w:p>
    <w:p w14:paraId="78DEE395" w14:textId="77777777" w:rsidR="000842A9" w:rsidRDefault="009F00BF" w:rsidP="000842A9">
      <w:pPr>
        <w:pStyle w:val="Bibliography"/>
        <w:numPr>
          <w:ilvl w:val="0"/>
          <w:numId w:val="43"/>
        </w:numPr>
        <w:spacing w:line="240" w:lineRule="auto"/>
        <w:ind w:left="360"/>
        <w:rPr>
          <w:rFonts w:cs="Tahoma"/>
        </w:rPr>
      </w:pPr>
      <w:r w:rsidRPr="00A44EC6">
        <w:rPr>
          <w:rFonts w:cs="Tahoma"/>
        </w:rPr>
        <w:t xml:space="preserve">Fehlings, Michael G., et al. “A Clinical Practice Guideline for the Management of Patients With Acute Spinal Cord Injury: Recommendations on the Use of Methylprednisolone Sodium Succinate.” </w:t>
      </w:r>
      <w:r w:rsidRPr="00A44EC6">
        <w:rPr>
          <w:rFonts w:cs="Tahoma"/>
          <w:i/>
          <w:iCs/>
        </w:rPr>
        <w:t>Global Spine Journal</w:t>
      </w:r>
      <w:r w:rsidRPr="00A44EC6">
        <w:rPr>
          <w:rFonts w:cs="Tahoma"/>
        </w:rPr>
        <w:t xml:space="preserve">, vol. 7, no. 3 Suppl, Sept. 2017, pp. 203S-211S. </w:t>
      </w:r>
      <w:r w:rsidRPr="00A44EC6">
        <w:rPr>
          <w:rFonts w:cs="Tahoma"/>
          <w:i/>
          <w:iCs/>
        </w:rPr>
        <w:t>PubMed Central</w:t>
      </w:r>
      <w:r w:rsidRPr="00A44EC6">
        <w:rPr>
          <w:rFonts w:cs="Tahoma"/>
        </w:rPr>
        <w:t>, https://doi.org/10.1177/2192568217703085.</w:t>
      </w:r>
    </w:p>
    <w:p w14:paraId="74B540B6" w14:textId="52B4B05E" w:rsidR="000842A9" w:rsidRPr="000842A9" w:rsidRDefault="000842A9" w:rsidP="000842A9">
      <w:pPr>
        <w:pStyle w:val="Bibliography"/>
        <w:numPr>
          <w:ilvl w:val="0"/>
          <w:numId w:val="43"/>
        </w:numPr>
        <w:spacing w:line="240" w:lineRule="auto"/>
        <w:ind w:left="360"/>
        <w:rPr>
          <w:rFonts w:cs="Tahoma"/>
        </w:rPr>
      </w:pPr>
      <w:r w:rsidRPr="000842A9">
        <w:rPr>
          <w:rFonts w:cs="Tahoma"/>
        </w:rPr>
        <w:t xml:space="preserve">Fessler, Richard G., et al. “A Phase 1/2a Dose-Escalation Study of Oligodendrocyte Progenitor Cells in Individuals with Subacute Cervical Spinal Cord Injury.” </w:t>
      </w:r>
      <w:r w:rsidRPr="000842A9">
        <w:rPr>
          <w:rFonts w:cs="Tahoma"/>
          <w:i/>
          <w:iCs/>
        </w:rPr>
        <w:t>Journal of Neurosurgery: Spine</w:t>
      </w:r>
      <w:r w:rsidRPr="000842A9">
        <w:rPr>
          <w:rFonts w:cs="Tahoma"/>
        </w:rPr>
        <w:t xml:space="preserve">, July 2022, pp. 1–9. </w:t>
      </w:r>
      <w:r w:rsidRPr="000842A9">
        <w:rPr>
          <w:rFonts w:cs="Tahoma"/>
          <w:i/>
          <w:iCs/>
        </w:rPr>
        <w:t>DOI.org (Crossref)</w:t>
      </w:r>
      <w:r w:rsidRPr="000842A9">
        <w:rPr>
          <w:rFonts w:cs="Tahoma"/>
        </w:rPr>
        <w:t>, https://doi.org/10.3171/2022.5.SPINE22167.</w:t>
      </w:r>
    </w:p>
    <w:p w14:paraId="51759BD3" w14:textId="77777777" w:rsidR="009F00BF" w:rsidRPr="00A44EC6" w:rsidRDefault="009F00BF" w:rsidP="009F00BF">
      <w:pPr>
        <w:pStyle w:val="Bibliography"/>
        <w:numPr>
          <w:ilvl w:val="0"/>
          <w:numId w:val="43"/>
        </w:numPr>
        <w:spacing w:line="240" w:lineRule="auto"/>
        <w:ind w:left="360"/>
        <w:rPr>
          <w:rFonts w:cs="Tahoma"/>
        </w:rPr>
      </w:pPr>
      <w:r w:rsidRPr="00A44EC6">
        <w:rPr>
          <w:rFonts w:cs="Tahoma"/>
          <w:color w:val="212121"/>
          <w:shd w:val="clear" w:color="auto" w:fill="FFFFFF"/>
        </w:rPr>
        <w:t>Gibson, A E et al. “C-Reactive protein in adults with chronic spinal cord injury: increased chronic inflammation in tetraplegia vs paraplegia.” </w:t>
      </w:r>
      <w:r w:rsidRPr="00A44EC6">
        <w:rPr>
          <w:rFonts w:cs="Tahoma"/>
          <w:i/>
          <w:iCs/>
          <w:color w:val="212121"/>
          <w:shd w:val="clear" w:color="auto" w:fill="FFFFFF"/>
        </w:rPr>
        <w:t>Spinal cord</w:t>
      </w:r>
      <w:r w:rsidRPr="00A44EC6">
        <w:rPr>
          <w:rFonts w:cs="Tahoma"/>
          <w:color w:val="212121"/>
          <w:shd w:val="clear" w:color="auto" w:fill="FFFFFF"/>
        </w:rPr>
        <w:t> vol. 46,9 (2008): 616-21. doi:10.1038/sc.2008.32</w:t>
      </w:r>
    </w:p>
    <w:p w14:paraId="27E7D7E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Guest, James D., et al. “Internal Decompression of the Acutely Contused Spinal Cord: Differential Effects of Irrigation Only versus Biodegradable Scaffold Implantation.” </w:t>
      </w:r>
      <w:r w:rsidRPr="00B74FD0">
        <w:rPr>
          <w:rFonts w:cs="Tahoma"/>
          <w:i/>
          <w:iCs/>
        </w:rPr>
        <w:lastRenderedPageBreak/>
        <w:t>Biomaterials</w:t>
      </w:r>
      <w:r w:rsidRPr="00B74FD0">
        <w:rPr>
          <w:rFonts w:cs="Tahoma"/>
        </w:rPr>
        <w:t xml:space="preserve">, vol. 185, Dec. 2018, pp. 284–300. </w:t>
      </w:r>
      <w:r w:rsidRPr="00B74FD0">
        <w:rPr>
          <w:rFonts w:cs="Tahoma"/>
          <w:i/>
          <w:iCs/>
        </w:rPr>
        <w:t>DOI.org (Crossref)</w:t>
      </w:r>
      <w:r w:rsidRPr="00B74FD0">
        <w:rPr>
          <w:rFonts w:cs="Tahoma"/>
        </w:rPr>
        <w:t>, https://doi.org/10.1016/j.biomaterials.2018.09.025.</w:t>
      </w:r>
    </w:p>
    <w:p w14:paraId="04528220"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color w:val="000000"/>
        </w:rPr>
        <w:t>ISNCSCI</w:t>
      </w:r>
      <w:r w:rsidRPr="00087E82">
        <w:rPr>
          <w:rFonts w:cs="Tahoma"/>
          <w:color w:val="000000"/>
        </w:rPr>
        <w:t xml:space="preserve">: </w:t>
      </w:r>
      <w:hyperlink r:id="rId15" w:history="1">
        <w:r w:rsidRPr="00087E82">
          <w:rPr>
            <w:rStyle w:val="Hyperlink"/>
            <w:rFonts w:cs="Tahoma"/>
          </w:rPr>
          <w:t>https://www.isncscialgorithm.com/</w:t>
        </w:r>
      </w:hyperlink>
    </w:p>
    <w:p w14:paraId="6C56CAD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Jain, Nitin B., et al. “Traumatic Spinal Cord Injury in the United States, 1993–2012.” </w:t>
      </w:r>
      <w:r w:rsidRPr="00B74FD0">
        <w:rPr>
          <w:rFonts w:cs="Tahoma"/>
          <w:i/>
          <w:iCs/>
        </w:rPr>
        <w:t>JAMA</w:t>
      </w:r>
      <w:r w:rsidRPr="00B74FD0">
        <w:rPr>
          <w:rFonts w:cs="Tahoma"/>
        </w:rPr>
        <w:t xml:space="preserve">, vol. 313, no. 22, June 2015, pp. 2236–43. </w:t>
      </w:r>
      <w:r w:rsidRPr="00B74FD0">
        <w:rPr>
          <w:rFonts w:cs="Tahoma"/>
          <w:i/>
          <w:iCs/>
        </w:rPr>
        <w:t>PubMed Central</w:t>
      </w:r>
      <w:r w:rsidRPr="00B74FD0">
        <w:rPr>
          <w:rFonts w:cs="Tahoma"/>
        </w:rPr>
        <w:t>, https://doi.org/10.1001/jama.2015.6250.</w:t>
      </w:r>
    </w:p>
    <w:p w14:paraId="58B12D7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Kaneva, Anastasiya M., et al. “Plasma Levels of Apolipoprotein-E in Residents of the European North of Russia.” </w:t>
      </w:r>
      <w:r w:rsidRPr="00B74FD0">
        <w:rPr>
          <w:rFonts w:cs="Tahoma"/>
          <w:i/>
          <w:iCs/>
        </w:rPr>
        <w:t>Lipids in Health and Disease</w:t>
      </w:r>
      <w:r w:rsidRPr="00B74FD0">
        <w:rPr>
          <w:rFonts w:cs="Tahoma"/>
        </w:rPr>
        <w:t xml:space="preserve">, vol. 12, no. 1, Dec. 2013, p. 43. </w:t>
      </w:r>
      <w:r w:rsidRPr="00B74FD0">
        <w:rPr>
          <w:rFonts w:cs="Tahoma"/>
          <w:i/>
          <w:iCs/>
        </w:rPr>
        <w:t>DOI.org (Crossref)</w:t>
      </w:r>
      <w:r w:rsidRPr="00B74FD0">
        <w:rPr>
          <w:rFonts w:cs="Tahoma"/>
        </w:rPr>
        <w:t>, https://doi.org/10.1186/1476-511X-12-43.</w:t>
      </w:r>
    </w:p>
    <w:p w14:paraId="2309EF3B" w14:textId="77777777" w:rsidR="000842A9" w:rsidRDefault="009F00BF" w:rsidP="000842A9">
      <w:pPr>
        <w:pStyle w:val="Bibliography"/>
        <w:numPr>
          <w:ilvl w:val="0"/>
          <w:numId w:val="43"/>
        </w:numPr>
        <w:spacing w:line="240" w:lineRule="auto"/>
        <w:ind w:left="360"/>
        <w:rPr>
          <w:rStyle w:val="Hyperlink"/>
          <w:rFonts w:cs="Tahoma"/>
        </w:rPr>
      </w:pPr>
      <w:r w:rsidRPr="00043D87">
        <w:rPr>
          <w:rFonts w:cs="Tahoma"/>
        </w:rPr>
        <w:t xml:space="preserve">Kaiser: reference: </w:t>
      </w:r>
      <w:hyperlink r:id="rId16" w:history="1">
        <w:r w:rsidRPr="00043D87">
          <w:rPr>
            <w:rStyle w:val="Hyperlink"/>
            <w:rFonts w:cs="Tahoma"/>
          </w:rPr>
          <w:t>Drug Encyclopedia Entry on Medrol</w:t>
        </w:r>
      </w:hyperlink>
    </w:p>
    <w:p w14:paraId="6781EB02" w14:textId="18AF7E0D" w:rsidR="000842A9" w:rsidRPr="000842A9" w:rsidRDefault="000842A9" w:rsidP="000842A9">
      <w:pPr>
        <w:pStyle w:val="Bibliography"/>
        <w:numPr>
          <w:ilvl w:val="0"/>
          <w:numId w:val="43"/>
        </w:numPr>
        <w:spacing w:line="240" w:lineRule="auto"/>
        <w:ind w:left="360"/>
        <w:rPr>
          <w:rFonts w:cs="Tahoma"/>
          <w:color w:val="0072CE" w:themeColor="hyperlink"/>
          <w:u w:val="single"/>
        </w:rPr>
      </w:pPr>
      <w:r w:rsidRPr="000842A9">
        <w:rPr>
          <w:rFonts w:cs="Tahoma"/>
        </w:rPr>
        <w:t xml:space="preserve">Kim, Kee D., et al. “Acute Implantation of a Bioresorbable Polymer Scaffold in Patients With Complete Thoracic Spinal Cord Injury: 24-Month Follow-up From the INSPIRE Study.” </w:t>
      </w:r>
      <w:r w:rsidRPr="000842A9">
        <w:rPr>
          <w:rFonts w:cs="Tahoma"/>
          <w:i/>
          <w:iCs/>
        </w:rPr>
        <w:t>Neurosurgery</w:t>
      </w:r>
      <w:r w:rsidRPr="000842A9">
        <w:rPr>
          <w:rFonts w:cs="Tahoma"/>
        </w:rPr>
        <w:t xml:space="preserve">, vol. 90, no. 6, June 2022, pp. 668–75. </w:t>
      </w:r>
      <w:r w:rsidRPr="000842A9">
        <w:rPr>
          <w:rFonts w:cs="Tahoma"/>
          <w:i/>
          <w:iCs/>
        </w:rPr>
        <w:t>PubMed Central</w:t>
      </w:r>
      <w:r w:rsidRPr="000842A9">
        <w:rPr>
          <w:rFonts w:cs="Tahoma"/>
        </w:rPr>
        <w:t>, https://doi.org/10.1227/neu.0000000000001932.</w:t>
      </w:r>
    </w:p>
    <w:p w14:paraId="0A92490A"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Lee, Byung-Jou, and Je Hoon Jeong. “Review: Steroid Use in Patients With Acute Spinal Cord Injury and Guideline Update.” </w:t>
      </w:r>
      <w:r w:rsidRPr="00B74FD0">
        <w:rPr>
          <w:rFonts w:cs="Tahoma"/>
          <w:i/>
          <w:iCs/>
        </w:rPr>
        <w:t>Korean Journal of Neurotrauma</w:t>
      </w:r>
      <w:r w:rsidRPr="00B74FD0">
        <w:rPr>
          <w:rFonts w:cs="Tahoma"/>
        </w:rPr>
        <w:t xml:space="preserve">, vol. 18, no. 1, 2022, p. 22. </w:t>
      </w:r>
      <w:r w:rsidRPr="00B74FD0">
        <w:rPr>
          <w:rFonts w:cs="Tahoma"/>
          <w:i/>
          <w:iCs/>
        </w:rPr>
        <w:t>DOI.org (Crossref)</w:t>
      </w:r>
      <w:r w:rsidRPr="00B74FD0">
        <w:rPr>
          <w:rFonts w:cs="Tahoma"/>
        </w:rPr>
        <w:t>, https://doi.org/10.13004/kjnt.2022.18.e21.</w:t>
      </w:r>
    </w:p>
    <w:p w14:paraId="2908AF45" w14:textId="77777777" w:rsidR="009F00BF" w:rsidRDefault="009F00BF" w:rsidP="009F00BF">
      <w:pPr>
        <w:pStyle w:val="Bibliography"/>
        <w:numPr>
          <w:ilvl w:val="0"/>
          <w:numId w:val="43"/>
        </w:numPr>
        <w:spacing w:line="240" w:lineRule="auto"/>
        <w:ind w:left="360"/>
        <w:rPr>
          <w:rFonts w:cs="Tahoma"/>
        </w:rPr>
      </w:pPr>
      <w:r w:rsidRPr="00043D87">
        <w:rPr>
          <w:rFonts w:cs="Tahoma"/>
        </w:rPr>
        <w:t>lifeexpectancy.org</w:t>
      </w:r>
    </w:p>
    <w:p w14:paraId="4D38AB1B"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rPr>
        <w:t>MABP</w:t>
      </w:r>
      <w:r w:rsidRPr="00087E82">
        <w:rPr>
          <w:rFonts w:cs="Tahoma"/>
        </w:rPr>
        <w:t xml:space="preserve">: </w:t>
      </w:r>
      <w:hyperlink r:id="rId17" w:history="1">
        <w:r w:rsidRPr="00087E82">
          <w:rPr>
            <w:rStyle w:val="Hyperlink"/>
            <w:rFonts w:cs="Tahoma"/>
          </w:rPr>
          <w:t>https://www.healthline.com/health/mean-arterial-pressure</w:t>
        </w:r>
      </w:hyperlink>
    </w:p>
    <w:p w14:paraId="1208F7C3"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Manley, Nathan C., et al. “Human Embryonic Stem Cell-Derived Oligodendrocyte Progenitor Cells: Preclinical Efficacy and Safety in Cervical Spinal Cord Injury.” </w:t>
      </w:r>
      <w:r w:rsidRPr="00B74FD0">
        <w:rPr>
          <w:rFonts w:cs="Tahoma"/>
          <w:i/>
          <w:iCs/>
        </w:rPr>
        <w:t>Stem Cells Translational Medicine</w:t>
      </w:r>
      <w:r w:rsidRPr="00B74FD0">
        <w:rPr>
          <w:rFonts w:cs="Tahoma"/>
        </w:rPr>
        <w:t xml:space="preserve">, vol. 6, no. 10, Oct. 2017, pp. 1917–29. </w:t>
      </w:r>
      <w:r w:rsidRPr="00B74FD0">
        <w:rPr>
          <w:rFonts w:cs="Tahoma"/>
          <w:i/>
          <w:iCs/>
        </w:rPr>
        <w:t>DOI.org (Crossref)</w:t>
      </w:r>
      <w:r w:rsidRPr="00B74FD0">
        <w:rPr>
          <w:rFonts w:cs="Tahoma"/>
        </w:rPr>
        <w:t>, https://doi.org/10.1002/sctm.17-0065.</w:t>
      </w:r>
    </w:p>
    <w:p w14:paraId="7D15BC38"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Martirosyan, Nikolay L., et al. “Blood Supply and Vascular Reactivity of the Spinal Cord under Normal and Pathological Conditions: A Review.” </w:t>
      </w:r>
      <w:r w:rsidRPr="00B74FD0">
        <w:rPr>
          <w:rFonts w:cs="Tahoma"/>
          <w:i/>
          <w:iCs/>
        </w:rPr>
        <w:t>Journal of Neurosurgery: Spine</w:t>
      </w:r>
      <w:r w:rsidRPr="00B74FD0">
        <w:rPr>
          <w:rFonts w:cs="Tahoma"/>
        </w:rPr>
        <w:t xml:space="preserve">, vol. 15, no. 3, Sept. 2011, pp. 238–51. </w:t>
      </w:r>
      <w:r w:rsidRPr="00B74FD0">
        <w:rPr>
          <w:rFonts w:cs="Tahoma"/>
          <w:i/>
          <w:iCs/>
        </w:rPr>
        <w:t>DOI.org (Crossref)</w:t>
      </w:r>
      <w:r w:rsidRPr="00B74FD0">
        <w:rPr>
          <w:rFonts w:cs="Tahoma"/>
        </w:rPr>
        <w:t>, https://doi.org/10.3171/2011.4.SPINE10543.</w:t>
      </w:r>
    </w:p>
    <w:p w14:paraId="45E29C04" w14:textId="77777777" w:rsidR="009F00BF" w:rsidRPr="00043D87" w:rsidRDefault="009F00BF" w:rsidP="009F00BF">
      <w:pPr>
        <w:pStyle w:val="Bibliography"/>
        <w:numPr>
          <w:ilvl w:val="0"/>
          <w:numId w:val="43"/>
        </w:numPr>
        <w:spacing w:line="240" w:lineRule="auto"/>
        <w:ind w:left="360"/>
        <w:rPr>
          <w:rFonts w:cs="Tahoma"/>
        </w:rPr>
      </w:pPr>
      <w:r w:rsidRPr="005863FD">
        <w:rPr>
          <w:rFonts w:eastAsiaTheme="majorEastAsia" w:cs="Tahoma"/>
          <w:b/>
          <w:bCs/>
        </w:rPr>
        <w:t>NSCIC</w:t>
      </w:r>
      <w:r w:rsidRPr="00043D87">
        <w:rPr>
          <w:rFonts w:cs="Tahoma"/>
        </w:rPr>
        <w:t xml:space="preserve">: National spinal cord injury statistical center: </w:t>
      </w:r>
      <w:hyperlink r:id="rId18" w:history="1">
        <w:r w:rsidRPr="00043D87">
          <w:rPr>
            <w:rStyle w:val="Hyperlink"/>
            <w:rFonts w:cs="Tahoma"/>
          </w:rPr>
          <w:t>Facts and Figures 2020</w:t>
        </w:r>
      </w:hyperlink>
    </w:p>
    <w:p w14:paraId="2188200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Norenberg, Michael D., et al. “The Pathology of Human Spinal Cord Injury: Defining the Problems.” </w:t>
      </w:r>
      <w:r w:rsidRPr="00B74FD0">
        <w:rPr>
          <w:rFonts w:cs="Tahoma"/>
          <w:i/>
          <w:iCs/>
        </w:rPr>
        <w:t>Journal of Neurotrauma</w:t>
      </w:r>
      <w:r w:rsidRPr="00B74FD0">
        <w:rPr>
          <w:rFonts w:cs="Tahoma"/>
        </w:rPr>
        <w:t xml:space="preserve">, vol. 21, no. 4, Apr. 2004, pp. 429–40. </w:t>
      </w:r>
      <w:r w:rsidRPr="00B74FD0">
        <w:rPr>
          <w:rFonts w:cs="Tahoma"/>
          <w:i/>
          <w:iCs/>
        </w:rPr>
        <w:t>DOI.org (Crossref)</w:t>
      </w:r>
      <w:r w:rsidRPr="00B74FD0">
        <w:rPr>
          <w:rFonts w:cs="Tahoma"/>
        </w:rPr>
        <w:t>, https://doi.org/10.1089/089771504323004575.</w:t>
      </w:r>
    </w:p>
    <w:p w14:paraId="7E42109F"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Priest, Catherine A., et al. “Preclinical Safety of Human Embryonic Stem Cell-Derived Oligodendrocyte Progenitors Supporting Clinical Trials in Spinal Cord Injury.” </w:t>
      </w:r>
      <w:r w:rsidRPr="00B74FD0">
        <w:rPr>
          <w:rFonts w:cs="Tahoma"/>
          <w:i/>
          <w:iCs/>
        </w:rPr>
        <w:t>Regenerative Medicine</w:t>
      </w:r>
      <w:r w:rsidRPr="00B74FD0">
        <w:rPr>
          <w:rFonts w:cs="Tahoma"/>
        </w:rPr>
        <w:t xml:space="preserve">, vol. 10, no. 8, Nov. 2015, pp. 939–58. </w:t>
      </w:r>
      <w:r w:rsidRPr="00B74FD0">
        <w:rPr>
          <w:rFonts w:cs="Tahoma"/>
          <w:i/>
          <w:iCs/>
        </w:rPr>
        <w:t>DOI.org (Crossref)</w:t>
      </w:r>
      <w:r w:rsidRPr="00B74FD0">
        <w:rPr>
          <w:rFonts w:cs="Tahoma"/>
        </w:rPr>
        <w:t>, https://doi.org/10.2217/rme.15.57.</w:t>
      </w:r>
    </w:p>
    <w:p w14:paraId="66B0831C" w14:textId="77777777" w:rsidR="00B71D84" w:rsidRDefault="009F00BF" w:rsidP="00B71D84">
      <w:pPr>
        <w:pStyle w:val="Bibliography"/>
        <w:numPr>
          <w:ilvl w:val="0"/>
          <w:numId w:val="43"/>
        </w:numPr>
        <w:spacing w:line="240" w:lineRule="auto"/>
        <w:ind w:left="360"/>
        <w:rPr>
          <w:rFonts w:cs="Tahoma"/>
          <w:color w:val="212121"/>
          <w:shd w:val="clear" w:color="auto" w:fill="FFFFFF"/>
        </w:rPr>
      </w:pPr>
      <w:r w:rsidRPr="00043D87">
        <w:rPr>
          <w:rFonts w:cs="Tahoma"/>
          <w:color w:val="212121"/>
          <w:shd w:val="clear" w:color="auto" w:fill="FFFFFF"/>
        </w:rPr>
        <w:t>Ocejo, Antonio. and Ricardo Correa. “Methylprednisolone.” </w:t>
      </w:r>
      <w:r w:rsidRPr="00043D87">
        <w:rPr>
          <w:rFonts w:cs="Tahoma"/>
          <w:i/>
          <w:iCs/>
          <w:color w:val="212121"/>
          <w:shd w:val="clear" w:color="auto" w:fill="FFFFFF"/>
        </w:rPr>
        <w:t>StatPearls</w:t>
      </w:r>
      <w:r w:rsidRPr="00043D87">
        <w:rPr>
          <w:rFonts w:cs="Tahoma"/>
          <w:color w:val="212121"/>
          <w:shd w:val="clear" w:color="auto" w:fill="FFFFFF"/>
        </w:rPr>
        <w:t>, StatPearls Publishing, 22 May 2022.</w:t>
      </w:r>
    </w:p>
    <w:p w14:paraId="253F0F12" w14:textId="33DBB2B2" w:rsidR="00B71D84" w:rsidRPr="00B71D84" w:rsidRDefault="00B71D84" w:rsidP="00B71D84">
      <w:pPr>
        <w:pStyle w:val="Bibliography"/>
        <w:numPr>
          <w:ilvl w:val="0"/>
          <w:numId w:val="43"/>
        </w:numPr>
        <w:spacing w:line="240" w:lineRule="auto"/>
        <w:ind w:left="360"/>
        <w:rPr>
          <w:rFonts w:cs="Tahoma"/>
          <w:color w:val="212121"/>
          <w:shd w:val="clear" w:color="auto" w:fill="FFFFFF"/>
        </w:rPr>
      </w:pPr>
      <w:r w:rsidRPr="00B71D84">
        <w:rPr>
          <w:rFonts w:cs="Tahoma"/>
        </w:rPr>
        <w:t xml:space="preserve">Priest, Catherine A., et al. “Preclinical Safety of Human Embryonic Stem Cell-Derived Oligodendrocyte Progenitors Supporting Clinical Trials in Spinal Cord Injury.” </w:t>
      </w:r>
      <w:r w:rsidRPr="00B71D84">
        <w:rPr>
          <w:rFonts w:cs="Tahoma"/>
          <w:i/>
          <w:iCs/>
        </w:rPr>
        <w:t>Regenerative Medicine</w:t>
      </w:r>
      <w:r w:rsidRPr="00B71D84">
        <w:rPr>
          <w:rFonts w:cs="Tahoma"/>
        </w:rPr>
        <w:t xml:space="preserve">, vol. 10, no. 8, Nov. 2015, pp. 939–58. </w:t>
      </w:r>
      <w:r w:rsidRPr="00B71D84">
        <w:rPr>
          <w:rFonts w:cs="Tahoma"/>
          <w:i/>
          <w:iCs/>
        </w:rPr>
        <w:t>DOI.org (Crossref)</w:t>
      </w:r>
      <w:r w:rsidRPr="00B71D84">
        <w:rPr>
          <w:rFonts w:cs="Tahoma"/>
        </w:rPr>
        <w:t>, https://doi.org/10.2217/rme.15.57.</w:t>
      </w:r>
    </w:p>
    <w:p w14:paraId="4614922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Qu, Wenrui, et al. “Polymer-Based Scaffold Strategies for Spinal Cord Repair and Regeneration.” </w:t>
      </w:r>
      <w:r w:rsidRPr="00B74FD0">
        <w:rPr>
          <w:rFonts w:cs="Tahoma"/>
          <w:i/>
          <w:iCs/>
        </w:rPr>
        <w:t>Frontiers in Bioengineering and Biotechnology</w:t>
      </w:r>
      <w:r w:rsidRPr="00B74FD0">
        <w:rPr>
          <w:rFonts w:cs="Tahoma"/>
        </w:rPr>
        <w:t xml:space="preserve">, vol. 8, Oct. 2020, p. 590549. </w:t>
      </w:r>
      <w:r w:rsidRPr="00B74FD0">
        <w:rPr>
          <w:rFonts w:cs="Tahoma"/>
          <w:i/>
          <w:iCs/>
        </w:rPr>
        <w:t>PubMed Central</w:t>
      </w:r>
      <w:r w:rsidRPr="00B74FD0">
        <w:rPr>
          <w:rFonts w:cs="Tahoma"/>
        </w:rPr>
        <w:t>, https://doi.org/10.3389/fbioe.2020.590549.</w:t>
      </w:r>
    </w:p>
    <w:p w14:paraId="1E38517E"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lastRenderedPageBreak/>
        <w:t xml:space="preserve">Reddy, M. Sai Bhargava, et al. “A Comparative Review of Natural and Synthetic Biopolymer Composite Scaffolds.” </w:t>
      </w:r>
      <w:r w:rsidRPr="00B74FD0">
        <w:rPr>
          <w:rFonts w:cs="Tahoma"/>
          <w:i/>
          <w:iCs/>
        </w:rPr>
        <w:t>Polymers</w:t>
      </w:r>
      <w:r w:rsidRPr="00B74FD0">
        <w:rPr>
          <w:rFonts w:cs="Tahoma"/>
        </w:rPr>
        <w:t xml:space="preserve">, vol. 13, no. 7, Mar. 2021, p. 1105. </w:t>
      </w:r>
      <w:r w:rsidRPr="00B74FD0">
        <w:rPr>
          <w:rFonts w:cs="Tahoma"/>
          <w:i/>
          <w:iCs/>
        </w:rPr>
        <w:t>DOI.org (Crossref)</w:t>
      </w:r>
      <w:r w:rsidRPr="00B74FD0">
        <w:rPr>
          <w:rFonts w:cs="Tahoma"/>
        </w:rPr>
        <w:t>, https://doi.org/10.3390/polym13071105.</w:t>
      </w:r>
    </w:p>
    <w:p w14:paraId="719B086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Rivera, Teresa, et al. “Human‐Induced Pluripotent Stem Cell Culture Methods Under CGMP Conditions.” </w:t>
      </w:r>
      <w:r w:rsidRPr="00B74FD0">
        <w:rPr>
          <w:rFonts w:cs="Tahoma"/>
          <w:i/>
          <w:iCs/>
        </w:rPr>
        <w:t>Current Protocols in Stem Cell Biology</w:t>
      </w:r>
      <w:r w:rsidRPr="00B74FD0">
        <w:rPr>
          <w:rFonts w:cs="Tahoma"/>
        </w:rPr>
        <w:t xml:space="preserve">, vol. 54, no. 1, Sept. 2020, p. e117. </w:t>
      </w:r>
      <w:r w:rsidRPr="00B74FD0">
        <w:rPr>
          <w:rFonts w:cs="Tahoma"/>
          <w:i/>
          <w:iCs/>
        </w:rPr>
        <w:t>PubMed Central</w:t>
      </w:r>
      <w:r w:rsidRPr="00B74FD0">
        <w:rPr>
          <w:rFonts w:cs="Tahoma"/>
        </w:rPr>
        <w:t>, https://doi.org/10.1002/cpsc.117.</w:t>
      </w:r>
    </w:p>
    <w:p w14:paraId="639DD851" w14:textId="77777777" w:rsidR="009F00BF" w:rsidRPr="00043D87" w:rsidRDefault="009F00BF" w:rsidP="009F00BF">
      <w:pPr>
        <w:pStyle w:val="Bibliography"/>
        <w:numPr>
          <w:ilvl w:val="0"/>
          <w:numId w:val="43"/>
        </w:numPr>
        <w:spacing w:line="240" w:lineRule="auto"/>
        <w:ind w:left="360"/>
        <w:rPr>
          <w:rFonts w:cs="Tahoma"/>
        </w:rPr>
      </w:pPr>
      <w:r w:rsidRPr="00EB5BA2">
        <w:t>Robertazzi RR, Cunningham JN Jr: Intraoperative adjuncts of spinal cord protection. Semin Thorac Cardiovasc Surg 10: 29–34, 1998</w:t>
      </w:r>
    </w:p>
    <w:p w14:paraId="39807C29" w14:textId="77777777" w:rsidR="009F00BF" w:rsidRPr="00B74FD0" w:rsidRDefault="009F00BF" w:rsidP="009F00BF">
      <w:pPr>
        <w:pStyle w:val="Bibliography"/>
        <w:numPr>
          <w:ilvl w:val="0"/>
          <w:numId w:val="43"/>
        </w:numPr>
        <w:spacing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1127F77B" w14:textId="77777777" w:rsidR="009F00BF" w:rsidRPr="0057577E" w:rsidRDefault="009F00BF" w:rsidP="009F00BF">
      <w:pPr>
        <w:pStyle w:val="Bibliography"/>
        <w:numPr>
          <w:ilvl w:val="0"/>
          <w:numId w:val="43"/>
        </w:numPr>
        <w:spacing w:line="240" w:lineRule="auto"/>
        <w:ind w:left="360"/>
        <w:rPr>
          <w:rFonts w:cs="Tahoma"/>
        </w:rPr>
      </w:pPr>
      <w:r w:rsidRPr="0057577E">
        <w:rPr>
          <w:rFonts w:cs="Tahoma"/>
          <w:color w:val="212121"/>
          <w:shd w:val="clear" w:color="auto" w:fill="FFFFFF"/>
        </w:rPr>
        <w:t>Skelly, Christy L., et al. “Adverse Events.” </w:t>
      </w:r>
      <w:r w:rsidRPr="0057577E">
        <w:rPr>
          <w:rFonts w:cs="Tahoma"/>
          <w:i/>
          <w:iCs/>
          <w:color w:val="212121"/>
          <w:shd w:val="clear" w:color="auto" w:fill="FFFFFF"/>
        </w:rPr>
        <w:t>StatPearls</w:t>
      </w:r>
      <w:r w:rsidRPr="0057577E">
        <w:rPr>
          <w:rFonts w:cs="Tahoma"/>
          <w:color w:val="212121"/>
          <w:shd w:val="clear" w:color="auto" w:fill="FFFFFF"/>
        </w:rPr>
        <w:t>, StatPearls Publishing, 9 August 2022.</w:t>
      </w:r>
    </w:p>
    <w:p w14:paraId="454DE135"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Speight, James G. “Monomers, Polymers, and Plastics.” </w:t>
      </w:r>
      <w:r w:rsidRPr="00B74FD0">
        <w:rPr>
          <w:rFonts w:cs="Tahoma"/>
          <w:i/>
          <w:iCs/>
        </w:rPr>
        <w:t>Handbook of Industrial Hydrocarbon Processes</w:t>
      </w:r>
      <w:r w:rsidRPr="00B74FD0">
        <w:rPr>
          <w:rFonts w:cs="Tahoma"/>
        </w:rPr>
        <w:t xml:space="preserve">, Elsevier, 2020, pp. 597–649. </w:t>
      </w:r>
      <w:r w:rsidRPr="00B74FD0">
        <w:rPr>
          <w:rFonts w:cs="Tahoma"/>
          <w:i/>
          <w:iCs/>
        </w:rPr>
        <w:t>DOI.org (Crossref)</w:t>
      </w:r>
      <w:r w:rsidRPr="00B74FD0">
        <w:rPr>
          <w:rFonts w:cs="Tahoma"/>
        </w:rPr>
        <w:t>, https://doi.org/10.1016/B978-0-12-809923-0.00014-X.</w:t>
      </w:r>
    </w:p>
    <w:p w14:paraId="57C57895"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rPr>
        <w:t>SpinalCord.com:</w:t>
      </w:r>
      <w:hyperlink r:id="rId19" w:history="1">
        <w:r w:rsidRPr="00043D87">
          <w:rPr>
            <w:rStyle w:val="Hyperlink"/>
            <w:rFonts w:cs="Tahoma"/>
          </w:rPr>
          <w:t>4 Things You need to. Know about SCI Medicaid Coverage</w:t>
        </w:r>
      </w:hyperlink>
    </w:p>
    <w:p w14:paraId="4DAFCD2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Tang, S. K., et al. “Redirection of Doublecortin-Positive Cell Migration by over-Expression of the Chemokines MCP-1, MIP-1α and GRO-α in the Adult Rat Brain.” </w:t>
      </w:r>
      <w:r w:rsidRPr="00B74FD0">
        <w:rPr>
          <w:rFonts w:cs="Tahoma"/>
          <w:i/>
          <w:iCs/>
        </w:rPr>
        <w:t>Neuroscience</w:t>
      </w:r>
      <w:r w:rsidRPr="00B74FD0">
        <w:rPr>
          <w:rFonts w:cs="Tahoma"/>
        </w:rPr>
        <w:t xml:space="preserve">, vol. 260, Feb. 2014, pp. 240–48. </w:t>
      </w:r>
      <w:r w:rsidRPr="00B74FD0">
        <w:rPr>
          <w:rFonts w:cs="Tahoma"/>
          <w:i/>
          <w:iCs/>
        </w:rPr>
        <w:t>DOI.org (Crossref)</w:t>
      </w:r>
      <w:r w:rsidRPr="00B74FD0">
        <w:rPr>
          <w:rFonts w:cs="Tahoma"/>
        </w:rPr>
        <w:t>, https://doi.org/10.1016/j.neuroscience.2013.12.022.</w:t>
      </w:r>
    </w:p>
    <w:p w14:paraId="6C5E8059"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Teng, Yang D., et al. “Functional Recovery Following Traumatic Spinal Cord Injury Mediated by a Unique Polymer Scaffold Seeded with Neural Stem Cells.” </w:t>
      </w:r>
      <w:r w:rsidRPr="00B74FD0">
        <w:rPr>
          <w:rFonts w:cs="Tahoma"/>
          <w:i/>
          <w:iCs/>
        </w:rPr>
        <w:t>Proceedings of the National Academy of Sciences</w:t>
      </w:r>
      <w:r w:rsidRPr="00B74FD0">
        <w:rPr>
          <w:rFonts w:cs="Tahoma"/>
        </w:rPr>
        <w:t xml:space="preserve">, vol. 99, no. 5, Mar. 2002, pp. 3024–29. </w:t>
      </w:r>
      <w:r w:rsidRPr="00B74FD0">
        <w:rPr>
          <w:rFonts w:cs="Tahoma"/>
          <w:i/>
          <w:iCs/>
        </w:rPr>
        <w:t>DOI.org (Crossref)</w:t>
      </w:r>
      <w:r w:rsidRPr="00B74FD0">
        <w:rPr>
          <w:rFonts w:cs="Tahoma"/>
        </w:rPr>
        <w:t>, https://doi.org/10.1073/pnas.052678899.</w:t>
      </w:r>
    </w:p>
    <w:p w14:paraId="006ECA1A"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rPr>
        <w:t xml:space="preserve">The Effects and Potential Mechanisms of Locomotor Training on Improvements of Functional Recovery after Spinal Cord Injury | Elsevier Enhanced Reader. </w:t>
      </w:r>
      <w:hyperlink r:id="rId20" w:history="1">
        <w:r w:rsidRPr="00087E82">
          <w:rPr>
            <w:rStyle w:val="Hyperlink"/>
            <w:rFonts w:cs="Tahoma"/>
          </w:rPr>
          <w:t>https://doi.org/10.1016/bs.irn.2019.08.003</w:t>
        </w:r>
      </w:hyperlink>
      <w:r w:rsidRPr="00087E82">
        <w:rPr>
          <w:rFonts w:cs="Tahoma"/>
        </w:rPr>
        <w:t>.</w:t>
      </w:r>
    </w:p>
    <w:p w14:paraId="354BECFC"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Thomas, Katharine E., and Lawrence D. F. Moon. “Will Stem Cell Therapies Be Safe and Effective for Treating Spinal Cord Injuries?” </w:t>
      </w:r>
      <w:r w:rsidRPr="00B74FD0">
        <w:rPr>
          <w:rFonts w:cs="Tahoma"/>
          <w:i/>
          <w:iCs/>
        </w:rPr>
        <w:t>British Medical Bulletin</w:t>
      </w:r>
      <w:r w:rsidRPr="00B74FD0">
        <w:rPr>
          <w:rFonts w:cs="Tahoma"/>
        </w:rPr>
        <w:t xml:space="preserve">, vol. 98, 2011, pp. 127–42. </w:t>
      </w:r>
      <w:r w:rsidRPr="00B74FD0">
        <w:rPr>
          <w:rFonts w:cs="Tahoma"/>
          <w:i/>
          <w:iCs/>
        </w:rPr>
        <w:t>PubMed Central</w:t>
      </w:r>
      <w:r w:rsidRPr="00B74FD0">
        <w:rPr>
          <w:rFonts w:cs="Tahoma"/>
        </w:rPr>
        <w:t>, https://doi.org/10.1093/bmb/ldr013.</w:t>
      </w:r>
    </w:p>
    <w:p w14:paraId="3CCF597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Valković, Toni, et al. “Plasma Levels of Monocyte Chemotactic Protein-1 Are Associated with Clinical Features and Angiogenesis in Patients with Multiple Myeloma.” </w:t>
      </w:r>
      <w:r w:rsidRPr="00B74FD0">
        <w:rPr>
          <w:rFonts w:cs="Tahoma"/>
          <w:i/>
          <w:iCs/>
        </w:rPr>
        <w:t>BioMed Research International</w:t>
      </w:r>
      <w:r w:rsidRPr="00B74FD0">
        <w:rPr>
          <w:rFonts w:cs="Tahoma"/>
        </w:rPr>
        <w:t xml:space="preserve">, vol. 2016, 2016, pp. 1–7. </w:t>
      </w:r>
      <w:r w:rsidRPr="00B74FD0">
        <w:rPr>
          <w:rFonts w:cs="Tahoma"/>
          <w:i/>
          <w:iCs/>
        </w:rPr>
        <w:t>DOI.org (Crossref)</w:t>
      </w:r>
      <w:r w:rsidRPr="00B74FD0">
        <w:rPr>
          <w:rFonts w:cs="Tahoma"/>
        </w:rPr>
        <w:t>, https://doi.org/10.1155/2016/7870590.</w:t>
      </w:r>
    </w:p>
    <w:p w14:paraId="79A7E80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Wang, Timothy Y., et al. “Management of Acute Traumatic Spinal Cord Injury: A Review of the Literature.” </w:t>
      </w:r>
      <w:r w:rsidRPr="00B74FD0">
        <w:rPr>
          <w:rFonts w:cs="Tahoma"/>
          <w:i/>
          <w:iCs/>
        </w:rPr>
        <w:t>Frontiers in Surgery</w:t>
      </w:r>
      <w:r w:rsidRPr="00B74FD0">
        <w:rPr>
          <w:rFonts w:cs="Tahoma"/>
        </w:rPr>
        <w:t xml:space="preserve">, vol. 8, Dec. 2021, p. 698736. </w:t>
      </w:r>
      <w:r w:rsidRPr="00B74FD0">
        <w:rPr>
          <w:rFonts w:cs="Tahoma"/>
          <w:i/>
          <w:iCs/>
        </w:rPr>
        <w:t>PubMed Central</w:t>
      </w:r>
      <w:r w:rsidRPr="00B74FD0">
        <w:rPr>
          <w:rFonts w:cs="Tahoma"/>
        </w:rPr>
        <w:t>, https://doi.org/10.3389/fsurg.2021.698736.</w:t>
      </w:r>
    </w:p>
    <w:p w14:paraId="397C78AF"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Wąsik, Norbert, et al. “Clusterin, a New Cerebrospinal Fluid Biomarker in Severe Subarachnoid Hemorrhage: A Pilot Study.” </w:t>
      </w:r>
      <w:r w:rsidRPr="00B74FD0">
        <w:rPr>
          <w:rFonts w:cs="Tahoma"/>
          <w:i/>
          <w:iCs/>
        </w:rPr>
        <w:t>World Neurosurgery</w:t>
      </w:r>
      <w:r w:rsidRPr="00B74FD0">
        <w:rPr>
          <w:rFonts w:cs="Tahoma"/>
        </w:rPr>
        <w:t xml:space="preserve">, vol. 107, Nov. 2017, pp. 424–28. </w:t>
      </w:r>
      <w:r w:rsidRPr="00B74FD0">
        <w:rPr>
          <w:rFonts w:cs="Tahoma"/>
          <w:i/>
          <w:iCs/>
        </w:rPr>
        <w:t>DOI.org (Crossref)</w:t>
      </w:r>
      <w:r w:rsidRPr="00B74FD0">
        <w:rPr>
          <w:rFonts w:cs="Tahoma"/>
        </w:rPr>
        <w:t>, https://doi.org/10.1016/j.wneu.2017.08.006.</w:t>
      </w:r>
    </w:p>
    <w:p w14:paraId="772E910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Wong, Jamie K., et al. “A Straight Alley Version of the BBB Locomotor Scale.” </w:t>
      </w:r>
      <w:r w:rsidRPr="00B74FD0">
        <w:rPr>
          <w:rFonts w:cs="Tahoma"/>
          <w:i/>
          <w:iCs/>
        </w:rPr>
        <w:t>Experimental Neurology</w:t>
      </w:r>
      <w:r w:rsidRPr="00B74FD0">
        <w:rPr>
          <w:rFonts w:cs="Tahoma"/>
        </w:rPr>
        <w:t xml:space="preserve">, vol. 217, no. 2, June 2009, pp. 417–20. </w:t>
      </w:r>
      <w:r w:rsidRPr="00B74FD0">
        <w:rPr>
          <w:rFonts w:cs="Tahoma"/>
          <w:i/>
          <w:iCs/>
        </w:rPr>
        <w:t>DOI.org (Crossref)</w:t>
      </w:r>
      <w:r w:rsidRPr="00B74FD0">
        <w:rPr>
          <w:rFonts w:cs="Tahoma"/>
        </w:rPr>
        <w:t>, https://doi.org/10.1016/j.expneurol.2009.03.037.</w:t>
      </w:r>
    </w:p>
    <w:p w14:paraId="507F00B4"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Yoshitani, Kenji, et al. “Cerebrospinal Fluid Drainage to Prevent Postoperative Spinal Cord Injury in Thoracic Aortic Repair.” </w:t>
      </w:r>
      <w:r w:rsidRPr="00B74FD0">
        <w:rPr>
          <w:rFonts w:cs="Tahoma"/>
          <w:i/>
          <w:iCs/>
        </w:rPr>
        <w:t>Journal of Anesthesia</w:t>
      </w:r>
      <w:r w:rsidRPr="00B74FD0">
        <w:rPr>
          <w:rFonts w:cs="Tahoma"/>
        </w:rPr>
        <w:t xml:space="preserve">, vol. 35, no. 1, Feb. 2021, pp. 43–50. </w:t>
      </w:r>
      <w:r w:rsidRPr="00B74FD0">
        <w:rPr>
          <w:rFonts w:cs="Tahoma"/>
          <w:i/>
          <w:iCs/>
        </w:rPr>
        <w:t>DOI.org (Crossref)</w:t>
      </w:r>
      <w:r w:rsidRPr="00B74FD0">
        <w:rPr>
          <w:rFonts w:cs="Tahoma"/>
        </w:rPr>
        <w:t>, https://doi.org/10.1007/s00540-020-02857-w.</w:t>
      </w:r>
    </w:p>
    <w:p w14:paraId="334ACBBD"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lastRenderedPageBreak/>
        <w:t xml:space="preserve">Zou, Hong-jun, et al. “Methylprednisolone Induces Neuro-Protective Effects via the Inhibition of A1 Astrocyte Activation in Traumatic Spinal Cord Injury Mouse Models.” </w:t>
      </w:r>
      <w:r w:rsidRPr="00B74FD0">
        <w:rPr>
          <w:rFonts w:cs="Tahoma"/>
          <w:i/>
          <w:iCs/>
        </w:rPr>
        <w:t>Frontiers in Neuroscience</w:t>
      </w:r>
      <w:r w:rsidRPr="00B74FD0">
        <w:rPr>
          <w:rFonts w:cs="Tahoma"/>
        </w:rPr>
        <w:t xml:space="preserve">, vol. 15, 2021. </w:t>
      </w:r>
      <w:r w:rsidRPr="00B74FD0">
        <w:rPr>
          <w:rFonts w:cs="Tahoma"/>
          <w:i/>
          <w:iCs/>
        </w:rPr>
        <w:t>Frontiers</w:t>
      </w:r>
      <w:r w:rsidRPr="00B74FD0">
        <w:rPr>
          <w:rFonts w:cs="Tahoma"/>
        </w:rPr>
        <w:t>, https://www.frontiersin.org/articles/10.3389/fnins.2021.628917.</w:t>
      </w:r>
    </w:p>
    <w:p w14:paraId="04839E8D" w14:textId="42D1841D" w:rsidR="0030079B" w:rsidRDefault="009F00BF" w:rsidP="005863FD">
      <w:r>
        <w:fldChar w:fldCharType="end"/>
      </w:r>
    </w:p>
    <w:p w14:paraId="15A7E89F" w14:textId="77777777" w:rsidR="00C40D2B" w:rsidRPr="00B23D1D" w:rsidRDefault="00C40D2B" w:rsidP="00B23D1D">
      <w:pPr>
        <w:pStyle w:val="Body"/>
      </w:pPr>
    </w:p>
    <w:p w14:paraId="7E72509E" w14:textId="0B9ECDF5" w:rsidR="00040E46" w:rsidRPr="00040E46" w:rsidRDefault="00040E46" w:rsidP="00C01956">
      <w:pPr>
        <w:spacing w:before="120"/>
      </w:pP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42235" w14:textId="77777777" w:rsidR="003E7252" w:rsidRDefault="003E7252" w:rsidP="00B657A0">
      <w:r>
        <w:separator/>
      </w:r>
    </w:p>
  </w:endnote>
  <w:endnote w:type="continuationSeparator" w:id="0">
    <w:p w14:paraId="2E03D418" w14:textId="77777777" w:rsidR="003E7252" w:rsidRDefault="003E7252" w:rsidP="00B657A0">
      <w:r>
        <w:continuationSeparator/>
      </w:r>
    </w:p>
  </w:endnote>
  <w:endnote w:type="continuationNotice" w:id="1">
    <w:p w14:paraId="7EB5DE56" w14:textId="77777777" w:rsidR="003E7252" w:rsidRDefault="003E72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C7A0D" w14:textId="77777777" w:rsidR="003E7252" w:rsidRDefault="003E7252" w:rsidP="00B657A0">
      <w:r>
        <w:separator/>
      </w:r>
    </w:p>
  </w:footnote>
  <w:footnote w:type="continuationSeparator" w:id="0">
    <w:p w14:paraId="1045557D" w14:textId="77777777" w:rsidR="003E7252" w:rsidRDefault="003E7252" w:rsidP="00B657A0">
      <w:r>
        <w:continuationSeparator/>
      </w:r>
    </w:p>
  </w:footnote>
  <w:footnote w:type="continuationNotice" w:id="1">
    <w:p w14:paraId="002FF3E0" w14:textId="77777777" w:rsidR="003E7252" w:rsidRDefault="003E72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C113A"/>
    <w:multiLevelType w:val="hybridMultilevel"/>
    <w:tmpl w:val="04D0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75943D7"/>
    <w:multiLevelType w:val="hybridMultilevel"/>
    <w:tmpl w:val="B3B6F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74785B"/>
    <w:multiLevelType w:val="hybridMultilevel"/>
    <w:tmpl w:val="80C4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12F48"/>
    <w:multiLevelType w:val="hybridMultilevel"/>
    <w:tmpl w:val="D7B4B8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40"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30F46"/>
    <w:multiLevelType w:val="hybridMultilevel"/>
    <w:tmpl w:val="4C20F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21"/>
  </w:num>
  <w:num w:numId="2" w16cid:durableId="591012818">
    <w:abstractNumId w:val="35"/>
  </w:num>
  <w:num w:numId="3" w16cid:durableId="179856923">
    <w:abstractNumId w:val="3"/>
  </w:num>
  <w:num w:numId="4" w16cid:durableId="39158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2"/>
  </w:num>
  <w:num w:numId="7" w16cid:durableId="2132432314">
    <w:abstractNumId w:val="2"/>
  </w:num>
  <w:num w:numId="8" w16cid:durableId="1193693858">
    <w:abstractNumId w:val="1"/>
  </w:num>
  <w:num w:numId="9" w16cid:durableId="803236281">
    <w:abstractNumId w:val="27"/>
  </w:num>
  <w:num w:numId="10" w16cid:durableId="1214929145">
    <w:abstractNumId w:val="27"/>
  </w:num>
  <w:num w:numId="11" w16cid:durableId="1534925248">
    <w:abstractNumId w:val="29"/>
  </w:num>
  <w:num w:numId="12" w16cid:durableId="1204631859">
    <w:abstractNumId w:val="22"/>
  </w:num>
  <w:num w:numId="13" w16cid:durableId="1999653488">
    <w:abstractNumId w:val="14"/>
  </w:num>
  <w:num w:numId="14" w16cid:durableId="1948655657">
    <w:abstractNumId w:val="40"/>
  </w:num>
  <w:num w:numId="15" w16cid:durableId="1426876100">
    <w:abstractNumId w:val="31"/>
  </w:num>
  <w:num w:numId="16" w16cid:durableId="148448031">
    <w:abstractNumId w:val="17"/>
  </w:num>
  <w:num w:numId="17" w16cid:durableId="432239574">
    <w:abstractNumId w:val="41"/>
  </w:num>
  <w:num w:numId="18" w16cid:durableId="1902785539">
    <w:abstractNumId w:val="11"/>
  </w:num>
  <w:num w:numId="19" w16cid:durableId="2016347357">
    <w:abstractNumId w:val="20"/>
  </w:num>
  <w:num w:numId="20" w16cid:durableId="1604259620">
    <w:abstractNumId w:val="39"/>
  </w:num>
  <w:num w:numId="21" w16cid:durableId="1341661621">
    <w:abstractNumId w:val="38"/>
  </w:num>
  <w:num w:numId="22" w16cid:durableId="788007871">
    <w:abstractNumId w:val="32"/>
  </w:num>
  <w:num w:numId="23" w16cid:durableId="1463157998">
    <w:abstractNumId w:val="25"/>
  </w:num>
  <w:num w:numId="24" w16cid:durableId="1260681482">
    <w:abstractNumId w:val="26"/>
  </w:num>
  <w:num w:numId="25" w16cid:durableId="1969161413">
    <w:abstractNumId w:val="10"/>
  </w:num>
  <w:num w:numId="26" w16cid:durableId="1839885816">
    <w:abstractNumId w:val="6"/>
  </w:num>
  <w:num w:numId="27" w16cid:durableId="1730300100">
    <w:abstractNumId w:val="19"/>
  </w:num>
  <w:num w:numId="28" w16cid:durableId="1711765807">
    <w:abstractNumId w:val="28"/>
  </w:num>
  <w:num w:numId="29" w16cid:durableId="2130008031">
    <w:abstractNumId w:val="33"/>
  </w:num>
  <w:num w:numId="30" w16cid:durableId="1154377883">
    <w:abstractNumId w:val="30"/>
  </w:num>
  <w:num w:numId="31" w16cid:durableId="1266425856">
    <w:abstractNumId w:val="24"/>
  </w:num>
  <w:num w:numId="32" w16cid:durableId="1850872283">
    <w:abstractNumId w:val="16"/>
  </w:num>
  <w:num w:numId="33" w16cid:durableId="687414347">
    <w:abstractNumId w:val="7"/>
  </w:num>
  <w:num w:numId="34" w16cid:durableId="313729409">
    <w:abstractNumId w:val="9"/>
  </w:num>
  <w:num w:numId="35" w16cid:durableId="125003735">
    <w:abstractNumId w:val="34"/>
  </w:num>
  <w:num w:numId="36" w16cid:durableId="1622567168">
    <w:abstractNumId w:val="36"/>
  </w:num>
  <w:num w:numId="37" w16cid:durableId="556285773">
    <w:abstractNumId w:val="18"/>
  </w:num>
  <w:num w:numId="38" w16cid:durableId="1016425218">
    <w:abstractNumId w:val="37"/>
  </w:num>
  <w:num w:numId="39" w16cid:durableId="1404329616">
    <w:abstractNumId w:val="4"/>
  </w:num>
  <w:num w:numId="40" w16cid:durableId="1481801130">
    <w:abstractNumId w:val="8"/>
  </w:num>
  <w:num w:numId="41" w16cid:durableId="820737566">
    <w:abstractNumId w:val="15"/>
  </w:num>
  <w:num w:numId="42" w16cid:durableId="1629970973">
    <w:abstractNumId w:val="23"/>
  </w:num>
  <w:num w:numId="43" w16cid:durableId="1898274562">
    <w:abstractNumId w:val="5"/>
  </w:num>
  <w:num w:numId="44" w16cid:durableId="153306976">
    <w:abstractNumId w:val="13"/>
  </w:num>
  <w:num w:numId="45" w16cid:durableId="26778299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9CC"/>
    <w:rsid w:val="00071E26"/>
    <w:rsid w:val="000806C2"/>
    <w:rsid w:val="00082C06"/>
    <w:rsid w:val="000842A9"/>
    <w:rsid w:val="00086261"/>
    <w:rsid w:val="000868E4"/>
    <w:rsid w:val="000924E9"/>
    <w:rsid w:val="000A0757"/>
    <w:rsid w:val="000A2165"/>
    <w:rsid w:val="000A27B8"/>
    <w:rsid w:val="000A6413"/>
    <w:rsid w:val="000A64D4"/>
    <w:rsid w:val="000B1E9C"/>
    <w:rsid w:val="000B452E"/>
    <w:rsid w:val="000B4CB2"/>
    <w:rsid w:val="000C1E44"/>
    <w:rsid w:val="000C64D8"/>
    <w:rsid w:val="000D0203"/>
    <w:rsid w:val="000D02CD"/>
    <w:rsid w:val="000D10C6"/>
    <w:rsid w:val="000D47A9"/>
    <w:rsid w:val="000E2CAE"/>
    <w:rsid w:val="000E3018"/>
    <w:rsid w:val="000E49C6"/>
    <w:rsid w:val="000E4D0E"/>
    <w:rsid w:val="000E6E88"/>
    <w:rsid w:val="000F0964"/>
    <w:rsid w:val="000F0C1E"/>
    <w:rsid w:val="000F5BA9"/>
    <w:rsid w:val="001003CA"/>
    <w:rsid w:val="0010064E"/>
    <w:rsid w:val="0010099F"/>
    <w:rsid w:val="00101D0A"/>
    <w:rsid w:val="0010205E"/>
    <w:rsid w:val="00102A2E"/>
    <w:rsid w:val="0010363F"/>
    <w:rsid w:val="0010368A"/>
    <w:rsid w:val="00112196"/>
    <w:rsid w:val="0011427A"/>
    <w:rsid w:val="00114746"/>
    <w:rsid w:val="001153AF"/>
    <w:rsid w:val="0011585F"/>
    <w:rsid w:val="00120765"/>
    <w:rsid w:val="00121359"/>
    <w:rsid w:val="00122957"/>
    <w:rsid w:val="0012408D"/>
    <w:rsid w:val="00124E5E"/>
    <w:rsid w:val="001308D6"/>
    <w:rsid w:val="00131ABE"/>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5BDB"/>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3E2E"/>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40673"/>
    <w:rsid w:val="0024277D"/>
    <w:rsid w:val="00243F95"/>
    <w:rsid w:val="002559B0"/>
    <w:rsid w:val="00257BF3"/>
    <w:rsid w:val="00264668"/>
    <w:rsid w:val="00264BFA"/>
    <w:rsid w:val="00270D49"/>
    <w:rsid w:val="00270D5F"/>
    <w:rsid w:val="002733AE"/>
    <w:rsid w:val="00274369"/>
    <w:rsid w:val="002744B0"/>
    <w:rsid w:val="00277DDB"/>
    <w:rsid w:val="00280C9D"/>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19EE"/>
    <w:rsid w:val="0032283D"/>
    <w:rsid w:val="00325CDD"/>
    <w:rsid w:val="00326BD3"/>
    <w:rsid w:val="00330B7C"/>
    <w:rsid w:val="00335876"/>
    <w:rsid w:val="003440C1"/>
    <w:rsid w:val="003445CA"/>
    <w:rsid w:val="0034482B"/>
    <w:rsid w:val="0034779A"/>
    <w:rsid w:val="0035050F"/>
    <w:rsid w:val="00350B30"/>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8B7"/>
    <w:rsid w:val="003A39B6"/>
    <w:rsid w:val="003A4941"/>
    <w:rsid w:val="003B492B"/>
    <w:rsid w:val="003B55EE"/>
    <w:rsid w:val="003C3185"/>
    <w:rsid w:val="003D1CC2"/>
    <w:rsid w:val="003D2523"/>
    <w:rsid w:val="003D56EB"/>
    <w:rsid w:val="003E0F1B"/>
    <w:rsid w:val="003E7252"/>
    <w:rsid w:val="003F052D"/>
    <w:rsid w:val="003F2EA4"/>
    <w:rsid w:val="003F3C3E"/>
    <w:rsid w:val="003F6C61"/>
    <w:rsid w:val="003F7429"/>
    <w:rsid w:val="00400168"/>
    <w:rsid w:val="00401D49"/>
    <w:rsid w:val="0040316A"/>
    <w:rsid w:val="00404F22"/>
    <w:rsid w:val="00413C8D"/>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20E1"/>
    <w:rsid w:val="004A5E98"/>
    <w:rsid w:val="004A73EA"/>
    <w:rsid w:val="004A7891"/>
    <w:rsid w:val="004B1671"/>
    <w:rsid w:val="004B411F"/>
    <w:rsid w:val="004B5E34"/>
    <w:rsid w:val="004B5EE8"/>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2708"/>
    <w:rsid w:val="00523977"/>
    <w:rsid w:val="00523AC0"/>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3FD"/>
    <w:rsid w:val="0058650F"/>
    <w:rsid w:val="00586F7D"/>
    <w:rsid w:val="00590C85"/>
    <w:rsid w:val="00591646"/>
    <w:rsid w:val="00591DBC"/>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4210"/>
    <w:rsid w:val="006143F8"/>
    <w:rsid w:val="00616389"/>
    <w:rsid w:val="006262F8"/>
    <w:rsid w:val="00627087"/>
    <w:rsid w:val="0062799F"/>
    <w:rsid w:val="00631AC2"/>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92AA1"/>
    <w:rsid w:val="00794DF8"/>
    <w:rsid w:val="007957AE"/>
    <w:rsid w:val="007A0EE2"/>
    <w:rsid w:val="007A11CA"/>
    <w:rsid w:val="007A1B24"/>
    <w:rsid w:val="007A3EC9"/>
    <w:rsid w:val="007B1AC9"/>
    <w:rsid w:val="007B3980"/>
    <w:rsid w:val="007B4192"/>
    <w:rsid w:val="007B4431"/>
    <w:rsid w:val="007B4EC8"/>
    <w:rsid w:val="007B5EF7"/>
    <w:rsid w:val="007B5FF2"/>
    <w:rsid w:val="007C236E"/>
    <w:rsid w:val="007C5135"/>
    <w:rsid w:val="007C54B2"/>
    <w:rsid w:val="007D2A17"/>
    <w:rsid w:val="007D40FA"/>
    <w:rsid w:val="007D53EB"/>
    <w:rsid w:val="007D5CC5"/>
    <w:rsid w:val="007D64DB"/>
    <w:rsid w:val="007D7210"/>
    <w:rsid w:val="007D759E"/>
    <w:rsid w:val="007E342D"/>
    <w:rsid w:val="007E35A3"/>
    <w:rsid w:val="007E4C72"/>
    <w:rsid w:val="007E4D42"/>
    <w:rsid w:val="007E5425"/>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10AE"/>
    <w:rsid w:val="008B1806"/>
    <w:rsid w:val="008B22A0"/>
    <w:rsid w:val="008B2474"/>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335B"/>
    <w:rsid w:val="008F3B4C"/>
    <w:rsid w:val="008F3F8E"/>
    <w:rsid w:val="008F4047"/>
    <w:rsid w:val="008F6C0C"/>
    <w:rsid w:val="00900886"/>
    <w:rsid w:val="00900920"/>
    <w:rsid w:val="00901982"/>
    <w:rsid w:val="00903670"/>
    <w:rsid w:val="009039C7"/>
    <w:rsid w:val="009065D5"/>
    <w:rsid w:val="0091074E"/>
    <w:rsid w:val="00911BCE"/>
    <w:rsid w:val="009211D0"/>
    <w:rsid w:val="00923B1B"/>
    <w:rsid w:val="0092485D"/>
    <w:rsid w:val="00937C53"/>
    <w:rsid w:val="009407F4"/>
    <w:rsid w:val="00944BE1"/>
    <w:rsid w:val="00945D93"/>
    <w:rsid w:val="00945E24"/>
    <w:rsid w:val="00950098"/>
    <w:rsid w:val="00950644"/>
    <w:rsid w:val="009549B9"/>
    <w:rsid w:val="009551D4"/>
    <w:rsid w:val="00955C96"/>
    <w:rsid w:val="00955CB3"/>
    <w:rsid w:val="00955D45"/>
    <w:rsid w:val="009573F6"/>
    <w:rsid w:val="009630D3"/>
    <w:rsid w:val="009655D2"/>
    <w:rsid w:val="009710C8"/>
    <w:rsid w:val="00971BC3"/>
    <w:rsid w:val="00972B7F"/>
    <w:rsid w:val="00974719"/>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9E7945"/>
    <w:rsid w:val="009F00BF"/>
    <w:rsid w:val="00A0265E"/>
    <w:rsid w:val="00A026F4"/>
    <w:rsid w:val="00A02DB4"/>
    <w:rsid w:val="00A033F3"/>
    <w:rsid w:val="00A04AD7"/>
    <w:rsid w:val="00A11B58"/>
    <w:rsid w:val="00A12D67"/>
    <w:rsid w:val="00A15BDD"/>
    <w:rsid w:val="00A15CF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639"/>
    <w:rsid w:val="00AB5129"/>
    <w:rsid w:val="00AB586D"/>
    <w:rsid w:val="00AB5B69"/>
    <w:rsid w:val="00AB6599"/>
    <w:rsid w:val="00AC32EA"/>
    <w:rsid w:val="00AC6117"/>
    <w:rsid w:val="00AD1558"/>
    <w:rsid w:val="00AD1619"/>
    <w:rsid w:val="00AD39C5"/>
    <w:rsid w:val="00AE39F6"/>
    <w:rsid w:val="00AE4D50"/>
    <w:rsid w:val="00AE4E75"/>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1D84"/>
    <w:rsid w:val="00B721B3"/>
    <w:rsid w:val="00B747B5"/>
    <w:rsid w:val="00B7493D"/>
    <w:rsid w:val="00B753B9"/>
    <w:rsid w:val="00B756D6"/>
    <w:rsid w:val="00B76433"/>
    <w:rsid w:val="00B76D73"/>
    <w:rsid w:val="00B8173E"/>
    <w:rsid w:val="00B83268"/>
    <w:rsid w:val="00B86CEF"/>
    <w:rsid w:val="00B929AF"/>
    <w:rsid w:val="00B9364C"/>
    <w:rsid w:val="00B957C9"/>
    <w:rsid w:val="00BA4431"/>
    <w:rsid w:val="00BA4AF0"/>
    <w:rsid w:val="00BA5BDE"/>
    <w:rsid w:val="00BB4E41"/>
    <w:rsid w:val="00BC06BA"/>
    <w:rsid w:val="00BC39D3"/>
    <w:rsid w:val="00BC64EB"/>
    <w:rsid w:val="00BC6A7E"/>
    <w:rsid w:val="00BD0FAC"/>
    <w:rsid w:val="00BD218D"/>
    <w:rsid w:val="00BD2218"/>
    <w:rsid w:val="00BD31ED"/>
    <w:rsid w:val="00BD60BC"/>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37B86"/>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0F6"/>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60DC"/>
    <w:rsid w:val="00C9645A"/>
    <w:rsid w:val="00CA07CB"/>
    <w:rsid w:val="00CA27AD"/>
    <w:rsid w:val="00CA2BB1"/>
    <w:rsid w:val="00CA3595"/>
    <w:rsid w:val="00CA6DE5"/>
    <w:rsid w:val="00CA7B90"/>
    <w:rsid w:val="00CA7CCE"/>
    <w:rsid w:val="00CB088F"/>
    <w:rsid w:val="00CB307B"/>
    <w:rsid w:val="00CB5131"/>
    <w:rsid w:val="00CB789E"/>
    <w:rsid w:val="00CC48AD"/>
    <w:rsid w:val="00CC4C75"/>
    <w:rsid w:val="00CC516A"/>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614C"/>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5A2E"/>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6744"/>
    <w:rsid w:val="00F17F33"/>
    <w:rsid w:val="00F20B42"/>
    <w:rsid w:val="00F22299"/>
    <w:rsid w:val="00F2455A"/>
    <w:rsid w:val="00F3077E"/>
    <w:rsid w:val="00F31AA8"/>
    <w:rsid w:val="00F3295C"/>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4587"/>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3DC5"/>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s.cancerconnect.com/treatment-care/understanding-your-biopsy-results-and-pathology-report" TargetMode="External"/><Relationship Id="rId18"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healthy.kaiserpermanente.org/health-wellness/drug-encyclopedia/drug.medrol-pak-4-mg-tablets-in-a-dose-pack.183845" TargetMode="External"/><Relationship Id="rId20"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sncscialgorithm.com/" TargetMode="External"/><Relationship Id="rId10" Type="http://schemas.openxmlformats.org/officeDocument/2006/relationships/endnotes" Target="endnotes.xml"/><Relationship Id="rId19" Type="http://schemas.openxmlformats.org/officeDocument/2006/relationships/hyperlink" Target="https://www.spinalcord.com/blog/4-things-you-need-to-know-about-sci-medicaid-cove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clevelandclinic.org/health/diagnostics/23056-c-reactive-protein-crp-tes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4.xml><?xml version="1.0" encoding="utf-8"?>
<ds:datastoreItem xmlns:ds="http://schemas.openxmlformats.org/officeDocument/2006/customXml" ds:itemID="{B14494D3-158E-4582-A8D0-53AF8FB6A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TotalTime>
  <Pages>17</Pages>
  <Words>23212</Words>
  <Characters>132315</Characters>
  <Application>Microsoft Office Word</Application>
  <DocSecurity>0</DocSecurity>
  <Lines>1102</Lines>
  <Paragraphs>310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155217</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Yves Greatti</cp:lastModifiedBy>
  <cp:revision>3</cp:revision>
  <cp:lastPrinted>2022-11-16T01:36:00Z</cp:lastPrinted>
  <dcterms:created xsi:type="dcterms:W3CDTF">2022-11-16T01:36:00Z</dcterms:created>
  <dcterms:modified xsi:type="dcterms:W3CDTF">2022-11-16T01:37:00Z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zotero-version="6.0.18"&gt;&lt;session id="1lueMOhJ"/&gt;&lt;style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