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77777777"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423F02EA" w14:textId="2A9A732F" w:rsidR="000E6E88" w:rsidRPr="000E6E88" w:rsidRDefault="00551058" w:rsidP="004B5E34">
      <w:pPr>
        <w:pStyle w:val="SubsectionTitle"/>
        <w:spacing w:after="120"/>
      </w:pPr>
      <w:r>
        <w:t>Verification</w:t>
      </w:r>
    </w:p>
    <w:p w14:paraId="14561E66" w14:textId="77777777" w:rsidR="00BC64EB" w:rsidRDefault="000E6E88" w:rsidP="004B5E34">
      <w:pPr>
        <w:pStyle w:val="Heading6"/>
        <w:spacing w:before="0" w:after="120"/>
      </w:pPr>
      <w:r>
        <w:t xml:space="preserve">Scaffold With </w:t>
      </w:r>
      <w:r w:rsidRPr="00BC64EB">
        <w:t>Neural</w:t>
      </w:r>
      <w:r>
        <w:t xml:space="preserve"> Stem Cells</w:t>
      </w:r>
    </w:p>
    <w:p w14:paraId="6306FEB9" w14:textId="46D8E587" w:rsidR="00E46945" w:rsidRDefault="00BC64EB" w:rsidP="00C960DC">
      <w:pPr>
        <w:spacing w:line="480" w:lineRule="auto"/>
        <w:rPr>
          <w:sz w:val="22"/>
          <w:szCs w:val="22"/>
        </w:rPr>
      </w:pPr>
      <w:r>
        <w:rPr>
          <w:sz w:val="22"/>
          <w:szCs w:val="22"/>
        </w:rPr>
        <w:t>I</w:t>
      </w:r>
      <w:r w:rsidR="00E46945" w:rsidRPr="00E46945">
        <w:rPr>
          <w:sz w:val="22"/>
          <w:szCs w:val="22"/>
        </w:rPr>
        <w:t>n this study b</w:t>
      </w:r>
      <w:r w:rsidR="00E46945">
        <w:rPr>
          <w:sz w:val="22"/>
          <w:szCs w:val="22"/>
        </w:rPr>
        <w:t xml:space="preserve">y </w:t>
      </w:r>
      <w:r w:rsidR="00E46945" w:rsidRPr="00C960DC">
        <w:rPr>
          <w:sz w:val="22"/>
          <w:szCs w:val="22"/>
        </w:rPr>
        <w:t xml:space="preserve"> </w:t>
      </w:r>
      <w:r w:rsidR="00E46945" w:rsidRPr="00C960DC">
        <w:rPr>
          <w:sz w:val="22"/>
          <w:szCs w:val="22"/>
        </w:rPr>
        <w:fldChar w:fldCharType="begin"/>
      </w:r>
      <w:r w:rsidR="00E46945"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E46945" w:rsidRPr="00C960DC">
        <w:rPr>
          <w:sz w:val="22"/>
          <w:szCs w:val="22"/>
        </w:rPr>
        <w:fldChar w:fldCharType="separate"/>
      </w:r>
      <w:r w:rsidR="00E46945" w:rsidRPr="00C960DC">
        <w:rPr>
          <w:rFonts w:cs="Tahoma"/>
          <w:sz w:val="22"/>
          <w:szCs w:val="22"/>
        </w:rPr>
        <w:t>(Teng et al.)</w:t>
      </w:r>
      <w:r w:rsidR="00E46945" w:rsidRPr="00C960DC">
        <w:rPr>
          <w:sz w:val="22"/>
          <w:szCs w:val="22"/>
        </w:rPr>
        <w:fldChar w:fldCharType="end"/>
      </w:r>
      <w:r w:rsidR="00E46945">
        <w:rPr>
          <w:sz w:val="22"/>
          <w:szCs w:val="22"/>
        </w:rPr>
        <w:t>, a</w:t>
      </w:r>
      <w:r w:rsidR="00E46945" w:rsidRPr="00C960DC">
        <w:rPr>
          <w:sz w:val="22"/>
          <w:szCs w:val="22"/>
        </w:rPr>
        <w:t xml:space="preserve"> cut of 4mm at the T9-T10 level was performed in a population of rodents. 4 groups of rats were </w:t>
      </w:r>
      <w:r w:rsidR="00E46945">
        <w:rPr>
          <w:sz w:val="22"/>
          <w:szCs w:val="22"/>
        </w:rPr>
        <w:t>created</w:t>
      </w:r>
      <w:r w:rsidR="00E46945" w:rsidRPr="00C960DC">
        <w:rPr>
          <w:sz w:val="22"/>
          <w:szCs w:val="22"/>
        </w:rPr>
        <w:t xml:space="preserve">: (1) scaffold + </w:t>
      </w:r>
      <w:r w:rsidR="00C90E44" w:rsidRPr="00C960DC">
        <w:rPr>
          <w:sz w:val="22"/>
          <w:szCs w:val="22"/>
        </w:rPr>
        <w:t xml:space="preserve">neural stem cells </w:t>
      </w:r>
      <w:r w:rsidR="00C90E44">
        <w:rPr>
          <w:sz w:val="22"/>
          <w:szCs w:val="22"/>
        </w:rPr>
        <w:t>(NSCs)</w:t>
      </w:r>
      <w:r w:rsidR="00E46945" w:rsidRPr="00C960DC">
        <w:rPr>
          <w:sz w:val="22"/>
          <w:szCs w:val="22"/>
        </w:rPr>
        <w:t>, (2) scaffold alone, (3) NSCs in the SCI, and (4) lesion-control. One day postinjury (</w:t>
      </w:r>
      <w:proofErr w:type="spellStart"/>
      <w:r w:rsidR="00E46945" w:rsidRPr="00C960DC">
        <w:rPr>
          <w:sz w:val="22"/>
          <w:szCs w:val="22"/>
        </w:rPr>
        <w:t>p.i.</w:t>
      </w:r>
      <w:proofErr w:type="spellEnd"/>
      <w:r w:rsidR="00E46945" w:rsidRPr="00C960DC">
        <w:rPr>
          <w:sz w:val="22"/>
          <w:szCs w:val="22"/>
        </w:rPr>
        <w:t>) and then weekly</w:t>
      </w:r>
      <w:r w:rsidR="00E46945">
        <w:rPr>
          <w:sz w:val="22"/>
          <w:szCs w:val="22"/>
        </w:rPr>
        <w:t xml:space="preserve"> thereafter</w:t>
      </w:r>
      <w:r w:rsidR="00E46945" w:rsidRPr="00C960DC">
        <w:rPr>
          <w:sz w:val="22"/>
          <w:szCs w:val="22"/>
        </w:rPr>
        <w:t xml:space="preserve">, behavioral assessment of the rats was performed using the open-field BBB scale. At 70 days </w:t>
      </w:r>
      <w:proofErr w:type="spellStart"/>
      <w:r w:rsidR="00E46945" w:rsidRPr="00C960DC">
        <w:rPr>
          <w:sz w:val="22"/>
          <w:szCs w:val="22"/>
        </w:rPr>
        <w:t>p.i.</w:t>
      </w:r>
      <w:proofErr w:type="spellEnd"/>
      <w:r w:rsidR="00E46945" w:rsidRPr="00C960DC">
        <w:rPr>
          <w:sz w:val="22"/>
          <w:szCs w:val="22"/>
        </w:rPr>
        <w:t xml:space="preserve">, 69% </w:t>
      </w:r>
      <w:r w:rsidR="00E46945">
        <w:rPr>
          <w:sz w:val="22"/>
          <w:szCs w:val="22"/>
        </w:rPr>
        <w:t xml:space="preserve">of </w:t>
      </w:r>
      <w:r w:rsidR="00E46945" w:rsidRPr="00C960DC">
        <w:rPr>
          <w:sz w:val="22"/>
          <w:szCs w:val="22"/>
        </w:rPr>
        <w:t xml:space="preserve">scaffold plus cells group, 54% of scaffold alone, </w:t>
      </w:r>
      <w:r w:rsidR="00E46945">
        <w:rPr>
          <w:sz w:val="22"/>
          <w:szCs w:val="22"/>
        </w:rPr>
        <w:t>compared to</w:t>
      </w:r>
      <w:r w:rsidR="00E46945"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069723F9"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6F4BCDD0" w14:textId="51EE021F" w:rsidR="00BC64EB" w:rsidRDefault="00BC64EB" w:rsidP="004B5E34">
      <w:pPr>
        <w:pStyle w:val="Heading6"/>
        <w:spacing w:before="0" w:after="120"/>
        <w:rPr>
          <w:sz w:val="22"/>
          <w:szCs w:val="22"/>
        </w:rPr>
      </w:pPr>
      <w:r w:rsidRPr="00C960DC">
        <w:t>Internal Decompression of the Acutely Contused Spinal Cord</w:t>
      </w:r>
    </w:p>
    <w:p w14:paraId="1FF83F63" w14:textId="35215D4E" w:rsidR="00AD1619" w:rsidRDefault="00591646" w:rsidP="00AD1619">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intraspinal 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 xml:space="preserve">ID + scaffold reported a decrease in cavity volume (86%) and an increase of preserved tissue width (44%) relative to the untreated animal group. Compared to the </w:t>
      </w:r>
      <w:r w:rsidR="00AD1619" w:rsidRPr="00C960DC">
        <w:rPr>
          <w:bCs w:val="0"/>
          <w:sz w:val="22"/>
          <w:szCs w:val="22"/>
          <w:lang w:bidi="en-US"/>
        </w:rPr>
        <w:lastRenderedPageBreak/>
        <w:t>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 (FBGC</w:t>
      </w:r>
      <w:r w:rsidR="007E4D42">
        <w:rPr>
          <w:bCs w:val="0"/>
          <w:sz w:val="22"/>
          <w:szCs w:val="22"/>
          <w:lang w:bidi="en-US"/>
        </w:rPr>
        <w:t>)</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and </w:t>
      </w:r>
      <w:r w:rsidR="005355A4">
        <w:rPr>
          <w:bCs w:val="0"/>
          <w:sz w:val="22"/>
          <w:szCs w:val="22"/>
          <w:lang w:bidi="en-US"/>
        </w:rPr>
        <w:t xml:space="preserve">it </w:t>
      </w:r>
      <w:r w:rsidR="005355A4" w:rsidRPr="00C960DC">
        <w:rPr>
          <w:bCs w:val="0"/>
          <w:sz w:val="22"/>
          <w:szCs w:val="22"/>
          <w:lang w:bidi="en-US"/>
        </w:rPr>
        <w:t xml:space="preserve">showed laminl-1 indicating regenerating axons entering </w:t>
      </w:r>
      <w:r w:rsidR="005355A4">
        <w:rPr>
          <w:bCs w:val="0"/>
          <w:sz w:val="22"/>
          <w:szCs w:val="22"/>
          <w:lang w:bidi="en-US"/>
        </w:rPr>
        <w:t>these</w:t>
      </w:r>
      <w:r w:rsidR="005355A4" w:rsidRPr="00C960DC">
        <w:rPr>
          <w:bCs w:val="0"/>
          <w:sz w:val="22"/>
          <w:szCs w:val="22"/>
          <w:lang w:bidi="en-US"/>
        </w:rPr>
        <w:t xml:space="preserve"> tissue</w:t>
      </w:r>
      <w:r w:rsidR="005355A4">
        <w:rPr>
          <w:bCs w:val="0"/>
          <w:sz w:val="22"/>
          <w:szCs w:val="22"/>
          <w:lang w:bidi="en-US"/>
        </w:rPr>
        <w:t>s</w:t>
      </w:r>
      <w:r w:rsidR="005355A4" w:rsidRPr="00C960DC">
        <w:rPr>
          <w:bCs w:val="0"/>
          <w:sz w:val="22"/>
          <w:szCs w:val="22"/>
          <w:lang w:bidi="en-US"/>
        </w:rPr>
        <w:t xml:space="preserve"> at the injury site compared to control.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(SCs) extensively remyelinating </w:t>
      </w:r>
      <w:r w:rsidR="00A61D8D">
        <w:rPr>
          <w:bCs w:val="0"/>
          <w:sz w:val="22"/>
          <w:szCs w:val="22"/>
          <w:lang w:bidi="en-US"/>
        </w:rPr>
        <w:t>these</w:t>
      </w:r>
      <w:r w:rsidR="005355A4" w:rsidRPr="00C960DC">
        <w:rPr>
          <w:bCs w:val="0"/>
          <w:sz w:val="22"/>
          <w:szCs w:val="22"/>
          <w:lang w:bidi="en-US"/>
        </w:rPr>
        <w:t xml:space="preserve"> tissue</w:t>
      </w:r>
      <w:r w:rsidR="001B4A07">
        <w:rPr>
          <w:bCs w:val="0"/>
          <w:sz w:val="22"/>
          <w:szCs w:val="22"/>
          <w:lang w:bidi="en-US"/>
        </w:rPr>
        <w:t>s</w:t>
      </w:r>
      <w:r w:rsidR="00182F78">
        <w:rPr>
          <w:bCs w:val="0"/>
          <w:sz w:val="22"/>
          <w:szCs w:val="22"/>
          <w:lang w:bidi="en-US"/>
        </w:rPr>
        <w:t xml:space="preserve"> (axial sections)</w:t>
      </w:r>
      <w:r w:rsidR="005355A4" w:rsidRPr="00C960DC">
        <w:rPr>
          <w:bCs w:val="0"/>
          <w:sz w:val="22"/>
          <w:szCs w:val="22"/>
          <w:lang w:bidi="en-US"/>
        </w:rPr>
        <w:t>.</w:t>
      </w:r>
      <w:r w:rsidR="00C56B04">
        <w:rPr>
          <w:bCs w:val="0"/>
          <w:sz w:val="22"/>
          <w:szCs w:val="22"/>
          <w:lang w:bidi="en-US"/>
        </w:rPr>
        <w:t xml:space="preserve"> </w:t>
      </w:r>
    </w:p>
    <w:p w14:paraId="7A4F5E88" w14:textId="51EA7361" w:rsidR="00BC64EB" w:rsidRPr="00C960DC" w:rsidRDefault="00BC64EB" w:rsidP="004B5E34">
      <w:pPr>
        <w:pStyle w:val="Heading6"/>
        <w:spacing w:before="0" w:after="120"/>
        <w:rPr>
          <w:bCs/>
          <w:sz w:val="22"/>
          <w:szCs w:val="22"/>
          <w:lang w:bidi="en-US"/>
        </w:rPr>
      </w:pPr>
      <w:r w:rsidRPr="00C960DC">
        <w:t>Human Embryonic Stem Cell-Derived Oligodendrocyte Progenitor Cells</w:t>
      </w:r>
    </w:p>
    <w:p w14:paraId="6FB79872" w14:textId="05ADD91A" w:rsidR="00E46945" w:rsidRPr="004500BB" w:rsidRDefault="003A38B7" w:rsidP="00B86CEF">
      <w:pPr>
        <w:pStyle w:val="Body"/>
        <w:spacing w:before="120"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w:t>
      </w:r>
      <w:r w:rsidR="00D85A2E">
        <w:rPr>
          <w:sz w:val="22"/>
          <w:szCs w:val="22"/>
        </w:rPr>
        <w:t>;</w:t>
      </w:r>
      <w:r w:rsidR="004B5EE8">
        <w:rPr>
          <w:sz w:val="22"/>
          <w:szCs w:val="22"/>
        </w:rPr>
        <w:t xml:space="preserve">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xml:space="preserve"> </w:t>
      </w:r>
      <w:r w:rsidR="004B5EE8">
        <w:rPr>
          <w:sz w:val="22"/>
          <w:szCs w:val="22"/>
        </w:rPr>
        <w:t>(</w:t>
      </w:r>
      <w:proofErr w:type="spellStart"/>
      <w:r w:rsidR="004B5EE8" w:rsidRPr="00C960DC">
        <w:rPr>
          <w:sz w:val="22"/>
          <w:szCs w:val="22"/>
        </w:rPr>
        <w:t>p.i.</w:t>
      </w:r>
      <w:proofErr w:type="spellEnd"/>
      <w:r w:rsidR="004B5EE8">
        <w:rPr>
          <w:sz w:val="22"/>
          <w:szCs w:val="22"/>
        </w:rPr>
        <w:t>)</w:t>
      </w:r>
      <w:r w:rsidR="004B5EE8" w:rsidRPr="00C960DC">
        <w:rPr>
          <w:sz w:val="22"/>
          <w:szCs w:val="22"/>
        </w:rPr>
        <w:t>. Compared to animals treated with Hank’s balanced salt solution</w:t>
      </w:r>
      <w:r w:rsidR="00522708">
        <w:rPr>
          <w:sz w:val="22"/>
          <w:szCs w:val="22"/>
        </w:rPr>
        <w:t xml:space="preserve"> (HBSS)</w:t>
      </w:r>
      <w:r w:rsidR="004B5EE8" w:rsidRPr="00C960DC">
        <w:rPr>
          <w:sz w:val="22"/>
          <w:szCs w:val="22"/>
        </w:rPr>
        <w:t>,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364A7E98" w14:textId="0C7248D3" w:rsidR="00BC64EB" w:rsidRPr="0034482B" w:rsidRDefault="005E25B4" w:rsidP="001B4A07">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r w:rsidR="00131ABE" w:rsidRPr="00C960DC">
        <w:rPr>
          <w:bCs w:val="0"/>
          <w:sz w:val="22"/>
          <w:szCs w:val="22"/>
          <w:lang w:bidi="en-US"/>
        </w:rPr>
        <w:t>In vitro, proteins secreted by OPC1s involved in axonal growth (</w:t>
      </w:r>
      <w:proofErr w:type="spellStart"/>
      <w:r w:rsidR="00131ABE" w:rsidRPr="00C960DC">
        <w:rPr>
          <w:bCs w:val="0"/>
          <w:sz w:val="22"/>
          <w:szCs w:val="22"/>
          <w:lang w:bidi="en-US"/>
        </w:rPr>
        <w:t>clusterin</w:t>
      </w:r>
      <w:proofErr w:type="spellEnd"/>
      <w:r w:rsidR="00131ABE" w:rsidRPr="00C960DC">
        <w:rPr>
          <w:bCs w:val="0"/>
          <w:sz w:val="22"/>
          <w:szCs w:val="22"/>
          <w:lang w:bidi="en-US"/>
        </w:rPr>
        <w:t>), neural repair (MCP-1), and suppression of apoptosis (</w:t>
      </w:r>
      <w:proofErr w:type="spellStart"/>
      <w:r w:rsidR="00131ABE" w:rsidRPr="00C960DC">
        <w:rPr>
          <w:bCs w:val="0"/>
          <w:sz w:val="22"/>
          <w:szCs w:val="22"/>
          <w:lang w:bidi="en-US"/>
        </w:rPr>
        <w:t>apoE</w:t>
      </w:r>
      <w:proofErr w:type="spellEnd"/>
      <w:r w:rsidR="00131ABE" w:rsidRPr="00C960DC">
        <w:rPr>
          <w:bCs w:val="0"/>
          <w:sz w:val="22"/>
          <w:szCs w:val="22"/>
          <w:lang w:bidi="en-US"/>
        </w:rPr>
        <w:t xml:space="preserve">,  TIMP1 or 2) were detected by Luminex assay at high levels (see supplementary </w:t>
      </w:r>
      <w:r w:rsidR="00131ABE" w:rsidRPr="00C960DC">
        <w:rPr>
          <w:bCs w:val="0"/>
          <w:sz w:val="22"/>
          <w:szCs w:val="22"/>
          <w:lang w:bidi="en-US"/>
        </w:rPr>
        <w:lastRenderedPageBreak/>
        <w:t xml:space="preserve">Table 2 in </w:t>
      </w:r>
      <w:r w:rsidR="00131ABE" w:rsidRPr="00C960DC">
        <w:rPr>
          <w:bCs w:val="0"/>
          <w:sz w:val="22"/>
          <w:szCs w:val="22"/>
          <w:lang w:bidi="en-US"/>
        </w:rPr>
        <w:fldChar w:fldCharType="begin"/>
      </w:r>
      <w:r w:rsidR="00131ABE"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131ABE" w:rsidRPr="00C960DC">
        <w:rPr>
          <w:bCs w:val="0"/>
          <w:sz w:val="22"/>
          <w:szCs w:val="22"/>
          <w:lang w:bidi="en-US"/>
        </w:rPr>
        <w:fldChar w:fldCharType="separate"/>
      </w:r>
      <w:r w:rsidR="00131ABE" w:rsidRPr="00C960DC">
        <w:rPr>
          <w:bCs w:val="0"/>
          <w:noProof/>
          <w:sz w:val="22"/>
          <w:szCs w:val="22"/>
          <w:lang w:bidi="en-US"/>
        </w:rPr>
        <w:t>(Priest et al.)</w:t>
      </w:r>
      <w:r w:rsidR="00131ABE" w:rsidRPr="00C960DC">
        <w:rPr>
          <w:bCs w:val="0"/>
          <w:sz w:val="22"/>
          <w:szCs w:val="22"/>
          <w:lang w:bidi="en-US"/>
        </w:rPr>
        <w:fldChar w:fldCharType="end"/>
      </w:r>
      <w:r w:rsidR="00131ABE" w:rsidRPr="00C960DC">
        <w:rPr>
          <w:bCs w:val="0"/>
          <w:sz w:val="22"/>
          <w:szCs w:val="22"/>
          <w:lang w:bidi="en-US"/>
        </w:rPr>
        <w:t>).</w:t>
      </w:r>
      <w:r w:rsidR="004B5E34">
        <w:rPr>
          <w:bCs w:val="0"/>
          <w:sz w:val="22"/>
          <w:szCs w:val="22"/>
          <w:lang w:bidi="en-US"/>
        </w:rPr>
        <w:t xml:space="preserve"> In addition, a variety of transcription factors involved in neurogenesis; Olig1, PDGFR</w:t>
      </w:r>
      <w:r w:rsidR="004B5E34">
        <w:rPr>
          <w:bCs w:val="0"/>
          <w:sz w:val="22"/>
          <w:szCs w:val="22"/>
          <w:lang w:bidi="en-US"/>
        </w:rPr>
        <w:sym w:font="Symbol" w:char="F061"/>
      </w:r>
      <w:r w:rsidR="004B5E34">
        <w:rPr>
          <w:bCs w:val="0"/>
          <w:sz w:val="22"/>
          <w:szCs w:val="22"/>
          <w:lang w:bidi="en-US"/>
        </w:rPr>
        <w:t xml:space="preserve">, </w:t>
      </w:r>
      <w:proofErr w:type="spellStart"/>
      <w:r w:rsidR="004B5E34">
        <w:rPr>
          <w:bCs w:val="0"/>
          <w:sz w:val="22"/>
          <w:szCs w:val="22"/>
          <w:lang w:bidi="en-US"/>
        </w:rPr>
        <w:t>Nestin</w:t>
      </w:r>
      <w:proofErr w:type="spellEnd"/>
      <w:r w:rsidR="004B5E34">
        <w:rPr>
          <w:bCs w:val="0"/>
          <w:sz w:val="22"/>
          <w:szCs w:val="22"/>
          <w:lang w:bidi="en-US"/>
        </w:rPr>
        <w:t>, NG2; were highly expressed (&gt;70% marker positive).</w:t>
      </w:r>
    </w:p>
    <w:p w14:paraId="64742778" w14:textId="6BEE76A5" w:rsidR="00551058" w:rsidRPr="001B4A07" w:rsidRDefault="00551058" w:rsidP="001B4A07">
      <w:pPr>
        <w:pStyle w:val="Body"/>
        <w:spacing w:line="480" w:lineRule="auto"/>
        <w:rPr>
          <w:b/>
          <w:bCs w:val="0"/>
          <w:sz w:val="22"/>
          <w:szCs w:val="22"/>
          <w:lang w:bidi="en-US"/>
        </w:rPr>
      </w:pPr>
      <w:r w:rsidRPr="001B4A07">
        <w:rPr>
          <w:b/>
          <w:bCs w:val="0"/>
          <w:sz w:val="22"/>
        </w:rPr>
        <w:t>Validation</w:t>
      </w:r>
    </w:p>
    <w:p w14:paraId="12715F15" w14:textId="326FAC1C" w:rsidR="00A42A22" w:rsidRPr="00C960DC" w:rsidRDefault="00F36B31" w:rsidP="0010363F">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sidR="00FC3DC5">
        <w:rPr>
          <w:sz w:val="22"/>
          <w:szCs w:val="22"/>
        </w:rPr>
        <w:t>T</w:t>
      </w:r>
      <w:r w:rsidRPr="00C960DC">
        <w:rPr>
          <w:sz w:val="22"/>
          <w:szCs w:val="22"/>
        </w:rPr>
        <w:t xml:space="preserve">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w:t>
      </w:r>
      <w:r w:rsidR="00A02DB4">
        <w:rPr>
          <w:sz w:val="22"/>
          <w:szCs w:val="22"/>
        </w:rPr>
        <w:t xml:space="preserve">(25%) </w:t>
      </w:r>
      <w:r w:rsidR="00C571FE" w:rsidRPr="00C960DC">
        <w:rPr>
          <w:sz w:val="22"/>
          <w:szCs w:val="22"/>
        </w:rPr>
        <w:t xml:space="preserve">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w:t>
      </w:r>
    </w:p>
    <w:p w14:paraId="5E52955D" w14:textId="0E9F289E" w:rsidR="0043376A" w:rsidRPr="00FC3DC5" w:rsidRDefault="008C2722" w:rsidP="00FC3DC5">
      <w:pPr>
        <w:pStyle w:val="Body"/>
        <w:numPr>
          <w:ilvl w:val="0"/>
          <w:numId w:val="42"/>
        </w:numPr>
        <w:spacing w:line="480" w:lineRule="auto"/>
        <w:rPr>
          <w:sz w:val="22"/>
          <w:szCs w:val="22"/>
        </w:rPr>
      </w:pPr>
      <w:r w:rsidRPr="00C960DC">
        <w:rPr>
          <w:sz w:val="22"/>
          <w:szCs w:val="22"/>
        </w:rPr>
        <w:t xml:space="preserve">Lineage </w:t>
      </w:r>
      <w:r w:rsidR="00FC3DC5">
        <w:rPr>
          <w:sz w:val="22"/>
          <w:szCs w:val="22"/>
        </w:rPr>
        <w:t>T</w:t>
      </w:r>
      <w:r w:rsidRPr="00C960DC">
        <w:rPr>
          <w:sz w:val="22"/>
          <w:szCs w:val="22"/>
        </w:rPr>
        <w:t xml:space="preserve">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r w:rsidR="00FC3DC5">
        <w:rPr>
          <w:sz w:val="22"/>
          <w:szCs w:val="22"/>
        </w:rPr>
        <w:t xml:space="preserve"> </w:t>
      </w:r>
      <w:r w:rsidR="00FC3DC5">
        <w:rPr>
          <w:sz w:val="22"/>
          <w:szCs w:val="22"/>
        </w:rPr>
        <w:fldChar w:fldCharType="begin"/>
      </w:r>
      <w:r w:rsidR="00FC3DC5">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sidR="00FC3DC5">
        <w:rPr>
          <w:sz w:val="22"/>
          <w:szCs w:val="22"/>
        </w:rPr>
        <w:fldChar w:fldCharType="separate"/>
      </w:r>
      <w:r w:rsidR="00FC3DC5">
        <w:rPr>
          <w:noProof/>
          <w:sz w:val="22"/>
          <w:szCs w:val="22"/>
        </w:rPr>
        <w:t>(Fessler et al.)</w:t>
      </w:r>
      <w:r w:rsidR="00FC3DC5">
        <w:rPr>
          <w:sz w:val="22"/>
          <w:szCs w:val="22"/>
        </w:rPr>
        <w:fldChar w:fldCharType="end"/>
      </w:r>
      <w:r w:rsidR="007734E1" w:rsidRPr="00C960DC">
        <w:rPr>
          <w:sz w:val="22"/>
          <w:szCs w:val="22"/>
        </w:rPr>
        <w:t>.</w:t>
      </w:r>
    </w:p>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lastRenderedPageBreak/>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lastRenderedPageBreak/>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6EE38" w14:textId="77777777" w:rsidR="00C740F6" w:rsidRDefault="00C740F6" w:rsidP="00B657A0">
      <w:r>
        <w:separator/>
      </w:r>
    </w:p>
  </w:endnote>
  <w:endnote w:type="continuationSeparator" w:id="0">
    <w:p w14:paraId="7CBB5898" w14:textId="77777777" w:rsidR="00C740F6" w:rsidRDefault="00C740F6" w:rsidP="00B657A0">
      <w:r>
        <w:continuationSeparator/>
      </w:r>
    </w:p>
  </w:endnote>
  <w:endnote w:type="continuationNotice" w:id="1">
    <w:p w14:paraId="2EFE153D" w14:textId="77777777" w:rsidR="00C740F6" w:rsidRDefault="00C740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19999" w14:textId="77777777" w:rsidR="00C740F6" w:rsidRDefault="00C740F6" w:rsidP="00B657A0">
      <w:r>
        <w:separator/>
      </w:r>
    </w:p>
  </w:footnote>
  <w:footnote w:type="continuationSeparator" w:id="0">
    <w:p w14:paraId="30A817E6" w14:textId="77777777" w:rsidR="00C740F6" w:rsidRDefault="00C740F6" w:rsidP="00B657A0">
      <w:r>
        <w:continuationSeparator/>
      </w:r>
    </w:p>
  </w:footnote>
  <w:footnote w:type="continuationNotice" w:id="1">
    <w:p w14:paraId="77F9A858" w14:textId="77777777" w:rsidR="00C740F6" w:rsidRDefault="00C740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42A9"/>
    <w:rsid w:val="00086261"/>
    <w:rsid w:val="000868E4"/>
    <w:rsid w:val="000924E9"/>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5BA9"/>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4DF8"/>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4D4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10AE"/>
    <w:rsid w:val="008B1806"/>
    <w:rsid w:val="008B22A0"/>
    <w:rsid w:val="008B2474"/>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B6599"/>
    <w:rsid w:val="00AC32EA"/>
    <w:rsid w:val="00AC6117"/>
    <w:rsid w:val="00AD1558"/>
    <w:rsid w:val="00AD1619"/>
    <w:rsid w:val="00AD39C5"/>
    <w:rsid w:val="00AE39F6"/>
    <w:rsid w:val="00AE4D50"/>
    <w:rsid w:val="00AE4E75"/>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4431"/>
    <w:rsid w:val="00BA4AF0"/>
    <w:rsid w:val="00BA5BDE"/>
    <w:rsid w:val="00BB4E41"/>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TotalTime>
  <Pages>17</Pages>
  <Words>23212</Words>
  <Characters>132315</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155217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3</cp:revision>
  <cp:lastPrinted>2022-11-15T17:35:00Z</cp:lastPrinted>
  <dcterms:created xsi:type="dcterms:W3CDTF">2022-11-15T17:35:00Z</dcterms:created>
  <dcterms:modified xsi:type="dcterms:W3CDTF">2022-11-15T17:39:00Z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