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E27B382" w:rsidR="00606C1B" w:rsidRPr="006C4359" w:rsidRDefault="00A73CAD" w:rsidP="00606C1B">
            <w:pPr>
              <w:pStyle w:val="JHEPBody"/>
              <w:rPr>
                <w:bCs/>
                <w:sz w:val="22"/>
                <w:lang w:bidi="en-US"/>
              </w:rPr>
            </w:pPr>
            <w:r w:rsidRPr="006C4359">
              <w:rPr>
                <w:bCs/>
                <w:sz w:val="22"/>
                <w:lang w:bidi="en-US"/>
              </w:rPr>
              <w:fldChar w:fldCharType="begin"/>
            </w:r>
            <w:r w:rsidR="007E5425">
              <w:rPr>
                <w:bCs/>
                <w:sz w:val="22"/>
                <w:lang w:bidi="en-US"/>
              </w:rPr>
              <w:instrText xml:space="preserve"> ADDIN ZOTERO_ITEM CSL_CITATION {"citationID":"OOBPxf4O","properties":{"formattedCitation":"(Rivera et al.)","plainCitation":"(Rivera et al.)","noteIndex":0},"citationItems":[{"id":"m5ORBR1p/YR3c0h4m","uris":["http://zotero.org/users/7286058/items/8Y7ZC3GS"],"itemData":{"id":4700,"type":"article-journal","abstract":"The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7A719144"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E103BB">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E103BB" w:rsidRPr="00E103BB">
        <w:rPr>
          <w:rFonts w:cs="Tahoma"/>
          <w:sz w:val="22"/>
        </w:rPr>
        <w:t>(Teng et al., “Functional Recovery Following Traumatic Spinal Cord Injury Mediated by a Unique Polymer Scaffold Seeded with Neural Stem Cells”)</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200CB0A7" w:rsidR="00240673"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21E1B755" w14:textId="65DF2725" w:rsidR="002B38F9" w:rsidRPr="002B38F9" w:rsidRDefault="002B38F9" w:rsidP="002B38F9">
      <w:pPr>
        <w:pStyle w:val="JHEPBody"/>
        <w:numPr>
          <w:ilvl w:val="0"/>
          <w:numId w:val="33"/>
        </w:numPr>
        <w:spacing w:line="480" w:lineRule="auto"/>
        <w:rPr>
          <w:bCs/>
          <w:sz w:val="20"/>
          <w:szCs w:val="20"/>
          <w:lang w:bidi="en-US"/>
        </w:rPr>
      </w:pPr>
      <w:r w:rsidRPr="001C00CA">
        <w:rPr>
          <w:b/>
          <w:bCs/>
          <w:sz w:val="22"/>
          <w:lang w:bidi="en-US"/>
        </w:rPr>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Pr>
          <w:sz w:val="22"/>
        </w:rPr>
        <w:t>is</w:t>
      </w:r>
      <w:r w:rsidRPr="0048052E">
        <w:rPr>
          <w:sz w:val="22"/>
        </w:rPr>
        <w:t xml:space="preserve"> made of bioabsorbable polyglycoli</w:t>
      </w:r>
      <w:r>
        <w:rPr>
          <w:sz w:val="22"/>
        </w:rPr>
        <w:t xml:space="preserve">c </w:t>
      </w:r>
      <w:r>
        <w:rPr>
          <w:sz w:val="22"/>
        </w:rPr>
        <w:lastRenderedPageBreak/>
        <w:t>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Pr>
          <w:sz w:val="22"/>
        </w:rPr>
        <w:t xml:space="preserve">resorbed completely over 4-8 weeks </w:t>
      </w:r>
      <w:r w:rsidRPr="0048052E">
        <w:rPr>
          <w:sz w:val="22"/>
        </w:rPr>
        <w:t>by simple hydrolysis to water and excreted via the kidney</w:t>
      </w:r>
      <w:r>
        <w:rPr>
          <w:sz w:val="22"/>
        </w:rPr>
        <w:t xml:space="preserve"> </w:t>
      </w:r>
      <w:r>
        <w:rPr>
          <w:sz w:val="22"/>
        </w:rPr>
        <w:fldChar w:fldCharType="begin"/>
      </w:r>
      <w:r>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48052E">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7C5D33E8" w:rsidR="00DF5CF8" w:rsidRPr="008B22A0" w:rsidRDefault="00B14BE0" w:rsidP="008B22A0">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w:t>
      </w:r>
      <w:r w:rsidR="007A1B24">
        <w:rPr>
          <w:rFonts w:cs="Tahoma"/>
          <w:bCs/>
          <w:sz w:val="22"/>
          <w:lang w:bidi="en-US"/>
        </w:rPr>
        <w:lastRenderedPageBreak/>
        <w:t xml:space="preserve">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0D7BCC8C" w14:textId="7ACE55CD" w:rsidR="0043376A" w:rsidRDefault="003445CA" w:rsidP="0043376A">
      <w:r w:rsidRPr="00D83180">
        <w:rPr>
          <w:b/>
          <w:bCs/>
        </w:rPr>
        <w:t>Motor recovery</w:t>
      </w:r>
      <w:r>
        <w:t xml:space="preserve">: </w:t>
      </w:r>
      <w:r w:rsidR="00E103BB">
        <w:t>assessment</w:t>
      </w:r>
      <w:r w:rsidR="002B6DF1">
        <w:t xml:space="preserve"> of motor recovery in SCI is measured using different scoring systems. In a study</w:t>
      </w:r>
      <w:r w:rsidR="007E5425">
        <w:t xml:space="preserve"> </w:t>
      </w:r>
      <w:r w:rsidR="007E5425">
        <w:fldChar w:fldCharType="begin"/>
      </w:r>
      <w:r w:rsidR="00B31F09">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7E5425">
        <w:fldChar w:fldCharType="separate"/>
      </w:r>
      <w:r w:rsidR="007E5425" w:rsidRPr="007E5425">
        <w:rPr>
          <w:rFonts w:cs="Tahoma"/>
        </w:rPr>
        <w:t>(Teng et al.</w:t>
      </w:r>
      <w:r w:rsidR="007E5425">
        <w:rPr>
          <w:rFonts w:cs="Tahoma"/>
        </w:rPr>
        <w:t>)</w:t>
      </w:r>
      <w:r w:rsidR="007E5425">
        <w:fldChar w:fldCharType="end"/>
      </w:r>
      <w:r w:rsidR="002B6DF1">
        <w:t>, using a PLGA scaffold seeded with neural stem cells promoted long-term locomotor recovery (&gt;= 1 year in some animals) in adult rat model of SCI compared to a lesion only control group.</w:t>
      </w:r>
      <w:r w:rsidR="008D2A02">
        <w:t xml:space="preserve"> A cut of 4mm at the T9-T10 level was performed in a population of rodents</w:t>
      </w:r>
      <w:r w:rsidR="00A92D89">
        <w:t xml:space="preserve">. The inner and outer scaffolds were both made from a mixture of PLGA (MW ~ 40,000); PLGA (MW ~ 30,000) and </w:t>
      </w:r>
      <w:proofErr w:type="spellStart"/>
      <w:r w:rsidR="00A92D89">
        <w:t>polylysine</w:t>
      </w:r>
      <w:proofErr w:type="spellEnd"/>
      <w:r w:rsidR="00A92D89">
        <w:t xml:space="preserve"> block (MW ~ 2000)</w:t>
      </w:r>
      <w:r w:rsidR="006F10C6">
        <w:t xml:space="preserve"> with a degradation rate of about 30-60 days using for the inner scaffold a slat-leaching process and the outer scaffold. A solid-liquid phase separation technic. </w:t>
      </w:r>
      <w:r w:rsidR="006F376C">
        <w:t>4</w:t>
      </w:r>
      <w:r w:rsidR="00AB5129">
        <w:t xml:space="preserve"> groups of rats were designed: (1) </w:t>
      </w:r>
      <w:r w:rsidR="006F376C">
        <w:t xml:space="preserve">scaffold + NSCs, </w:t>
      </w:r>
      <w:r w:rsidR="00AB5129">
        <w:t>(2) scaffold alone</w:t>
      </w:r>
      <w:r w:rsidR="006F376C">
        <w:t xml:space="preserve">, (3) NSCs in the SCI, </w:t>
      </w:r>
      <w:r w:rsidR="00163CCD">
        <w:t>s</w:t>
      </w:r>
      <w:r w:rsidR="00AB5129">
        <w:t>and (</w:t>
      </w:r>
      <w:r w:rsidR="006F376C">
        <w:t>4</w:t>
      </w:r>
      <w:r w:rsidR="00AB5129">
        <w:t>)</w:t>
      </w:r>
      <w:r w:rsidR="006F376C">
        <w:t xml:space="preserve"> lesion-control</w:t>
      </w:r>
      <w:r w:rsidR="00AB5129">
        <w:t xml:space="preserve">. </w:t>
      </w:r>
      <w:r w:rsidR="00C71638">
        <w:t xml:space="preserve">One day postinjury </w:t>
      </w:r>
      <w:r w:rsidR="0005492C">
        <w:t>(</w:t>
      </w:r>
      <w:proofErr w:type="spellStart"/>
      <w:r w:rsidR="0005492C">
        <w:t>p.i.</w:t>
      </w:r>
      <w:proofErr w:type="spellEnd"/>
      <w:r w:rsidR="0005492C">
        <w:t xml:space="preserve">) </w:t>
      </w:r>
      <w:r w:rsidR="00C71638">
        <w:t>and then weekly, behavioral assessment of the rats were performed using the open-fi</w:t>
      </w:r>
      <w:r w:rsidR="0005492C">
        <w:t>el</w:t>
      </w:r>
      <w:r w:rsidR="00C71638">
        <w:t xml:space="preserve">d </w:t>
      </w:r>
      <w:r w:rsidR="0005492C">
        <w:t>B</w:t>
      </w:r>
      <w:r w:rsidR="00C71638">
        <w:t>BB scale.</w:t>
      </w:r>
      <w:r w:rsidR="0005492C">
        <w:t xml:space="preserve"> At 70 days </w:t>
      </w:r>
      <w:proofErr w:type="spellStart"/>
      <w:r w:rsidR="0005492C">
        <w:t>p.i.</w:t>
      </w:r>
      <w:proofErr w:type="spellEnd"/>
      <w:r w:rsidR="0005492C">
        <w:t>, 69% scaffold plus cells groups, 54% of the scaffold alone, and only 17% of the cells-alone, and 33% of lesion-control groups attained a score of at least 10 (threshold of significant walking behavior)</w:t>
      </w:r>
      <w:r w:rsidR="005C2CC2">
        <w:t xml:space="preserve">. Another experiment, scaffold implanted monkeys showed significantly improved kinematic recovery compared to the control group </w:t>
      </w:r>
      <w:r w:rsidR="005C2CC2">
        <w:fldChar w:fldCharType="begin"/>
      </w:r>
      <w:r w:rsidR="005C2CC2">
        <w:instrText xml:space="preserve"> ADDIN ZOTERO_ITEM CSL_CITATION {"citationID":"4RWlnVzg","properties":{"formattedCitation":"(Slotkin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5C2CC2">
        <w:fldChar w:fldCharType="separate"/>
      </w:r>
      <w:r w:rsidR="005C2CC2">
        <w:rPr>
          <w:noProof/>
        </w:rPr>
        <w:t>(Slotkin et al.)</w:t>
      </w:r>
      <w:r w:rsidR="005C2CC2">
        <w:fldChar w:fldCharType="end"/>
      </w:r>
      <w:r w:rsidR="00350B30">
        <w:t xml:space="preserve">. In another study, motor behavioral recovery was measured using </w:t>
      </w:r>
      <w:r w:rsidR="00E8738F">
        <w:t xml:space="preserve">the </w:t>
      </w:r>
      <w:proofErr w:type="spellStart"/>
      <w:r w:rsidR="00E8738F">
        <w:t>TreadScan</w:t>
      </w:r>
      <w:proofErr w:type="spellEnd"/>
      <w:r w:rsidR="00E8738F">
        <w:t xml:space="preserve"> scoring system</w:t>
      </w:r>
      <w:r w:rsidR="00124E5E">
        <w:t xml:space="preserve"> on </w:t>
      </w:r>
      <w:r w:rsidR="004601B4">
        <w:t xml:space="preserve">an </w:t>
      </w:r>
      <w:r w:rsidR="00124E5E">
        <w:t>adult rat population subjected to SCI at C5 level.</w:t>
      </w:r>
      <w:r w:rsidR="00350B30">
        <w:t xml:space="preserve"> </w:t>
      </w:r>
      <w:r w:rsidR="00B753B9">
        <w:t>One week after the injury, OPC1s (2.4 x 10</w:t>
      </w:r>
      <w:r w:rsidR="00B753B9" w:rsidRPr="00B753B9">
        <w:rPr>
          <w:vertAlign w:val="superscript"/>
        </w:rPr>
        <w:t>5</w:t>
      </w:r>
      <w:r w:rsidR="00B753B9">
        <w:t xml:space="preserve"> cells per rat), were injected directly into the spinal cord close to the injury site.</w:t>
      </w:r>
      <w:r w:rsidR="00D83180">
        <w:t xml:space="preserve"> Assessment of the locomotor performance was performed prior and at 1,2 and 4 months </w:t>
      </w:r>
      <w:proofErr w:type="spellStart"/>
      <w:proofErr w:type="gramStart"/>
      <w:r w:rsidR="00D83180">
        <w:t>p.i.</w:t>
      </w:r>
      <w:proofErr w:type="spellEnd"/>
      <w:r w:rsidR="00D83180">
        <w:t>.</w:t>
      </w:r>
      <w:proofErr w:type="gramEnd"/>
      <w:r w:rsidR="00D55C0E">
        <w:t xml:space="preserve"> Compared to animals treated with Hank’s balanced salt solution, OPC1 animals exhibited the greatest score improvements more closely matching the uninjured animals</w:t>
      </w:r>
      <w:r w:rsidR="00A16265">
        <w:t xml:space="preserve"> </w:t>
      </w:r>
      <w:r w:rsidR="00A16265">
        <w:fldChar w:fldCharType="begin"/>
      </w:r>
      <w:r w:rsidR="00A16265">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A16265">
        <w:fldChar w:fldCharType="separate"/>
      </w:r>
      <w:r w:rsidR="00A16265">
        <w:rPr>
          <w:noProof/>
        </w:rPr>
        <w:t>(Manley et al.)</w:t>
      </w:r>
      <w:r w:rsidR="00A16265">
        <w:fldChar w:fldCharType="end"/>
      </w:r>
      <w:r w:rsidR="00D55C0E">
        <w:t>.</w:t>
      </w:r>
    </w:p>
    <w:p w14:paraId="666E2E77" w14:textId="2D9D7CA8" w:rsidR="00DB2E16" w:rsidRDefault="00DB2E16" w:rsidP="00DB2E16">
      <w:pPr>
        <w:pStyle w:val="Body"/>
        <w:rPr>
          <w:bCs w:val="0"/>
        </w:rPr>
      </w:pPr>
      <w:r w:rsidRPr="00DB2E16">
        <w:rPr>
          <w:b/>
        </w:rPr>
        <w:t>Intraspinal Pressure</w:t>
      </w:r>
      <w:r>
        <w:rPr>
          <w:b/>
        </w:rPr>
        <w:t xml:space="preserve">: </w:t>
      </w:r>
      <w:r w:rsidR="00211205">
        <w:rPr>
          <w:bCs w:val="0"/>
        </w:rPr>
        <w:t>in this study</w:t>
      </w:r>
      <w:r w:rsidR="000D02CD">
        <w:rPr>
          <w:bCs w:val="0"/>
        </w:rPr>
        <w:t xml:space="preserve"> </w:t>
      </w:r>
      <w:r w:rsidR="000D02CD">
        <w:rPr>
          <w:bCs w:val="0"/>
        </w:rPr>
        <w:fldChar w:fldCharType="begin"/>
      </w:r>
      <w:r w:rsidR="000D02CD">
        <w:rPr>
          <w:bCs w:val="0"/>
        </w:rPr>
        <w:instrText xml:space="preserve"> ADDIN ZOTERO_ITEM CSL_CITATION {"citationID":"HG4v3VlG","properties":{"formattedCitation":"(Guest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0D02CD">
        <w:rPr>
          <w:bCs w:val="0"/>
        </w:rPr>
        <w:fldChar w:fldCharType="separate"/>
      </w:r>
      <w:r w:rsidR="000D02CD">
        <w:rPr>
          <w:bCs w:val="0"/>
          <w:noProof/>
        </w:rPr>
        <w:t>(Guest et al.)</w:t>
      </w:r>
      <w:r w:rsidR="000D02CD">
        <w:rPr>
          <w:bCs w:val="0"/>
        </w:rPr>
        <w:fldChar w:fldCharType="end"/>
      </w:r>
      <w:r w:rsidR="00211205">
        <w:rPr>
          <w:bCs w:val="0"/>
        </w:rPr>
        <w:t>, minipigs were used because the dimensions of their thoracic spinal cord and subarachnoid spaces resemble those of humans.</w:t>
      </w:r>
      <w:r w:rsidR="00052C3D">
        <w:rPr>
          <w:bCs w:val="0"/>
        </w:rPr>
        <w:t xml:space="preserve"> The scaffolds used were similar to the ones described above.</w:t>
      </w:r>
      <w:r w:rsidR="003F6C61">
        <w:rPr>
          <w:bCs w:val="0"/>
        </w:rPr>
        <w:t xml:space="preserve"> Although the scaffold is expected to decrease intraspinal pressure (which as established earlier, is detrimental following an SCI), its implantation can also result in an increase of net pressure. </w:t>
      </w:r>
      <w:r w:rsidR="007B4192">
        <w:rPr>
          <w:bCs w:val="0"/>
        </w:rPr>
        <w:t xml:space="preserve">After performing a T10 injuries on the pigs, </w:t>
      </w:r>
      <w:r w:rsidR="00BD7972">
        <w:rPr>
          <w:bCs w:val="0"/>
        </w:rPr>
        <w:t>a</w:t>
      </w:r>
      <w:r w:rsidR="0010205E">
        <w:rPr>
          <w:bCs w:val="0"/>
        </w:rPr>
        <w:t xml:space="preserve"> </w:t>
      </w:r>
      <w:r w:rsidR="00B56B38">
        <w:rPr>
          <w:bCs w:val="0"/>
        </w:rPr>
        <w:t>timed</w:t>
      </w:r>
      <w:r w:rsidR="00BD7972">
        <w:rPr>
          <w:bCs w:val="0"/>
        </w:rPr>
        <w:t xml:space="preserve"> internal decompression comprised of durotomy, limited </w:t>
      </w:r>
      <w:r w:rsidR="007B4EC8">
        <w:rPr>
          <w:bCs w:val="0"/>
        </w:rPr>
        <w:t>cut</w:t>
      </w:r>
      <w:r w:rsidR="00BD7972">
        <w:rPr>
          <w:bCs w:val="0"/>
        </w:rPr>
        <w:t xml:space="preserve">, and low fluid irrigation </w:t>
      </w:r>
      <w:r w:rsidR="00086261">
        <w:rPr>
          <w:bCs w:val="0"/>
        </w:rPr>
        <w:t>was</w:t>
      </w:r>
      <w:r w:rsidR="00BD7972">
        <w:rPr>
          <w:bCs w:val="0"/>
        </w:rPr>
        <w:t xml:space="preserve"> performed at the injury site. </w:t>
      </w:r>
      <w:r w:rsidR="00F3077E">
        <w:rPr>
          <w:bCs w:val="0"/>
        </w:rPr>
        <w:t xml:space="preserve">Pressure monitored, initially peaked when the scaffold was inserted between the pia and dura to swing back to the normal expected range after </w:t>
      </w:r>
      <w:proofErr w:type="spellStart"/>
      <w:r w:rsidR="00F3077E">
        <w:rPr>
          <w:bCs w:val="0"/>
        </w:rPr>
        <w:t>dural</w:t>
      </w:r>
      <w:proofErr w:type="spellEnd"/>
      <w:r w:rsidR="00F3077E">
        <w:rPr>
          <w:bCs w:val="0"/>
        </w:rPr>
        <w:t xml:space="preserve"> closure.</w:t>
      </w:r>
      <w:r w:rsidR="00937C53">
        <w:rPr>
          <w:bCs w:val="0"/>
        </w:rPr>
        <w:t xml:space="preserve"> </w:t>
      </w:r>
      <w:r w:rsidR="00003441">
        <w:rPr>
          <w:bCs w:val="0"/>
        </w:rPr>
        <w:t xml:space="preserve">Post implantation, </w:t>
      </w:r>
      <w:r w:rsidR="00937C53">
        <w:rPr>
          <w:bCs w:val="0"/>
        </w:rPr>
        <w:t>the tissue evacuated was analyzed reve</w:t>
      </w:r>
      <w:r w:rsidR="00003441">
        <w:rPr>
          <w:bCs w:val="0"/>
        </w:rPr>
        <w:t>a</w:t>
      </w:r>
      <w:r w:rsidR="00937C53">
        <w:rPr>
          <w:bCs w:val="0"/>
        </w:rPr>
        <w:t xml:space="preserve">ling </w:t>
      </w:r>
      <w:r w:rsidR="00003441">
        <w:rPr>
          <w:bCs w:val="0"/>
        </w:rPr>
        <w:t>necrotic materials and no bleeding was observed.</w:t>
      </w:r>
    </w:p>
    <w:p w14:paraId="58181CFA" w14:textId="0D4046D5" w:rsidR="00F3077E" w:rsidRDefault="00473E6C" w:rsidP="00DB2E16">
      <w:pPr>
        <w:pStyle w:val="Body"/>
        <w:rPr>
          <w:bCs w:val="0"/>
          <w:lang w:bidi="en-US"/>
        </w:rPr>
      </w:pPr>
      <w:r w:rsidRPr="009A35C8">
        <w:rPr>
          <w:b/>
          <w:lang w:bidi="en-US"/>
        </w:rPr>
        <w:t xml:space="preserve">Biodegradability: </w:t>
      </w:r>
      <w:r w:rsidR="00BE75F7">
        <w:rPr>
          <w:bCs w:val="0"/>
          <w:lang w:bidi="en-US"/>
        </w:rPr>
        <w:t xml:space="preserve">the scaffolds have different molecular weights as described in “motor recovery” allowing different rate of resorption. </w:t>
      </w:r>
      <w:r w:rsidR="00B7493D">
        <w:rPr>
          <w:bCs w:val="0"/>
          <w:lang w:bidi="en-US"/>
        </w:rPr>
        <w:t xml:space="preserve">In one of the study, </w:t>
      </w:r>
      <w:r w:rsidR="00D0798A">
        <w:rPr>
          <w:bCs w:val="0"/>
          <w:lang w:bidi="en-US"/>
        </w:rPr>
        <w:t xml:space="preserve">H&amp;H staining, one week after implantation, </w:t>
      </w:r>
      <w:r w:rsidR="008B22A0">
        <w:rPr>
          <w:bCs w:val="0"/>
          <w:lang w:bidi="en-US"/>
        </w:rPr>
        <w:t xml:space="preserve">revealed that </w:t>
      </w:r>
      <w:r w:rsidR="00D0798A">
        <w:rPr>
          <w:bCs w:val="0"/>
          <w:lang w:bidi="en-US"/>
        </w:rPr>
        <w:t xml:space="preserve">few cells have entered the scaffold. At 2 weeks, the scaffold </w:t>
      </w:r>
      <w:r w:rsidR="008B22A0">
        <w:rPr>
          <w:bCs w:val="0"/>
          <w:lang w:bidi="en-US"/>
        </w:rPr>
        <w:t>was</w:t>
      </w:r>
      <w:r w:rsidR="00D0798A">
        <w:rPr>
          <w:bCs w:val="0"/>
          <w:lang w:bidi="en-US"/>
        </w:rPr>
        <w:t xml:space="preserve"> extensively infiltrated. By 3 weeks and onward, the scaffold volume </w:t>
      </w:r>
      <w:r w:rsidR="008B22A0">
        <w:rPr>
          <w:bCs w:val="0"/>
          <w:lang w:bidi="en-US"/>
        </w:rPr>
        <w:t>was</w:t>
      </w:r>
      <w:r w:rsidR="00D0798A">
        <w:rPr>
          <w:bCs w:val="0"/>
          <w:lang w:bidi="en-US"/>
        </w:rPr>
        <w:t xml:space="preserve"> reduced further and further. By week 12, the scaffold </w:t>
      </w:r>
      <w:r w:rsidR="008B22A0">
        <w:rPr>
          <w:bCs w:val="0"/>
          <w:lang w:bidi="en-US"/>
        </w:rPr>
        <w:t>wa</w:t>
      </w:r>
      <w:r w:rsidR="00742E7F">
        <w:rPr>
          <w:bCs w:val="0"/>
          <w:lang w:bidi="en-US"/>
        </w:rPr>
        <w:t>s</w:t>
      </w:r>
      <w:r w:rsidR="00D0798A">
        <w:rPr>
          <w:bCs w:val="0"/>
          <w:lang w:bidi="en-US"/>
        </w:rPr>
        <w:t xml:space="preserve"> mostly replaced by new tissue</w:t>
      </w:r>
      <w:r w:rsidR="00EF5D1E">
        <w:rPr>
          <w:bCs w:val="0"/>
          <w:lang w:bidi="en-US"/>
        </w:rPr>
        <w:t xml:space="preserve"> with foreign body giant cells (FBGC), sign of end-stage response of the inflammatory response following</w:t>
      </w:r>
      <w:r w:rsidR="008B22A0">
        <w:rPr>
          <w:bCs w:val="0"/>
          <w:lang w:bidi="en-US"/>
        </w:rPr>
        <w:t xml:space="preserve"> foreign </w:t>
      </w:r>
      <w:r w:rsidR="008B22A0">
        <w:rPr>
          <w:bCs w:val="0"/>
          <w:lang w:bidi="en-US"/>
        </w:rPr>
        <w:lastRenderedPageBreak/>
        <w:t>body</w:t>
      </w:r>
      <w:r w:rsidR="00EF5D1E">
        <w:rPr>
          <w:bCs w:val="0"/>
          <w:lang w:bidi="en-US"/>
        </w:rPr>
        <w:t xml:space="preserve"> implantation</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{"citationID":"tjG31pc5","properties":{"formattedCitation":"(Anderson et al.)","plainCitation":"(Anderson et al.)","noteIndex":0},"citationItems":[{"id":4900,"uris":["http://zotero.org/users/7286058/items/F8AYPKAG"],"itemData":{"id":4900,"type":"article-journal","abstract":"The foreign body reaction composed of macrophages and foreign body giant cells is the end-stage response of the inflammatory and wound healing responses following implantation of a medical device, prosthesis, or biomaterial. A brief, focused overview of events leading to the foreign body reaction is presented. The major focus of this review is on factors that modulate the interaction of macrophages and foreign body giant cells on synthetic surfaces where the chemical, physical, and morphological characteristics of the synthetic surface are considered to play a role in modulating cellular events. These events in the foreign body reaction include protein adsorption, monocyte/ macrophage adhesion, macrophage fusion to form foreign body giant cells, consequences of the foreign body response on biomaterials, and cross-talk between macrophages/foreign body giant cells and inflammatory/wound healing cells. Biomaterial surface properties play an important role in modulating the foreign body reaction in the first two to four weeks following implantation of a medical device, even though the foreign body reaction at the tissue/material interface is present for the in vivo lifetime of the medical device. An understanding of the foreign body reaction is important as the foreign body reaction may impact the biocompatibility (safety) of the medical device, prosthesis, or implanted biomaterial and may significantly impact short- and long-term tissue responses with tissue-engineered constructs containing proteins, cells, and other biological components for use in tissue engineering and regenerative medicine. Our perspective has been on the inflammatory and wound healing response to implanted materials, devices, and tissue-engineered constructs. The incorporation of biological components of allogeneic or xenogeneic origin as well as stem cells into tissue-engineered or regenerative approaches opens up a myriad of other challenges. An in depth understanding of how the immune system interacts with these cells and how biomaterials or tissue-engineered constructs influences these interactions may prove pivotal to the safety, biocompatibility, and function of the device or system under consideration.","container-title":"Seminars in Immunology","DOI":"10.1016/j.smim.2007.11.004","ISSN":"10445323","issue":"2","journalAbbreviation":"Seminars in Immunology","language":"en","page":"86-100","source":"DOI.org (Crossref)","title":"Foreign body reaction to biomaterials","URL":"https://linkinghub.elsevier.com/retrieve/pii/S1044532307000966","volume":"20","author":[{"family":"Anderson","given":"James M."},{"family":"Rodriguez","given":"Analiz"},{"family":"Chang","given":"David T."}],"accessed":{"date-parts":[["2022",10,30]]},"issued":{"date-parts":[["2008",4]]}}}],"schema":"https://github.com/citation-style-language/schema/raw/master/csl-citation.json"} </w:instrText>
      </w:r>
      <w:r w:rsidR="00B31F09">
        <w:rPr>
          <w:bCs w:val="0"/>
          <w:lang w:bidi="en-US"/>
        </w:rPr>
        <w:fldChar w:fldCharType="separate"/>
      </w:r>
      <w:r w:rsidR="00B31F09">
        <w:rPr>
          <w:bCs w:val="0"/>
          <w:noProof/>
          <w:lang w:bidi="en-US"/>
        </w:rPr>
        <w:t>(Anderson et al.)</w:t>
      </w:r>
      <w:r w:rsidR="00B31F09">
        <w:rPr>
          <w:bCs w:val="0"/>
          <w:lang w:bidi="en-US"/>
        </w:rPr>
        <w:fldChar w:fldCharType="end"/>
      </w:r>
      <w:r w:rsidR="00D0798A">
        <w:rPr>
          <w:bCs w:val="0"/>
          <w:lang w:bidi="en-US"/>
        </w:rPr>
        <w:t xml:space="preserve">. By comparison, 12 weeks after </w:t>
      </w:r>
      <w:r w:rsidR="00D61A5F">
        <w:rPr>
          <w:bCs w:val="0"/>
          <w:lang w:bidi="en-US"/>
        </w:rPr>
        <w:t xml:space="preserve">an </w:t>
      </w:r>
      <w:r w:rsidR="00D0798A">
        <w:rPr>
          <w:bCs w:val="0"/>
          <w:lang w:bidi="en-US"/>
        </w:rPr>
        <w:t xml:space="preserve">SCI only, the injury </w:t>
      </w:r>
      <w:r w:rsidR="008B22A0">
        <w:rPr>
          <w:bCs w:val="0"/>
          <w:lang w:bidi="en-US"/>
        </w:rPr>
        <w:t>was</w:t>
      </w:r>
      <w:r w:rsidR="00D0798A">
        <w:rPr>
          <w:bCs w:val="0"/>
          <w:lang w:bidi="en-US"/>
        </w:rPr>
        <w:t xml:space="preserve"> filled with an empty</w:t>
      </w:r>
      <w:r w:rsidR="00903670">
        <w:rPr>
          <w:bCs w:val="0"/>
          <w:lang w:bidi="en-US"/>
        </w:rPr>
        <w:t xml:space="preserve"> </w:t>
      </w:r>
      <w:r w:rsidR="00D0798A">
        <w:rPr>
          <w:bCs w:val="0"/>
          <w:lang w:bidi="en-US"/>
        </w:rPr>
        <w:t>cyst with macrophages along thin septations</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{"citationID":"zmaLzQ6N","properties":{"formattedCitation":"(Guest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B31F09">
        <w:rPr>
          <w:bCs w:val="0"/>
          <w:lang w:bidi="en-US"/>
        </w:rPr>
        <w:fldChar w:fldCharType="separate"/>
      </w:r>
      <w:r w:rsidR="00B31F09">
        <w:rPr>
          <w:bCs w:val="0"/>
          <w:noProof/>
          <w:lang w:bidi="en-US"/>
        </w:rPr>
        <w:t>(Guest et al.)</w:t>
      </w:r>
      <w:r w:rsidR="00B31F09">
        <w:rPr>
          <w:bCs w:val="0"/>
          <w:lang w:bidi="en-US"/>
        </w:rPr>
        <w:fldChar w:fldCharType="end"/>
      </w:r>
      <w:r w:rsidR="00D0798A">
        <w:rPr>
          <w:bCs w:val="0"/>
          <w:lang w:bidi="en-US"/>
        </w:rPr>
        <w:t>.</w:t>
      </w:r>
      <w:r w:rsidR="00BE75F7">
        <w:rPr>
          <w:bCs w:val="0"/>
          <w:lang w:bidi="en-US"/>
        </w:rPr>
        <w:t xml:space="preserve"> </w:t>
      </w:r>
    </w:p>
    <w:p w14:paraId="220EFFB3" w14:textId="77777777" w:rsidR="006867E5" w:rsidRDefault="008B22A0" w:rsidP="00DB2E16">
      <w:pPr>
        <w:pStyle w:val="Body"/>
        <w:rPr>
          <w:bCs w:val="0"/>
          <w:lang w:bidi="en-US"/>
        </w:rPr>
      </w:pPr>
      <w:r w:rsidRPr="008B22A0">
        <w:rPr>
          <w:b/>
          <w:lang w:bidi="en-US"/>
        </w:rPr>
        <w:t>Tissue sparing and new tissue formation:</w:t>
      </w:r>
      <w:r w:rsidR="008F2CB9">
        <w:rPr>
          <w:b/>
          <w:lang w:bidi="en-US"/>
        </w:rPr>
        <w:t xml:space="preserve"> </w:t>
      </w:r>
      <w:r w:rsidR="008F2CB9" w:rsidRPr="008F2CB9">
        <w:rPr>
          <w:bCs w:val="0"/>
          <w:lang w:bidi="en-US"/>
        </w:rPr>
        <w:t xml:space="preserve">in the </w:t>
      </w:r>
      <w:r w:rsidR="008F2CB9">
        <w:rPr>
          <w:bCs w:val="0"/>
          <w:lang w:bidi="en-US"/>
        </w:rPr>
        <w:t>same study described above, ID + scaffold reported a decrease in cavity volume (86%) and an increase of preserved tissue width (44%) relative to the untreated animal group.</w:t>
      </w:r>
      <w:r w:rsidR="00062E70">
        <w:rPr>
          <w:bCs w:val="0"/>
          <w:lang w:bidi="en-US"/>
        </w:rPr>
        <w:t xml:space="preserve"> </w:t>
      </w:r>
      <w:r w:rsidR="004D3B97">
        <w:rPr>
          <w:bCs w:val="0"/>
          <w:lang w:bidi="en-US"/>
        </w:rPr>
        <w:t>Compared to the control group, s</w:t>
      </w:r>
      <w:r w:rsidR="00062E70">
        <w:rPr>
          <w:bCs w:val="0"/>
          <w:lang w:bidi="en-US"/>
        </w:rPr>
        <w:t xml:space="preserve">caffold implanted animals had </w:t>
      </w:r>
      <w:r w:rsidR="008E32E8">
        <w:rPr>
          <w:bCs w:val="0"/>
          <w:lang w:bidi="en-US"/>
        </w:rPr>
        <w:t>an increase of</w:t>
      </w:r>
      <w:r w:rsidR="00062E70">
        <w:rPr>
          <w:bCs w:val="0"/>
          <w:lang w:bidi="en-US"/>
        </w:rPr>
        <w:t xml:space="preserve"> </w:t>
      </w:r>
      <w:r w:rsidR="008E32E8">
        <w:rPr>
          <w:bCs w:val="0"/>
          <w:lang w:bidi="en-US"/>
        </w:rPr>
        <w:t>0.6 mm</w:t>
      </w:r>
      <w:r w:rsidR="008E32E8" w:rsidRPr="008E32E8">
        <w:rPr>
          <w:bCs w:val="0"/>
          <w:vertAlign w:val="superscript"/>
          <w:lang w:bidi="en-US"/>
        </w:rPr>
        <w:t>3</w:t>
      </w:r>
      <w:r w:rsidR="008E32E8">
        <w:rPr>
          <w:bCs w:val="0"/>
          <w:lang w:bidi="en-US"/>
        </w:rPr>
        <w:t xml:space="preserve"> in white matter width and 2mm</w:t>
      </w:r>
      <w:r w:rsidR="008E32E8" w:rsidRPr="008E32E8">
        <w:rPr>
          <w:bCs w:val="0"/>
          <w:vertAlign w:val="superscript"/>
          <w:lang w:bidi="en-US"/>
        </w:rPr>
        <w:t>3</w:t>
      </w:r>
      <w:r w:rsidR="008E32E8">
        <w:rPr>
          <w:bCs w:val="0"/>
          <w:lang w:bidi="en-US"/>
        </w:rPr>
        <w:t xml:space="preserve"> remodeled volume tissue.</w:t>
      </w:r>
      <w:r w:rsidR="004D3B97">
        <w:rPr>
          <w:bCs w:val="0"/>
          <w:lang w:bidi="en-US"/>
        </w:rPr>
        <w:t xml:space="preserve"> </w:t>
      </w:r>
    </w:p>
    <w:p w14:paraId="61E31ADC" w14:textId="43FA756D" w:rsidR="009A35C8" w:rsidRPr="009A6BE4" w:rsidRDefault="00264BFA" w:rsidP="009A6BE4">
      <w:pPr>
        <w:pStyle w:val="Body"/>
        <w:rPr>
          <w:bCs w:val="0"/>
          <w:lang w:bidi="en-US"/>
        </w:rPr>
      </w:pPr>
      <w:r>
        <w:rPr>
          <w:b/>
        </w:rPr>
        <w:t>Neurological growth</w:t>
      </w:r>
      <w:r w:rsidR="006867E5" w:rsidRPr="006867E5">
        <w:rPr>
          <w:bCs w:val="0"/>
          <w:lang w:bidi="en-US"/>
        </w:rPr>
        <w:t>:</w:t>
      </w:r>
      <w:r w:rsidR="006867E5">
        <w:rPr>
          <w:bCs w:val="0"/>
          <w:lang w:bidi="en-US"/>
        </w:rPr>
        <w:t xml:space="preserve"> in the previous study, n</w:t>
      </w:r>
      <w:r w:rsidR="004D3B97">
        <w:rPr>
          <w:bCs w:val="0"/>
          <w:lang w:bidi="en-US"/>
        </w:rPr>
        <w:t>ewly formed tissues were analyzed by immunofluorescent labeling and showed laminl-1 indicating regenerating axons entering the laminin-rich newly formed tissue at the injury site compared to control.</w:t>
      </w:r>
      <w:r w:rsidR="00911BCE">
        <w:rPr>
          <w:bCs w:val="0"/>
          <w:lang w:bidi="en-US"/>
        </w:rPr>
        <w:t xml:space="preserve"> P0 staining showed Schwan cell (SCs)</w:t>
      </w:r>
      <w:r w:rsidR="00B14E36">
        <w:rPr>
          <w:bCs w:val="0"/>
          <w:lang w:bidi="en-US"/>
        </w:rPr>
        <w:t xml:space="preserve"> extensively remyelinating white matter and newly formed tissue</w:t>
      </w:r>
      <w:r w:rsidR="00562B60">
        <w:rPr>
          <w:bCs w:val="0"/>
          <w:lang w:bidi="en-US"/>
        </w:rPr>
        <w:t xml:space="preserve"> after scaffold degradation</w:t>
      </w:r>
      <w:r w:rsidR="00B14E36">
        <w:rPr>
          <w:bCs w:val="0"/>
          <w:lang w:bidi="en-US"/>
        </w:rPr>
        <w:t>.</w:t>
      </w:r>
      <w:r w:rsidR="00972B7F">
        <w:rPr>
          <w:bCs w:val="0"/>
          <w:lang w:bidi="en-US"/>
        </w:rPr>
        <w:t xml:space="preserve"> Similar results were observed in two other studies (</w:t>
      </w:r>
      <w:r w:rsidR="00972B7F">
        <w:rPr>
          <w:bCs w:val="0"/>
          <w:lang w:bidi="en-US"/>
        </w:rPr>
        <w:fldChar w:fldCharType="begin"/>
      </w:r>
      <w:r w:rsidR="00972B7F">
        <w:rPr>
          <w:bCs w:val="0"/>
          <w:lang w:bidi="en-US"/>
        </w:rPr>
        <w:instrText xml:space="preserve"> ADDIN ZOTERO_ITEM CSL_CITATION {"citationID":"eXRT7Omz","properties":{"formattedCitation":"(Slotkin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972B7F">
        <w:rPr>
          <w:bCs w:val="0"/>
          <w:lang w:bidi="en-US"/>
        </w:rPr>
        <w:fldChar w:fldCharType="separate"/>
      </w:r>
      <w:r w:rsidR="00972B7F">
        <w:rPr>
          <w:bCs w:val="0"/>
          <w:noProof/>
          <w:lang w:bidi="en-US"/>
        </w:rPr>
        <w:t>(Slotkin et al.)</w:t>
      </w:r>
      <w:r w:rsidR="00972B7F">
        <w:rPr>
          <w:bCs w:val="0"/>
          <w:lang w:bidi="en-US"/>
        </w:rPr>
        <w:fldChar w:fldCharType="end"/>
      </w:r>
      <w:r w:rsidR="00972B7F">
        <w:rPr>
          <w:bCs w:val="0"/>
          <w:lang w:bidi="en-US"/>
        </w:rPr>
        <w:t xml:space="preserve"> </w:t>
      </w:r>
      <w:r w:rsidR="00972B7F">
        <w:rPr>
          <w:bCs w:val="0"/>
          <w:lang w:bidi="en-US"/>
        </w:rPr>
        <w:fldChar w:fldCharType="begin"/>
      </w:r>
      <w:r w:rsidR="00696CC5">
        <w:rPr>
          <w:bCs w:val="0"/>
          <w:lang w:bidi="en-US"/>
        </w:rPr>
        <w:instrText xml:space="preserve"> ADDIN ZOTERO_ITEM CSL_CITATION {"citationID":"mHdV7dp0","properties":{"formattedCitation":"(Teng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972B7F">
        <w:rPr>
          <w:bCs w:val="0"/>
          <w:lang w:bidi="en-US"/>
        </w:rPr>
        <w:fldChar w:fldCharType="separate"/>
      </w:r>
      <w:r w:rsidR="00972B7F" w:rsidRPr="00972B7F">
        <w:rPr>
          <w:rFonts w:cs="Tahoma"/>
        </w:rPr>
        <w:t>(Teng et al.)</w:t>
      </w:r>
      <w:r w:rsidR="00972B7F">
        <w:rPr>
          <w:bCs w:val="0"/>
          <w:lang w:bidi="en-US"/>
        </w:rPr>
        <w:fldChar w:fldCharType="end"/>
      </w:r>
      <w:r>
        <w:rPr>
          <w:bCs w:val="0"/>
          <w:lang w:bidi="en-US"/>
        </w:rPr>
        <w:t xml:space="preserve">. In vitro, </w:t>
      </w:r>
      <w:r w:rsidR="006915F0">
        <w:rPr>
          <w:bCs w:val="0"/>
          <w:lang w:bidi="en-US"/>
        </w:rPr>
        <w:t>proteins secreted by OPC1s involved in axonal growth (</w:t>
      </w:r>
      <w:proofErr w:type="spellStart"/>
      <w:r w:rsidR="006915F0">
        <w:rPr>
          <w:bCs w:val="0"/>
          <w:lang w:bidi="en-US"/>
        </w:rPr>
        <w:t>clusterin</w:t>
      </w:r>
      <w:proofErr w:type="spellEnd"/>
      <w:r w:rsidR="006915F0">
        <w:rPr>
          <w:bCs w:val="0"/>
          <w:lang w:bidi="en-US"/>
        </w:rPr>
        <w:t>), neural repair (MCP-1), and suppression of ap</w:t>
      </w:r>
      <w:r w:rsidR="0069419A">
        <w:rPr>
          <w:bCs w:val="0"/>
          <w:lang w:bidi="en-US"/>
        </w:rPr>
        <w:t>o</w:t>
      </w:r>
      <w:r w:rsidR="006915F0">
        <w:rPr>
          <w:bCs w:val="0"/>
          <w:lang w:bidi="en-US"/>
        </w:rPr>
        <w:t>ptosis (</w:t>
      </w:r>
      <w:proofErr w:type="spellStart"/>
      <w:r w:rsidR="006915F0">
        <w:rPr>
          <w:bCs w:val="0"/>
          <w:lang w:bidi="en-US"/>
        </w:rPr>
        <w:t>apoE</w:t>
      </w:r>
      <w:proofErr w:type="spellEnd"/>
      <w:r w:rsidR="006915F0">
        <w:rPr>
          <w:bCs w:val="0"/>
          <w:lang w:bidi="en-US"/>
        </w:rPr>
        <w:t xml:space="preserve">,  TIMP1 or 2) were </w:t>
      </w:r>
      <w:r w:rsidR="007D64DB">
        <w:rPr>
          <w:bCs w:val="0"/>
          <w:lang w:bidi="en-US"/>
        </w:rPr>
        <w:t>detected by Lumi</w:t>
      </w:r>
      <w:r w:rsidR="00C02E4C">
        <w:rPr>
          <w:bCs w:val="0"/>
          <w:lang w:bidi="en-US"/>
        </w:rPr>
        <w:t>n</w:t>
      </w:r>
      <w:r w:rsidR="007D64DB">
        <w:rPr>
          <w:bCs w:val="0"/>
          <w:lang w:bidi="en-US"/>
        </w:rPr>
        <w:t>ex assay</w:t>
      </w:r>
      <w:r w:rsidR="00C02E4C">
        <w:rPr>
          <w:bCs w:val="0"/>
          <w:lang w:bidi="en-US"/>
        </w:rPr>
        <w:t xml:space="preserve"> at high levels (see supplementar</w:t>
      </w:r>
      <w:r w:rsidR="0069419A">
        <w:rPr>
          <w:bCs w:val="0"/>
          <w:lang w:bidi="en-US"/>
        </w:rPr>
        <w:t>y</w:t>
      </w:r>
      <w:r w:rsidR="00C02E4C">
        <w:rPr>
          <w:bCs w:val="0"/>
          <w:lang w:bidi="en-US"/>
        </w:rPr>
        <w:t xml:space="preserve"> Table 2 in </w:t>
      </w:r>
      <w:r w:rsidR="0069419A">
        <w:rPr>
          <w:bCs w:val="0"/>
          <w:lang w:bidi="en-US"/>
        </w:rPr>
        <w:fldChar w:fldCharType="begin"/>
      </w:r>
      <w:r w:rsidR="0069419A">
        <w:rPr>
          <w:bCs w:val="0"/>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Pr>
          <w:bCs w:val="0"/>
          <w:lang w:bidi="en-US"/>
        </w:rPr>
        <w:fldChar w:fldCharType="separate"/>
      </w:r>
      <w:r w:rsidR="0069419A">
        <w:rPr>
          <w:bCs w:val="0"/>
          <w:noProof/>
          <w:lang w:bidi="en-US"/>
        </w:rPr>
        <w:t>(Priest et al.)</w:t>
      </w:r>
      <w:r w:rsidR="0069419A">
        <w:rPr>
          <w:bCs w:val="0"/>
          <w:lang w:bidi="en-US"/>
        </w:rPr>
        <w:fldChar w:fldCharType="end"/>
      </w:r>
      <w:r w:rsidR="0069419A">
        <w:rPr>
          <w:bCs w:val="0"/>
          <w:lang w:bidi="en-US"/>
        </w:rPr>
        <w:t>).</w:t>
      </w:r>
      <w:r w:rsidR="006915F0">
        <w:rPr>
          <w:bCs w:val="0"/>
          <w:lang w:bidi="en-US"/>
        </w:rPr>
        <w:tab/>
      </w:r>
      <w:r w:rsidR="009A6BE4">
        <w:rPr>
          <w:bCs w:val="0"/>
          <w:lang w:bidi="en-US"/>
        </w:rPr>
        <w:t xml:space="preserve">In two studies, OPC1 injection results in </w:t>
      </w:r>
      <w:r w:rsidR="008C2722">
        <w:rPr>
          <w:bCs w:val="0"/>
          <w:lang w:bidi="en-US"/>
        </w:rPr>
        <w:t>engraftment</w:t>
      </w:r>
      <w:r w:rsidR="009A6BE4">
        <w:rPr>
          <w:bCs w:val="0"/>
          <w:lang w:bidi="en-US"/>
        </w:rPr>
        <w:t xml:space="preserve"> into the lesion site, suppression of parenchymal </w:t>
      </w:r>
      <w:proofErr w:type="spellStart"/>
      <w:r w:rsidR="009A6BE4">
        <w:rPr>
          <w:bCs w:val="0"/>
          <w:lang w:bidi="en-US"/>
        </w:rPr>
        <w:t>cavition</w:t>
      </w:r>
      <w:proofErr w:type="spellEnd"/>
      <w:r w:rsidR="009A6BE4">
        <w:rPr>
          <w:bCs w:val="0"/>
          <w:lang w:bidi="en-US"/>
        </w:rPr>
        <w:t xml:space="preserve"> and increased myelination within the injury site </w:t>
      </w:r>
      <w:r w:rsidR="009A6BE4">
        <w:rPr>
          <w:bCs w:val="0"/>
          <w:lang w:bidi="en-US"/>
        </w:rPr>
        <w:fldChar w:fldCharType="begin"/>
      </w:r>
      <w:r w:rsidR="009A6BE4">
        <w:rPr>
          <w:bCs w:val="0"/>
          <w:lang w:bidi="en-US"/>
        </w:rPr>
        <w:instrText xml:space="preserve"> ADDIN ZOTERO_ITEM CSL_CITATION {"citationID":"Wod1h9t5","properties":{"formattedCitation":"(Manley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9A6BE4">
        <w:rPr>
          <w:bCs w:val="0"/>
          <w:lang w:bidi="en-US"/>
        </w:rPr>
        <w:fldChar w:fldCharType="separate"/>
      </w:r>
      <w:r w:rsidR="009A6BE4">
        <w:rPr>
          <w:bCs w:val="0"/>
          <w:noProof/>
          <w:lang w:bidi="en-US"/>
        </w:rPr>
        <w:t>(Manley et al.)</w:t>
      </w:r>
      <w:r w:rsidR="009A6BE4">
        <w:rPr>
          <w:bCs w:val="0"/>
          <w:lang w:bidi="en-US"/>
        </w:rPr>
        <w:fldChar w:fldCharType="end"/>
      </w:r>
      <w:r w:rsidR="009A6BE4">
        <w:rPr>
          <w:bCs w:val="0"/>
          <w:lang w:bidi="en-US"/>
        </w:rPr>
        <w:t>.</w:t>
      </w:r>
    </w:p>
    <w:p w14:paraId="64742778" w14:textId="5C70791C" w:rsidR="00551058" w:rsidRDefault="00551058" w:rsidP="00551058">
      <w:pPr>
        <w:pStyle w:val="SubsectionTitle"/>
      </w:pPr>
      <w:r>
        <w:t>Validation</w:t>
      </w:r>
    </w:p>
    <w:p w14:paraId="6993CB68" w14:textId="39688E61" w:rsidR="00C17335" w:rsidRDefault="00F36B31" w:rsidP="00C17335">
      <w:pPr>
        <w:pStyle w:val="Body"/>
      </w:pPr>
      <w:proofErr w:type="spellStart"/>
      <w:r>
        <w:t>InVivo</w:t>
      </w:r>
      <w:proofErr w:type="spellEnd"/>
      <w:r>
        <w:t xml:space="preserve"> therapeutics has completed its first clinical trial in 2015, and since then has an on-going </w:t>
      </w:r>
      <w:r w:rsidR="000F0964">
        <w:t xml:space="preserve">second </w:t>
      </w:r>
      <w:r>
        <w:t xml:space="preserve">clinical trial (INSPIRE 2.0). </w:t>
      </w:r>
      <w:r w:rsidR="00BC06BA">
        <w:t xml:space="preserve">In INSPIRE 2.0, </w:t>
      </w:r>
      <w:r w:rsidR="00FE3A1C">
        <w:t>19 patients with nonpenetrating S</w:t>
      </w:r>
      <w:r w:rsidR="000F0964">
        <w:t>C</w:t>
      </w:r>
      <w:r w:rsidR="00FE3A1C">
        <w:t>I with a visible contusion on MRI, AIS A scale, neurological level of injury at T2-T12 underwent NSS implantation.</w:t>
      </w:r>
      <w:r w:rsidR="00A42A22">
        <w:t xml:space="preserve"> These patients were monitored for adverse and adverse device events (AEs and ADEs), </w:t>
      </w:r>
      <w:r w:rsidR="00BC06BA">
        <w:t xml:space="preserve">bowel and bladder functions and they had </w:t>
      </w:r>
      <w:r w:rsidR="00A42A22">
        <w:t xml:space="preserve">follow-up MRIs to assess for presence or not of cyst formation. 7 of 16 had an improvement exceeding historical benchmarks </w:t>
      </w:r>
      <w:r w:rsidR="00C571FE">
        <w:t>(</w:t>
      </w:r>
      <w:r w:rsidR="00A42A22" w:rsidRPr="00A42A22">
        <w:t xml:space="preserve">AIS grade </w:t>
      </w:r>
      <w:r w:rsidR="00C571FE">
        <w:t xml:space="preserve">A to B or C </w:t>
      </w:r>
      <w:r w:rsidR="00A42A22" w:rsidRPr="00A42A22">
        <w:t>at 6 month</w:t>
      </w:r>
      <w:r w:rsidR="00C571FE">
        <w:t xml:space="preserve">). 4 patients had an </w:t>
      </w:r>
      <w:r w:rsidR="00CA3595">
        <w:t xml:space="preserve">improvement in motor score of 1 to 18 point by 24 months. Bowel and bladder functions were improved in all 6 responders. </w:t>
      </w:r>
      <w:r w:rsidR="00E01421">
        <w:t xml:space="preserve">And </w:t>
      </w:r>
      <w:r w:rsidR="00A83D07">
        <w:t xml:space="preserve">finally </w:t>
      </w:r>
      <w:r w:rsidR="00E01421">
        <w:t>no ADEs were reported</w:t>
      </w:r>
      <w:r w:rsidR="00AA4F28">
        <w:t xml:space="preserve"> </w:t>
      </w:r>
      <w:r w:rsidR="00AA4F28">
        <w:fldChar w:fldCharType="begin"/>
      </w:r>
      <w:r w:rsidR="00AA4F28">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fldChar w:fldCharType="separate"/>
      </w:r>
      <w:r w:rsidR="00AA4F28">
        <w:rPr>
          <w:noProof/>
        </w:rPr>
        <w:t>(Kim et al.)</w:t>
      </w:r>
      <w:r w:rsidR="00AA4F28">
        <w:fldChar w:fldCharType="end"/>
      </w:r>
      <w:r w:rsidR="00E01421">
        <w:t>.</w:t>
      </w:r>
      <w:r w:rsidR="00DA0EF0">
        <w:t xml:space="preserve"> In other </w:t>
      </w:r>
      <w:r w:rsidR="00035B28">
        <w:t>NSS implantation was performed in a 25-year-old man with complete loss of sensation below L1 (T11 AIS grade A).</w:t>
      </w:r>
      <w:r w:rsidR="002B2EF8">
        <w:t xml:space="preserve"> 3 months after the surgery, he had sensation at and above L1 dermatomes bilaterally, improved motor function in the hip flexor and strength in the knee extensors. </w:t>
      </w:r>
      <w:r w:rsidR="00D00B74">
        <w:t>6 month follow-up showed no complications and he improved to an L1 AIS grade C</w:t>
      </w:r>
      <w:r w:rsidR="00050175">
        <w:t xml:space="preserve"> </w:t>
      </w:r>
      <w:r w:rsidR="00050175">
        <w:fldChar w:fldCharType="begin"/>
      </w:r>
      <w:r w:rsidR="00050175">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fldChar w:fldCharType="separate"/>
      </w:r>
      <w:r w:rsidR="00050175">
        <w:rPr>
          <w:noProof/>
        </w:rPr>
        <w:t>(Theodore et al.)</w:t>
      </w:r>
      <w:r w:rsidR="00050175">
        <w:fldChar w:fldCharType="end"/>
      </w:r>
      <w:r w:rsidR="00D00B74">
        <w:t>.</w:t>
      </w:r>
    </w:p>
    <w:p w14:paraId="12715F15" w14:textId="7B2AF39B" w:rsidR="00A42A22" w:rsidRDefault="00A42A22" w:rsidP="00C17335">
      <w:pPr>
        <w:pStyle w:val="Body"/>
      </w:pPr>
    </w:p>
    <w:p w14:paraId="39D06F61" w14:textId="2CB82A22" w:rsidR="00050175" w:rsidRPr="008C2722" w:rsidRDefault="008C2722" w:rsidP="00C17335">
      <w:pPr>
        <w:pStyle w:val="Body"/>
      </w:pPr>
      <w:r>
        <w:t xml:space="preserve">Lineage therapeutic have completed 2 clinical trials. In the most recent (Phase 1/2a dose escalation trial), </w:t>
      </w:r>
      <w:r w:rsidR="00E43D6C">
        <w:t xml:space="preserve">25 </w:t>
      </w:r>
      <w:r>
        <w:t>patient</w:t>
      </w:r>
      <w:r w:rsidR="00E43D6C">
        <w:t>s with C4-7 AIS grade A or B,</w:t>
      </w:r>
      <w:r>
        <w:t xml:space="preserve"> received different dose</w:t>
      </w:r>
      <w:r w:rsidR="00E2311B">
        <w:t>s</w:t>
      </w:r>
      <w:r>
        <w:t xml:space="preserve"> of OPC1 (2 x 10</w:t>
      </w:r>
      <w:r w:rsidRPr="008C2722">
        <w:rPr>
          <w:vertAlign w:val="superscript"/>
        </w:rPr>
        <w:t>6</w:t>
      </w:r>
      <w:r>
        <w:t>, 1 x 10</w:t>
      </w:r>
      <w:r>
        <w:rPr>
          <w:vertAlign w:val="superscript"/>
        </w:rPr>
        <w:t xml:space="preserve">7 </w:t>
      </w:r>
      <w:r w:rsidRPr="008C2722">
        <w:t xml:space="preserve">or </w:t>
      </w:r>
      <w:r>
        <w:t>2 x 10</w:t>
      </w:r>
      <w:r>
        <w:rPr>
          <w:vertAlign w:val="superscript"/>
        </w:rPr>
        <w:t>7</w:t>
      </w:r>
      <w:r>
        <w:t>).</w:t>
      </w:r>
      <w:r w:rsidR="00631AC2">
        <w:t xml:space="preserve"> </w:t>
      </w:r>
      <w:r w:rsidR="00E43D6C">
        <w:t xml:space="preserve">These </w:t>
      </w:r>
      <w:r w:rsidR="00631AC2">
        <w:t>At -year follow-up, 21/22 (96%) and 7/22 (32%), recovered 2 or more levels of neurological function on at least one</w:t>
      </w:r>
      <w:r w:rsidR="00E2311B">
        <w:t xml:space="preserve"> s</w:t>
      </w:r>
      <w:r w:rsidR="00631AC2">
        <w:t>ide of their body.</w:t>
      </w:r>
      <w:r w:rsidR="00E2311B">
        <w:t xml:space="preserve"> The </w:t>
      </w:r>
      <w:r w:rsidR="007734E1">
        <w:t xml:space="preserve">only </w:t>
      </w:r>
      <w:r w:rsidR="00E2311B">
        <w:t>AEs reported</w:t>
      </w:r>
      <w:r w:rsidR="007734E1">
        <w:t xml:space="preserve"> such as urinary tract infections, muscle spasms, or neuropathic pain are commonly reported SCI complications, none of SAEs were related to OPC1.</w:t>
      </w:r>
    </w:p>
    <w:p w14:paraId="2A476436" w14:textId="4997C3AC" w:rsidR="0043376A" w:rsidRDefault="0043376A" w:rsidP="00C17335">
      <w:pPr>
        <w:pStyle w:val="Body"/>
      </w:pPr>
    </w:p>
    <w:p w14:paraId="5E3A8389" w14:textId="77777777" w:rsidR="002A6692" w:rsidRDefault="002A6692" w:rsidP="00C17335">
      <w:pPr>
        <w:pStyle w:val="Body"/>
      </w:pPr>
    </w:p>
    <w:p w14:paraId="6CB2585A" w14:textId="10F46E88" w:rsidR="009A6BE4" w:rsidRDefault="009A6BE4" w:rsidP="00C17335">
      <w:pPr>
        <w:pStyle w:val="Body"/>
      </w:pPr>
    </w:p>
    <w:p w14:paraId="0C41185F" w14:textId="3850BA7F" w:rsidR="009A6BE4" w:rsidRDefault="009A6BE4" w:rsidP="00C17335">
      <w:pPr>
        <w:pStyle w:val="Body"/>
      </w:pPr>
    </w:p>
    <w:p w14:paraId="0C0F66A4" w14:textId="45E16683" w:rsidR="009A6BE4" w:rsidRDefault="009A6BE4" w:rsidP="00C17335">
      <w:pPr>
        <w:pStyle w:val="Body"/>
      </w:pPr>
    </w:p>
    <w:p w14:paraId="73268D9F" w14:textId="29140B64" w:rsidR="009A6BE4" w:rsidRDefault="009A6BE4" w:rsidP="00C17335">
      <w:pPr>
        <w:pStyle w:val="Body"/>
      </w:pPr>
    </w:p>
    <w:p w14:paraId="0105D446" w14:textId="57AD25D8" w:rsidR="009A6BE4" w:rsidRDefault="009A6BE4" w:rsidP="00C17335">
      <w:pPr>
        <w:pStyle w:val="Body"/>
      </w:pPr>
    </w:p>
    <w:p w14:paraId="2891B3F3" w14:textId="78B14678" w:rsidR="009A6BE4" w:rsidRDefault="009A6BE4" w:rsidP="00C17335">
      <w:pPr>
        <w:pStyle w:val="Body"/>
      </w:pPr>
    </w:p>
    <w:p w14:paraId="43E95797" w14:textId="69D20835" w:rsidR="009A6BE4" w:rsidRDefault="009A6BE4" w:rsidP="00C17335">
      <w:pPr>
        <w:pStyle w:val="Body"/>
      </w:pPr>
    </w:p>
    <w:p w14:paraId="3991B69E" w14:textId="26178B50" w:rsidR="009A6BE4" w:rsidRDefault="009A6BE4" w:rsidP="00C17335">
      <w:pPr>
        <w:pStyle w:val="Body"/>
      </w:pPr>
    </w:p>
    <w:p w14:paraId="70485393" w14:textId="21BB349A" w:rsidR="009A6BE4" w:rsidRDefault="009A6BE4" w:rsidP="00C17335">
      <w:pPr>
        <w:pStyle w:val="Body"/>
      </w:pPr>
    </w:p>
    <w:p w14:paraId="25DDB7B6" w14:textId="45DD8AB2" w:rsidR="009A6BE4" w:rsidRDefault="009A6BE4" w:rsidP="00C17335">
      <w:pPr>
        <w:pStyle w:val="Body"/>
      </w:pPr>
    </w:p>
    <w:p w14:paraId="5F1EB6BD" w14:textId="385555F7" w:rsidR="009A6BE4" w:rsidRDefault="009A6BE4" w:rsidP="00C17335">
      <w:pPr>
        <w:pStyle w:val="Body"/>
      </w:pPr>
    </w:p>
    <w:p w14:paraId="3CCFAE63" w14:textId="0661D4A6" w:rsidR="009A6BE4" w:rsidRDefault="009A6BE4" w:rsidP="00C17335">
      <w:pPr>
        <w:pStyle w:val="Body"/>
      </w:pPr>
    </w:p>
    <w:p w14:paraId="72279F1F" w14:textId="751058A7" w:rsidR="009A6BE4" w:rsidRDefault="009A6BE4" w:rsidP="00C17335">
      <w:pPr>
        <w:pStyle w:val="Body"/>
      </w:pPr>
    </w:p>
    <w:p w14:paraId="0F25EA32" w14:textId="3C962674" w:rsidR="009A6BE4" w:rsidRDefault="009A6BE4" w:rsidP="00C17335">
      <w:pPr>
        <w:pStyle w:val="Body"/>
      </w:pPr>
    </w:p>
    <w:p w14:paraId="674E0302" w14:textId="36D65FE2" w:rsidR="009A6BE4" w:rsidRDefault="009A6BE4" w:rsidP="00C17335">
      <w:pPr>
        <w:pStyle w:val="Body"/>
      </w:pPr>
    </w:p>
    <w:p w14:paraId="59293A1D" w14:textId="1DA762A6" w:rsidR="009A6BE4" w:rsidRDefault="009A6BE4" w:rsidP="00C17335">
      <w:pPr>
        <w:pStyle w:val="Body"/>
      </w:pPr>
    </w:p>
    <w:p w14:paraId="3980344D" w14:textId="06633815" w:rsidR="009A6BE4" w:rsidRDefault="009A6BE4" w:rsidP="00C17335">
      <w:pPr>
        <w:pStyle w:val="Body"/>
      </w:pPr>
    </w:p>
    <w:p w14:paraId="276B2365" w14:textId="5439A225" w:rsidR="009A6BE4" w:rsidRDefault="009A6BE4" w:rsidP="00C17335">
      <w:pPr>
        <w:pStyle w:val="Body"/>
      </w:pPr>
    </w:p>
    <w:p w14:paraId="420E5815" w14:textId="77777777" w:rsidR="009A6BE4" w:rsidRDefault="009A6BE4"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lastRenderedPageBreak/>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lastRenderedPageBreak/>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2CEFF021" w14:textId="77777777" w:rsidR="00696CC5" w:rsidRPr="00696CC5" w:rsidRDefault="006C65A9" w:rsidP="00696CC5">
      <w:pPr>
        <w:pStyle w:val="Bibliography"/>
        <w:rPr>
          <w:rFonts w:cs="Tahoma"/>
        </w:rPr>
      </w:pPr>
      <w:r>
        <w:fldChar w:fldCharType="begin"/>
      </w:r>
      <w:r w:rsidR="00696CC5">
        <w:instrText xml:space="preserve"> ADDIN ZOTERO_BIBL {"uncited":[],"omitted":[],"custom":[]} CSL_BIBLIOGRAPHY </w:instrText>
      </w:r>
      <w:r>
        <w:fldChar w:fldCharType="separate"/>
      </w:r>
      <w:r w:rsidR="00696CC5" w:rsidRPr="00696CC5">
        <w:rPr>
          <w:rFonts w:cs="Tahoma"/>
        </w:rPr>
        <w:t xml:space="preserve">Anderson, James M., et al. “Foreign Body Reaction to Biomaterials.” </w:t>
      </w:r>
      <w:r w:rsidR="00696CC5" w:rsidRPr="00696CC5">
        <w:rPr>
          <w:rFonts w:cs="Tahoma"/>
          <w:i/>
          <w:iCs/>
        </w:rPr>
        <w:t>Seminars in Immunology</w:t>
      </w:r>
      <w:r w:rsidR="00696CC5" w:rsidRPr="00696CC5">
        <w:rPr>
          <w:rFonts w:cs="Tahoma"/>
        </w:rPr>
        <w:t xml:space="preserve">, vol. 20, no. 2, Apr. 2008, pp. 86–100. </w:t>
      </w:r>
      <w:r w:rsidR="00696CC5" w:rsidRPr="00696CC5">
        <w:rPr>
          <w:rFonts w:cs="Tahoma"/>
          <w:i/>
          <w:iCs/>
        </w:rPr>
        <w:t>DOI.org (Crossref)</w:t>
      </w:r>
      <w:r w:rsidR="00696CC5" w:rsidRPr="00696CC5">
        <w:rPr>
          <w:rFonts w:cs="Tahoma"/>
        </w:rPr>
        <w:t>, https://doi.org/10.1016/j.smim.2007.11.004.</w:t>
      </w:r>
    </w:p>
    <w:p w14:paraId="0BDBF53D" w14:textId="77777777" w:rsidR="00696CC5" w:rsidRPr="00696CC5" w:rsidRDefault="00696CC5" w:rsidP="00696CC5">
      <w:pPr>
        <w:pStyle w:val="Bibliography"/>
        <w:rPr>
          <w:rFonts w:cs="Tahoma"/>
        </w:rPr>
      </w:pPr>
      <w:r w:rsidRPr="00696CC5">
        <w:rPr>
          <w:rFonts w:cs="Tahoma"/>
        </w:rPr>
        <w:t xml:space="preserve">Badner, Anna, et al. “Spinal Cord Injuries: How Could Cell Therapy Help?” </w:t>
      </w:r>
      <w:r w:rsidRPr="00696CC5">
        <w:rPr>
          <w:rFonts w:cs="Tahoma"/>
          <w:i/>
          <w:iCs/>
        </w:rPr>
        <w:t>Expert Opinion on Biological Therapy</w:t>
      </w:r>
      <w:r w:rsidRPr="00696CC5">
        <w:rPr>
          <w:rFonts w:cs="Tahoma"/>
        </w:rPr>
        <w:t xml:space="preserve">, vol. 17, no. 5, May 2017, pp. 529–41. </w:t>
      </w:r>
      <w:r w:rsidRPr="00696CC5">
        <w:rPr>
          <w:rFonts w:cs="Tahoma"/>
          <w:i/>
          <w:iCs/>
        </w:rPr>
        <w:t>DOI.org (Crossref)</w:t>
      </w:r>
      <w:r w:rsidRPr="00696CC5">
        <w:rPr>
          <w:rFonts w:cs="Tahoma"/>
        </w:rPr>
        <w:t>, https://doi.org/10.1080/14712598.2017.1308481.</w:t>
      </w:r>
    </w:p>
    <w:p w14:paraId="105BD112" w14:textId="77777777" w:rsidR="00696CC5" w:rsidRPr="00696CC5" w:rsidRDefault="00696CC5" w:rsidP="00696CC5">
      <w:pPr>
        <w:pStyle w:val="Bibliography"/>
        <w:rPr>
          <w:rFonts w:cs="Tahoma"/>
        </w:rPr>
      </w:pPr>
      <w:r w:rsidRPr="00696CC5">
        <w:rPr>
          <w:rFonts w:cs="Tahoma"/>
        </w:rPr>
        <w:t xml:space="preserve">Chen, Wugui, et al. “NeuroRegen Scaffolds Combined with Autologous Bone Marrow Mononuclear Cells for the Repair of Acute Complete Spinal Cord Injury: A 3-Year Clinical Study.” </w:t>
      </w:r>
      <w:r w:rsidRPr="00696CC5">
        <w:rPr>
          <w:rFonts w:cs="Tahoma"/>
          <w:i/>
          <w:iCs/>
        </w:rPr>
        <w:t>Cell Transplantation</w:t>
      </w:r>
      <w:r w:rsidRPr="00696CC5">
        <w:rPr>
          <w:rFonts w:cs="Tahoma"/>
        </w:rPr>
        <w:t xml:space="preserve">, vol. 29, Jan. 2020, p. 096368972095063. </w:t>
      </w:r>
      <w:r w:rsidRPr="00696CC5">
        <w:rPr>
          <w:rFonts w:cs="Tahoma"/>
          <w:i/>
          <w:iCs/>
        </w:rPr>
        <w:t>DOI.org (Crossref)</w:t>
      </w:r>
      <w:r w:rsidRPr="00696CC5">
        <w:rPr>
          <w:rFonts w:cs="Tahoma"/>
        </w:rPr>
        <w:t>, https://doi.org/10.1177/0963689720950637.</w:t>
      </w:r>
    </w:p>
    <w:p w14:paraId="2D7063F3" w14:textId="77777777" w:rsidR="00696CC5" w:rsidRPr="00696CC5" w:rsidRDefault="00696CC5" w:rsidP="00696CC5">
      <w:pPr>
        <w:pStyle w:val="Bibliography"/>
        <w:rPr>
          <w:rFonts w:cs="Tahoma"/>
        </w:rPr>
      </w:pPr>
      <w:r w:rsidRPr="00696CC5">
        <w:rPr>
          <w:rFonts w:cs="Tahoma"/>
        </w:rPr>
        <w:t xml:space="preserve">Cheng, Xiaoxin, et al. “Apolipoprotein E as a Novel Therapeutic Neuroprotection Target after Traumatic Spinal Cord Injury.” </w:t>
      </w:r>
      <w:r w:rsidRPr="00696CC5">
        <w:rPr>
          <w:rFonts w:cs="Tahoma"/>
          <w:i/>
          <w:iCs/>
        </w:rPr>
        <w:t>Experimental Neurology</w:t>
      </w:r>
      <w:r w:rsidRPr="00696CC5">
        <w:rPr>
          <w:rFonts w:cs="Tahoma"/>
        </w:rPr>
        <w:t xml:space="preserve">, vol. 299, Jan. 2018, pp. 97–108. </w:t>
      </w:r>
      <w:r w:rsidRPr="00696CC5">
        <w:rPr>
          <w:rFonts w:cs="Tahoma"/>
          <w:i/>
          <w:iCs/>
        </w:rPr>
        <w:t>DOI.org (Crossref)</w:t>
      </w:r>
      <w:r w:rsidRPr="00696CC5">
        <w:rPr>
          <w:rFonts w:cs="Tahoma"/>
        </w:rPr>
        <w:t>, https://doi.org/10.1016/j.expneurol.2017.10.014.</w:t>
      </w:r>
    </w:p>
    <w:p w14:paraId="4BB734E6" w14:textId="77777777" w:rsidR="00696CC5" w:rsidRPr="00696CC5" w:rsidRDefault="00696CC5" w:rsidP="00696CC5">
      <w:pPr>
        <w:pStyle w:val="Bibliography"/>
        <w:rPr>
          <w:rFonts w:cs="Tahoma"/>
        </w:rPr>
      </w:pPr>
      <w:r w:rsidRPr="00696CC5">
        <w:rPr>
          <w:rFonts w:cs="Tahoma"/>
        </w:rPr>
        <w:t xml:space="preserve">Desai, Jyaysi, et al. “Molecular Pathophysiology of Gout.” </w:t>
      </w:r>
      <w:r w:rsidRPr="00696CC5">
        <w:rPr>
          <w:rFonts w:cs="Tahoma"/>
          <w:i/>
          <w:iCs/>
        </w:rPr>
        <w:t>Trends in Molecular Medicine</w:t>
      </w:r>
      <w:r w:rsidRPr="00696CC5">
        <w:rPr>
          <w:rFonts w:cs="Tahoma"/>
        </w:rPr>
        <w:t xml:space="preserve">, vol. 23, no. 8, Aug. 2017, pp. 756–68. </w:t>
      </w:r>
      <w:r w:rsidRPr="00696CC5">
        <w:rPr>
          <w:rFonts w:cs="Tahoma"/>
          <w:i/>
          <w:iCs/>
        </w:rPr>
        <w:t>DOI.org (Crossref)</w:t>
      </w:r>
      <w:r w:rsidRPr="00696CC5">
        <w:rPr>
          <w:rFonts w:cs="Tahoma"/>
        </w:rPr>
        <w:t>, https://doi.org/10.1016/j.molmed.2017.06.005.</w:t>
      </w:r>
    </w:p>
    <w:p w14:paraId="4E752A4E" w14:textId="77777777" w:rsidR="00696CC5" w:rsidRPr="00696CC5" w:rsidRDefault="00696CC5" w:rsidP="00696CC5">
      <w:pPr>
        <w:pStyle w:val="Bibliography"/>
        <w:rPr>
          <w:rFonts w:cs="Tahoma"/>
        </w:rPr>
      </w:pPr>
      <w:r w:rsidRPr="00696CC5">
        <w:rPr>
          <w:rFonts w:cs="Tahoma"/>
        </w:rPr>
        <w:t xml:space="preserve">Dobkin, B., et al. “Weight-Supported Treadmill vs over-Ground Training for Walking after Acute Incomplete SCI.” </w:t>
      </w:r>
      <w:r w:rsidRPr="00696CC5">
        <w:rPr>
          <w:rFonts w:cs="Tahoma"/>
          <w:i/>
          <w:iCs/>
        </w:rPr>
        <w:t>Neurology</w:t>
      </w:r>
      <w:r w:rsidRPr="00696CC5">
        <w:rPr>
          <w:rFonts w:cs="Tahoma"/>
        </w:rPr>
        <w:t xml:space="preserve">, vol. 66, no. 4, Feb. 2006, pp. 484–93. </w:t>
      </w:r>
      <w:r w:rsidRPr="00696CC5">
        <w:rPr>
          <w:rFonts w:cs="Tahoma"/>
          <w:i/>
          <w:iCs/>
        </w:rPr>
        <w:t>PubMed Central</w:t>
      </w:r>
      <w:r w:rsidRPr="00696CC5">
        <w:rPr>
          <w:rFonts w:cs="Tahoma"/>
        </w:rPr>
        <w:t>, https://doi.org/10.1212/01.wnl.0000202600.72018.39.</w:t>
      </w:r>
    </w:p>
    <w:p w14:paraId="7FE4C880" w14:textId="77777777" w:rsidR="00696CC5" w:rsidRPr="00696CC5" w:rsidRDefault="00696CC5" w:rsidP="00696CC5">
      <w:pPr>
        <w:pStyle w:val="Bibliography"/>
        <w:rPr>
          <w:rFonts w:cs="Tahoma"/>
        </w:rPr>
      </w:pPr>
      <w:r w:rsidRPr="00696CC5">
        <w:rPr>
          <w:rFonts w:cs="Tahoma"/>
        </w:rPr>
        <w:lastRenderedPageBreak/>
        <w:t xml:space="preserve">Dukes, Ellen M., et al. “Relationship of American Spinal Injury Association Impairment Scale Grade to Post-Injury Hospitalization and Costs in Thoracic Spinal Cord Injury.” </w:t>
      </w:r>
      <w:r w:rsidRPr="00696CC5">
        <w:rPr>
          <w:rFonts w:cs="Tahoma"/>
          <w:i/>
          <w:iCs/>
        </w:rPr>
        <w:t>Neurosurgery</w:t>
      </w:r>
      <w:r w:rsidRPr="00696CC5">
        <w:rPr>
          <w:rFonts w:cs="Tahoma"/>
        </w:rPr>
        <w:t xml:space="preserve">, vol. 83, no. 3, Sept. 2018, pp. 445–51. </w:t>
      </w:r>
      <w:r w:rsidRPr="00696CC5">
        <w:rPr>
          <w:rFonts w:cs="Tahoma"/>
          <w:i/>
          <w:iCs/>
        </w:rPr>
        <w:t>PubMed Central</w:t>
      </w:r>
      <w:r w:rsidRPr="00696CC5">
        <w:rPr>
          <w:rFonts w:cs="Tahoma"/>
        </w:rPr>
        <w:t>, https://doi.org/10.1093/neuros/nyx425.</w:t>
      </w:r>
    </w:p>
    <w:p w14:paraId="06ECD25C" w14:textId="77777777" w:rsidR="00696CC5" w:rsidRPr="00696CC5" w:rsidRDefault="00696CC5" w:rsidP="00696CC5">
      <w:pPr>
        <w:pStyle w:val="Bibliography"/>
        <w:rPr>
          <w:rFonts w:cs="Tahoma"/>
        </w:rPr>
      </w:pPr>
      <w:r w:rsidRPr="00696CC5">
        <w:rPr>
          <w:rFonts w:cs="Tahoma"/>
        </w:rPr>
        <w:t xml:space="preserve">Epstein, Nancy E. “Cerebrospinal Fluid Drains Reduce Risk of Spinal Cord Injury for Thoracic/Thoracoabdominal Aneurysm Surgery: A Review.” </w:t>
      </w:r>
      <w:r w:rsidRPr="00696CC5">
        <w:rPr>
          <w:rFonts w:cs="Tahoma"/>
          <w:i/>
          <w:iCs/>
        </w:rPr>
        <w:t>Surgical Neurology International</w:t>
      </w:r>
      <w:r w:rsidRPr="00696CC5">
        <w:rPr>
          <w:rFonts w:cs="Tahoma"/>
        </w:rPr>
        <w:t xml:space="preserve">, vol. 9, Feb. 2018, p. 48. </w:t>
      </w:r>
      <w:r w:rsidRPr="00696CC5">
        <w:rPr>
          <w:rFonts w:cs="Tahoma"/>
          <w:i/>
          <w:iCs/>
        </w:rPr>
        <w:t>PubMed Central</w:t>
      </w:r>
      <w:r w:rsidRPr="00696CC5">
        <w:rPr>
          <w:rFonts w:cs="Tahoma"/>
        </w:rPr>
        <w:t>, https://doi.org/10.4103/sni.sni_433_17.</w:t>
      </w:r>
    </w:p>
    <w:p w14:paraId="464ED0A3" w14:textId="77777777" w:rsidR="00696CC5" w:rsidRPr="00696CC5" w:rsidRDefault="00696CC5" w:rsidP="00696CC5">
      <w:pPr>
        <w:pStyle w:val="Bibliography"/>
        <w:rPr>
          <w:rFonts w:cs="Tahoma"/>
        </w:rPr>
      </w:pPr>
      <w:r w:rsidRPr="00696CC5">
        <w:rPr>
          <w:rFonts w:cs="Tahoma"/>
        </w:rPr>
        <w:t xml:space="preserve">Fehlings, Michael G., et al. “A Clinical Practice Guideline for the Management of Patients With Acute Spinal Cord Injury: Recommendations on the Use of Methylprednisolone Sodium Succinate.” </w:t>
      </w:r>
      <w:r w:rsidRPr="00696CC5">
        <w:rPr>
          <w:rFonts w:cs="Tahoma"/>
          <w:i/>
          <w:iCs/>
        </w:rPr>
        <w:t>Global Spine Journal</w:t>
      </w:r>
      <w:r w:rsidRPr="00696CC5">
        <w:rPr>
          <w:rFonts w:cs="Tahoma"/>
        </w:rPr>
        <w:t xml:space="preserve">, vol. 7, no. 3 Suppl, Sept. 2017, pp. 203S-211S. </w:t>
      </w:r>
      <w:r w:rsidRPr="00696CC5">
        <w:rPr>
          <w:rFonts w:cs="Tahoma"/>
          <w:i/>
          <w:iCs/>
        </w:rPr>
        <w:t>PubMed Central</w:t>
      </w:r>
      <w:r w:rsidRPr="00696CC5">
        <w:rPr>
          <w:rFonts w:cs="Tahoma"/>
        </w:rPr>
        <w:t>, https://doi.org/10.1177/2192568217703085.</w:t>
      </w:r>
    </w:p>
    <w:p w14:paraId="58A6E66A" w14:textId="77777777" w:rsidR="00696CC5" w:rsidRPr="00696CC5" w:rsidRDefault="00696CC5" w:rsidP="00696CC5">
      <w:pPr>
        <w:pStyle w:val="Bibliography"/>
        <w:rPr>
          <w:rFonts w:cs="Tahoma"/>
        </w:rPr>
      </w:pPr>
      <w:r w:rsidRPr="00696CC5">
        <w:rPr>
          <w:rFonts w:cs="Tahoma"/>
        </w:rPr>
        <w:t xml:space="preserve">Guest, James D., et al. “Internal Decompression of the Acutely Contused Spinal Cord: Differential Effects of Irrigation Only versus Biodegradable Scaffold Implantation.” </w:t>
      </w:r>
      <w:r w:rsidRPr="00696CC5">
        <w:rPr>
          <w:rFonts w:cs="Tahoma"/>
          <w:i/>
          <w:iCs/>
        </w:rPr>
        <w:t>Biomaterials</w:t>
      </w:r>
      <w:r w:rsidRPr="00696CC5">
        <w:rPr>
          <w:rFonts w:cs="Tahoma"/>
        </w:rPr>
        <w:t xml:space="preserve">, vol. 185, Dec. 2018, pp. 284–300. </w:t>
      </w:r>
      <w:r w:rsidRPr="00696CC5">
        <w:rPr>
          <w:rFonts w:cs="Tahoma"/>
          <w:i/>
          <w:iCs/>
        </w:rPr>
        <w:t>DOI.org (Crossref)</w:t>
      </w:r>
      <w:r w:rsidRPr="00696CC5">
        <w:rPr>
          <w:rFonts w:cs="Tahoma"/>
        </w:rPr>
        <w:t>, https://doi.org/10.1016/j.biomaterials.2018.09.025.</w:t>
      </w:r>
    </w:p>
    <w:p w14:paraId="15E24B40" w14:textId="77777777" w:rsidR="00696CC5" w:rsidRPr="00696CC5" w:rsidRDefault="00696CC5" w:rsidP="00696CC5">
      <w:pPr>
        <w:pStyle w:val="Bibliography"/>
        <w:rPr>
          <w:rFonts w:cs="Tahoma"/>
        </w:rPr>
      </w:pPr>
      <w:r w:rsidRPr="00696CC5">
        <w:rPr>
          <w:rFonts w:cs="Tahoma"/>
        </w:rPr>
        <w:t xml:space="preserve">Jain, Nitin B., et al. “Traumatic Spinal Cord Injury in the United States, 1993–2012.” </w:t>
      </w:r>
      <w:r w:rsidRPr="00696CC5">
        <w:rPr>
          <w:rFonts w:cs="Tahoma"/>
          <w:i/>
          <w:iCs/>
        </w:rPr>
        <w:t>JAMA</w:t>
      </w:r>
      <w:r w:rsidRPr="00696CC5">
        <w:rPr>
          <w:rFonts w:cs="Tahoma"/>
        </w:rPr>
        <w:t xml:space="preserve">, vol. 313, no. 22, June 2015, pp. 2236–43. </w:t>
      </w:r>
      <w:r w:rsidRPr="00696CC5">
        <w:rPr>
          <w:rFonts w:cs="Tahoma"/>
          <w:i/>
          <w:iCs/>
        </w:rPr>
        <w:t>PubMed Central</w:t>
      </w:r>
      <w:r w:rsidRPr="00696CC5">
        <w:rPr>
          <w:rFonts w:cs="Tahoma"/>
        </w:rPr>
        <w:t>, https://doi.org/10.1001/jama.2015.6250.</w:t>
      </w:r>
    </w:p>
    <w:p w14:paraId="256D8874" w14:textId="77777777" w:rsidR="00696CC5" w:rsidRPr="00696CC5" w:rsidRDefault="00696CC5" w:rsidP="00696CC5">
      <w:pPr>
        <w:pStyle w:val="Bibliography"/>
        <w:rPr>
          <w:rFonts w:cs="Tahoma"/>
        </w:rPr>
      </w:pPr>
      <w:r w:rsidRPr="00696CC5">
        <w:rPr>
          <w:rFonts w:cs="Tahoma"/>
        </w:rPr>
        <w:t xml:space="preserve">Kaneva, Anastasiya M., et al. “Plasma Levels of Apolipoprotein-E in Residents of the European North of Russia.” </w:t>
      </w:r>
      <w:r w:rsidRPr="00696CC5">
        <w:rPr>
          <w:rFonts w:cs="Tahoma"/>
          <w:i/>
          <w:iCs/>
        </w:rPr>
        <w:t>Lipids in Health and Disease</w:t>
      </w:r>
      <w:r w:rsidRPr="00696CC5">
        <w:rPr>
          <w:rFonts w:cs="Tahoma"/>
        </w:rPr>
        <w:t xml:space="preserve">, vol. 12, no. 1, Dec. 2013, p. 43. </w:t>
      </w:r>
      <w:r w:rsidRPr="00696CC5">
        <w:rPr>
          <w:rFonts w:cs="Tahoma"/>
          <w:i/>
          <w:iCs/>
        </w:rPr>
        <w:t>DOI.org (Crossref)</w:t>
      </w:r>
      <w:r w:rsidRPr="00696CC5">
        <w:rPr>
          <w:rFonts w:cs="Tahoma"/>
        </w:rPr>
        <w:t>, https://doi.org/10.1186/1476-511X-12-43.</w:t>
      </w:r>
    </w:p>
    <w:p w14:paraId="76189870" w14:textId="77777777" w:rsidR="00696CC5" w:rsidRPr="00696CC5" w:rsidRDefault="00696CC5" w:rsidP="00696CC5">
      <w:pPr>
        <w:pStyle w:val="Bibliography"/>
        <w:rPr>
          <w:rFonts w:cs="Tahoma"/>
        </w:rPr>
      </w:pPr>
      <w:r w:rsidRPr="00696CC5">
        <w:rPr>
          <w:rFonts w:cs="Tahoma"/>
        </w:rPr>
        <w:lastRenderedPageBreak/>
        <w:t xml:space="preserve">Kim, Kee D., et al. “Acute Implantation of a Bioresorbable Polymer Scaffold in Patients With Complete Thoracic Spinal Cord Injury: 24-Month Follow-up From the INSPIRE Study.” </w:t>
      </w:r>
      <w:r w:rsidRPr="00696CC5">
        <w:rPr>
          <w:rFonts w:cs="Tahoma"/>
          <w:i/>
          <w:iCs/>
        </w:rPr>
        <w:t>Neurosurgery</w:t>
      </w:r>
      <w:r w:rsidRPr="00696CC5">
        <w:rPr>
          <w:rFonts w:cs="Tahoma"/>
        </w:rPr>
        <w:t xml:space="preserve">, vol. 90, no. 6, June 2022, pp. 668–75. </w:t>
      </w:r>
      <w:r w:rsidRPr="00696CC5">
        <w:rPr>
          <w:rFonts w:cs="Tahoma"/>
          <w:i/>
          <w:iCs/>
        </w:rPr>
        <w:t>PubMed Central</w:t>
      </w:r>
      <w:r w:rsidRPr="00696CC5">
        <w:rPr>
          <w:rFonts w:cs="Tahoma"/>
        </w:rPr>
        <w:t>, https://doi.org/10.1227/neu.0000000000001932.</w:t>
      </w:r>
    </w:p>
    <w:p w14:paraId="289CF9C6" w14:textId="77777777" w:rsidR="00696CC5" w:rsidRPr="00696CC5" w:rsidRDefault="00696CC5" w:rsidP="00696CC5">
      <w:pPr>
        <w:pStyle w:val="Bibliography"/>
        <w:rPr>
          <w:rFonts w:cs="Tahoma"/>
        </w:rPr>
      </w:pPr>
      <w:r w:rsidRPr="00696CC5">
        <w:rPr>
          <w:rFonts w:cs="Tahoma"/>
        </w:rPr>
        <w:t xml:space="preserve">Lee, Byung-Jou, and Je Hoon Jeong. “Review: Steroid Use in Patients With Acute Spinal Cord Injury and Guideline Update.” </w:t>
      </w:r>
      <w:r w:rsidRPr="00696CC5">
        <w:rPr>
          <w:rFonts w:cs="Tahoma"/>
          <w:i/>
          <w:iCs/>
        </w:rPr>
        <w:t>Korean Journal of Neurotrauma</w:t>
      </w:r>
      <w:r w:rsidRPr="00696CC5">
        <w:rPr>
          <w:rFonts w:cs="Tahoma"/>
        </w:rPr>
        <w:t xml:space="preserve">, vol. 18, no. 1, 2022, p. 22. </w:t>
      </w:r>
      <w:r w:rsidRPr="00696CC5">
        <w:rPr>
          <w:rFonts w:cs="Tahoma"/>
          <w:i/>
          <w:iCs/>
        </w:rPr>
        <w:t>DOI.org (Crossref)</w:t>
      </w:r>
      <w:r w:rsidRPr="00696CC5">
        <w:rPr>
          <w:rFonts w:cs="Tahoma"/>
        </w:rPr>
        <w:t>, https://doi.org/10.13004/kjnt.2022.18.e21.</w:t>
      </w:r>
    </w:p>
    <w:p w14:paraId="2926E8CA" w14:textId="77777777" w:rsidR="00696CC5" w:rsidRPr="00696CC5" w:rsidRDefault="00696CC5" w:rsidP="00696CC5">
      <w:pPr>
        <w:pStyle w:val="Bibliography"/>
        <w:rPr>
          <w:rFonts w:cs="Tahoma"/>
        </w:rPr>
      </w:pPr>
      <w:r w:rsidRPr="00696CC5">
        <w:rPr>
          <w:rFonts w:cs="Tahoma"/>
        </w:rPr>
        <w:t xml:space="preserve">Manley, Nathan C., et al. “Human Embryonic Stem Cell-Derived Oligodendrocyte Progenitor Cells: Preclinical Efficacy and Safety in Cervical Spinal Cord Injury.” </w:t>
      </w:r>
      <w:r w:rsidRPr="00696CC5">
        <w:rPr>
          <w:rFonts w:cs="Tahoma"/>
          <w:i/>
          <w:iCs/>
        </w:rPr>
        <w:t>Stem Cells Translational Medicine</w:t>
      </w:r>
      <w:r w:rsidRPr="00696CC5">
        <w:rPr>
          <w:rFonts w:cs="Tahoma"/>
        </w:rPr>
        <w:t xml:space="preserve">, vol. 6, no. 10, Oct. 2017, pp. 1917–29. </w:t>
      </w:r>
      <w:r w:rsidRPr="00696CC5">
        <w:rPr>
          <w:rFonts w:cs="Tahoma"/>
          <w:i/>
          <w:iCs/>
        </w:rPr>
        <w:t>DOI.org (Crossref)</w:t>
      </w:r>
      <w:r w:rsidRPr="00696CC5">
        <w:rPr>
          <w:rFonts w:cs="Tahoma"/>
        </w:rPr>
        <w:t>, https://doi.org/10.1002/sctm.17-0065.</w:t>
      </w:r>
    </w:p>
    <w:p w14:paraId="54BD4847" w14:textId="77777777" w:rsidR="00696CC5" w:rsidRPr="00696CC5" w:rsidRDefault="00696CC5" w:rsidP="00696CC5">
      <w:pPr>
        <w:pStyle w:val="Bibliography"/>
        <w:rPr>
          <w:rFonts w:cs="Tahoma"/>
        </w:rPr>
      </w:pPr>
      <w:r w:rsidRPr="00696CC5">
        <w:rPr>
          <w:rFonts w:cs="Tahoma"/>
        </w:rPr>
        <w:t xml:space="preserve">Martirosyan, Nikolay L., et al. “Blood Supply and Vascular Reactivity of the Spinal Cord under Normal and Pathological Conditions: A Review.” </w:t>
      </w:r>
      <w:r w:rsidRPr="00696CC5">
        <w:rPr>
          <w:rFonts w:cs="Tahoma"/>
          <w:i/>
          <w:iCs/>
        </w:rPr>
        <w:t>Journal of Neurosurgery: Spine</w:t>
      </w:r>
      <w:r w:rsidRPr="00696CC5">
        <w:rPr>
          <w:rFonts w:cs="Tahoma"/>
        </w:rPr>
        <w:t xml:space="preserve">, vol. 15, no. 3, Sept. 2011, pp. 238–51. </w:t>
      </w:r>
      <w:r w:rsidRPr="00696CC5">
        <w:rPr>
          <w:rFonts w:cs="Tahoma"/>
          <w:i/>
          <w:iCs/>
        </w:rPr>
        <w:t>DOI.org (Crossref)</w:t>
      </w:r>
      <w:r w:rsidRPr="00696CC5">
        <w:rPr>
          <w:rFonts w:cs="Tahoma"/>
        </w:rPr>
        <w:t>, https://doi.org/10.3171/2011.4.SPINE10543.</w:t>
      </w:r>
    </w:p>
    <w:p w14:paraId="7C8A9CC9" w14:textId="77777777" w:rsidR="00696CC5" w:rsidRPr="00696CC5" w:rsidRDefault="00696CC5" w:rsidP="00696CC5">
      <w:pPr>
        <w:pStyle w:val="Bibliography"/>
        <w:rPr>
          <w:rFonts w:cs="Tahoma"/>
        </w:rPr>
      </w:pPr>
      <w:r w:rsidRPr="00696CC5">
        <w:rPr>
          <w:rFonts w:cs="Tahoma"/>
        </w:rPr>
        <w:t xml:space="preserve">Norenberg, Michael D., et al. “The Pathology of Human Spinal Cord Injury: Defining the Problems.” </w:t>
      </w:r>
      <w:r w:rsidRPr="00696CC5">
        <w:rPr>
          <w:rFonts w:cs="Tahoma"/>
          <w:i/>
          <w:iCs/>
        </w:rPr>
        <w:t>Journal of Neurotrauma</w:t>
      </w:r>
      <w:r w:rsidRPr="00696CC5">
        <w:rPr>
          <w:rFonts w:cs="Tahoma"/>
        </w:rPr>
        <w:t xml:space="preserve">, vol. 21, no. 4, Apr. 2004, pp. 429–40. </w:t>
      </w:r>
      <w:r w:rsidRPr="00696CC5">
        <w:rPr>
          <w:rFonts w:cs="Tahoma"/>
          <w:i/>
          <w:iCs/>
        </w:rPr>
        <w:t>DOI.org (Crossref)</w:t>
      </w:r>
      <w:r w:rsidRPr="00696CC5">
        <w:rPr>
          <w:rFonts w:cs="Tahoma"/>
        </w:rPr>
        <w:t>, https://doi.org/10.1089/089771504323004575.</w:t>
      </w:r>
    </w:p>
    <w:p w14:paraId="6CADD8C8" w14:textId="77777777" w:rsidR="00696CC5" w:rsidRPr="00696CC5" w:rsidRDefault="00696CC5" w:rsidP="00696CC5">
      <w:pPr>
        <w:pStyle w:val="Bibliography"/>
        <w:rPr>
          <w:rFonts w:cs="Tahoma"/>
        </w:rPr>
      </w:pPr>
      <w:r w:rsidRPr="00696CC5">
        <w:rPr>
          <w:rFonts w:cs="Tahoma"/>
        </w:rPr>
        <w:t xml:space="preserve">Priest, Catherine A., et al. “Preclinical Safety of Human Embryonic Stem Cell-Derived Oligodendrocyte Progenitors Supporting Clinical Trials in Spinal Cord Injury.” </w:t>
      </w:r>
      <w:r w:rsidRPr="00696CC5">
        <w:rPr>
          <w:rFonts w:cs="Tahoma"/>
          <w:i/>
          <w:iCs/>
        </w:rPr>
        <w:t>Regenerative Medicine</w:t>
      </w:r>
      <w:r w:rsidRPr="00696CC5">
        <w:rPr>
          <w:rFonts w:cs="Tahoma"/>
        </w:rPr>
        <w:t xml:space="preserve">, vol. 10, no. 8, Nov. 2015, pp. 939–58. </w:t>
      </w:r>
      <w:r w:rsidRPr="00696CC5">
        <w:rPr>
          <w:rFonts w:cs="Tahoma"/>
          <w:i/>
          <w:iCs/>
        </w:rPr>
        <w:t>DOI.org (Crossref)</w:t>
      </w:r>
      <w:r w:rsidRPr="00696CC5">
        <w:rPr>
          <w:rFonts w:cs="Tahoma"/>
        </w:rPr>
        <w:t>, https://doi.org/10.2217/rme.15.57.</w:t>
      </w:r>
    </w:p>
    <w:p w14:paraId="646263F8" w14:textId="77777777" w:rsidR="00696CC5" w:rsidRPr="00696CC5" w:rsidRDefault="00696CC5" w:rsidP="00696CC5">
      <w:pPr>
        <w:pStyle w:val="Bibliography"/>
        <w:rPr>
          <w:rFonts w:cs="Tahoma"/>
        </w:rPr>
      </w:pPr>
      <w:r w:rsidRPr="00696CC5">
        <w:rPr>
          <w:rFonts w:cs="Tahoma"/>
        </w:rPr>
        <w:lastRenderedPageBreak/>
        <w:t xml:space="preserve">Qu, Wenrui, et al. “Polymer-Based Scaffold Strategies for Spinal Cord Repair and Regeneration.” </w:t>
      </w:r>
      <w:r w:rsidRPr="00696CC5">
        <w:rPr>
          <w:rFonts w:cs="Tahoma"/>
          <w:i/>
          <w:iCs/>
        </w:rPr>
        <w:t>Frontiers in Bioengineering and Biotechnology</w:t>
      </w:r>
      <w:r w:rsidRPr="00696CC5">
        <w:rPr>
          <w:rFonts w:cs="Tahoma"/>
        </w:rPr>
        <w:t xml:space="preserve">, vol. 8, Oct. 2020, p. 590549. </w:t>
      </w:r>
      <w:r w:rsidRPr="00696CC5">
        <w:rPr>
          <w:rFonts w:cs="Tahoma"/>
          <w:i/>
          <w:iCs/>
        </w:rPr>
        <w:t>PubMed Central</w:t>
      </w:r>
      <w:r w:rsidRPr="00696CC5">
        <w:rPr>
          <w:rFonts w:cs="Tahoma"/>
        </w:rPr>
        <w:t>, https://doi.org/10.3389/fbioe.2020.590549.</w:t>
      </w:r>
    </w:p>
    <w:p w14:paraId="2DA20FEA" w14:textId="77777777" w:rsidR="00696CC5" w:rsidRPr="00696CC5" w:rsidRDefault="00696CC5" w:rsidP="00696CC5">
      <w:pPr>
        <w:pStyle w:val="Bibliography"/>
        <w:rPr>
          <w:rFonts w:cs="Tahoma"/>
        </w:rPr>
      </w:pPr>
      <w:r w:rsidRPr="00696CC5">
        <w:rPr>
          <w:rFonts w:cs="Tahoma"/>
        </w:rPr>
        <w:t xml:space="preserve">Reddy, M. Sai Bhargava, et al. “A Comparative Review of Natural and Synthetic Biopolymer Composite Scaffolds.” </w:t>
      </w:r>
      <w:r w:rsidRPr="00696CC5">
        <w:rPr>
          <w:rFonts w:cs="Tahoma"/>
          <w:i/>
          <w:iCs/>
        </w:rPr>
        <w:t>Polymers</w:t>
      </w:r>
      <w:r w:rsidRPr="00696CC5">
        <w:rPr>
          <w:rFonts w:cs="Tahoma"/>
        </w:rPr>
        <w:t xml:space="preserve">, vol. 13, no. 7, Mar. 2021, p. 1105. </w:t>
      </w:r>
      <w:r w:rsidRPr="00696CC5">
        <w:rPr>
          <w:rFonts w:cs="Tahoma"/>
          <w:i/>
          <w:iCs/>
        </w:rPr>
        <w:t>DOI.org (Crossref)</w:t>
      </w:r>
      <w:r w:rsidRPr="00696CC5">
        <w:rPr>
          <w:rFonts w:cs="Tahoma"/>
        </w:rPr>
        <w:t>, https://doi.org/10.3390/polym13071105.</w:t>
      </w:r>
    </w:p>
    <w:p w14:paraId="3D495049" w14:textId="77777777" w:rsidR="00696CC5" w:rsidRPr="00696CC5" w:rsidRDefault="00696CC5" w:rsidP="00696CC5">
      <w:pPr>
        <w:pStyle w:val="Bibliography"/>
        <w:rPr>
          <w:rFonts w:cs="Tahoma"/>
        </w:rPr>
      </w:pPr>
      <w:r w:rsidRPr="00696CC5">
        <w:rPr>
          <w:rFonts w:cs="Tahoma"/>
        </w:rPr>
        <w:t xml:space="preserve">Rivera, Teresa, et al. “Human‐Induced Pluripotent Stem Cell Culture Methods Under CGMP Conditions.” </w:t>
      </w:r>
      <w:r w:rsidRPr="00696CC5">
        <w:rPr>
          <w:rFonts w:cs="Tahoma"/>
          <w:i/>
          <w:iCs/>
        </w:rPr>
        <w:t>Current Protocols in Stem Cell Biology</w:t>
      </w:r>
      <w:r w:rsidRPr="00696CC5">
        <w:rPr>
          <w:rFonts w:cs="Tahoma"/>
        </w:rPr>
        <w:t xml:space="preserve">, vol. 54, no. 1, Sept. 2020, p. e117. </w:t>
      </w:r>
      <w:r w:rsidRPr="00696CC5">
        <w:rPr>
          <w:rFonts w:cs="Tahoma"/>
          <w:i/>
          <w:iCs/>
        </w:rPr>
        <w:t>PubMed Central</w:t>
      </w:r>
      <w:r w:rsidRPr="00696CC5">
        <w:rPr>
          <w:rFonts w:cs="Tahoma"/>
        </w:rPr>
        <w:t>, https://doi.org/10.1002/cpsc.117.</w:t>
      </w:r>
    </w:p>
    <w:p w14:paraId="4099D6EA" w14:textId="77777777" w:rsidR="00696CC5" w:rsidRPr="00696CC5" w:rsidRDefault="00696CC5" w:rsidP="00696CC5">
      <w:pPr>
        <w:pStyle w:val="Bibliography"/>
        <w:rPr>
          <w:rFonts w:cs="Tahoma"/>
        </w:rPr>
      </w:pPr>
      <w:r w:rsidRPr="00696CC5">
        <w:rPr>
          <w:rFonts w:cs="Tahoma"/>
        </w:rPr>
        <w:t xml:space="preserve">Slotkin, Jonathan R., et al. “Biodegradable Scaffolds Promote Tissue Remodeling and Functional Improvement in Non-Human Primates with Acute Spinal Cord Injury.” </w:t>
      </w:r>
      <w:r w:rsidRPr="00696CC5">
        <w:rPr>
          <w:rFonts w:cs="Tahoma"/>
          <w:i/>
          <w:iCs/>
        </w:rPr>
        <w:t>Biomaterials</w:t>
      </w:r>
      <w:r w:rsidRPr="00696CC5">
        <w:rPr>
          <w:rFonts w:cs="Tahoma"/>
        </w:rPr>
        <w:t xml:space="preserve">, vol. 123, Apr. 2017, pp. 63–76. </w:t>
      </w:r>
      <w:r w:rsidRPr="00696CC5">
        <w:rPr>
          <w:rFonts w:cs="Tahoma"/>
          <w:i/>
          <w:iCs/>
        </w:rPr>
        <w:t>DOI.org (Crossref)</w:t>
      </w:r>
      <w:r w:rsidRPr="00696CC5">
        <w:rPr>
          <w:rFonts w:cs="Tahoma"/>
        </w:rPr>
        <w:t>, https://doi.org/10.1016/j.biomaterials.2017.01.024.</w:t>
      </w:r>
    </w:p>
    <w:p w14:paraId="68D6930A" w14:textId="77777777" w:rsidR="00696CC5" w:rsidRPr="00696CC5" w:rsidRDefault="00696CC5" w:rsidP="00696CC5">
      <w:pPr>
        <w:pStyle w:val="Bibliography"/>
        <w:rPr>
          <w:rFonts w:cs="Tahoma"/>
        </w:rPr>
      </w:pPr>
      <w:r w:rsidRPr="00696CC5">
        <w:rPr>
          <w:rFonts w:cs="Tahoma"/>
        </w:rPr>
        <w:t xml:space="preserve">Speight, James G. “Monomers, Polymers, and Plastics.” </w:t>
      </w:r>
      <w:r w:rsidRPr="00696CC5">
        <w:rPr>
          <w:rFonts w:cs="Tahoma"/>
          <w:i/>
          <w:iCs/>
        </w:rPr>
        <w:t>Handbook of Industrial Hydrocarbon Processes</w:t>
      </w:r>
      <w:r w:rsidRPr="00696CC5">
        <w:rPr>
          <w:rFonts w:cs="Tahoma"/>
        </w:rPr>
        <w:t xml:space="preserve">, Elsevier, 2020, pp. 597–649. </w:t>
      </w:r>
      <w:r w:rsidRPr="00696CC5">
        <w:rPr>
          <w:rFonts w:cs="Tahoma"/>
          <w:i/>
          <w:iCs/>
        </w:rPr>
        <w:t>DOI.org (Crossref)</w:t>
      </w:r>
      <w:r w:rsidRPr="00696CC5">
        <w:rPr>
          <w:rFonts w:cs="Tahoma"/>
        </w:rPr>
        <w:t>, https://doi.org/10.1016/B978-0-12-809923-0.00014-X.</w:t>
      </w:r>
    </w:p>
    <w:p w14:paraId="0AD3E424" w14:textId="77777777" w:rsidR="00696CC5" w:rsidRPr="00696CC5" w:rsidRDefault="00696CC5" w:rsidP="00696CC5">
      <w:pPr>
        <w:pStyle w:val="Bibliography"/>
        <w:rPr>
          <w:rFonts w:cs="Tahoma"/>
        </w:rPr>
      </w:pPr>
      <w:r w:rsidRPr="00696CC5">
        <w:rPr>
          <w:rFonts w:cs="Tahoma"/>
        </w:rPr>
        <w:t xml:space="preserve">Tang, S. K., et al. “Redirection of Doublecortin-Positive Cell Migration by over-Expression of the Chemokines MCP-1, MIP-1α and GRO-α in the Adult Rat Brain.” </w:t>
      </w:r>
      <w:r w:rsidRPr="00696CC5">
        <w:rPr>
          <w:rFonts w:cs="Tahoma"/>
          <w:i/>
          <w:iCs/>
        </w:rPr>
        <w:t>Neuroscience</w:t>
      </w:r>
      <w:r w:rsidRPr="00696CC5">
        <w:rPr>
          <w:rFonts w:cs="Tahoma"/>
        </w:rPr>
        <w:t xml:space="preserve">, vol. 260, Feb. 2014, pp. 240–48. </w:t>
      </w:r>
      <w:r w:rsidRPr="00696CC5">
        <w:rPr>
          <w:rFonts w:cs="Tahoma"/>
          <w:i/>
          <w:iCs/>
        </w:rPr>
        <w:t>DOI.org (Crossref)</w:t>
      </w:r>
      <w:r w:rsidRPr="00696CC5">
        <w:rPr>
          <w:rFonts w:cs="Tahoma"/>
        </w:rPr>
        <w:t>, https://doi.org/10.1016/j.neuroscience.2013.12.022.</w:t>
      </w:r>
    </w:p>
    <w:p w14:paraId="7DE3F611" w14:textId="77777777" w:rsidR="00696CC5" w:rsidRPr="00696CC5" w:rsidRDefault="00696CC5" w:rsidP="00696CC5">
      <w:pPr>
        <w:pStyle w:val="Bibliography"/>
        <w:rPr>
          <w:rFonts w:cs="Tahoma"/>
        </w:rPr>
      </w:pPr>
      <w:r w:rsidRPr="00696CC5">
        <w:rPr>
          <w:rFonts w:cs="Tahoma"/>
        </w:rPr>
        <w:t xml:space="preserve">Teng, Yang D., et al. “Functional Recovery Following Traumatic Spinal Cord Injury Mediated by a Unique Polymer Scaffold Seeded with Neural Stem Cells.” </w:t>
      </w:r>
      <w:r w:rsidRPr="00696CC5">
        <w:rPr>
          <w:rFonts w:cs="Tahoma"/>
          <w:i/>
          <w:iCs/>
        </w:rPr>
        <w:t xml:space="preserve">Proceedings of the National </w:t>
      </w:r>
      <w:r w:rsidRPr="00696CC5">
        <w:rPr>
          <w:rFonts w:cs="Tahoma"/>
          <w:i/>
          <w:iCs/>
        </w:rPr>
        <w:lastRenderedPageBreak/>
        <w:t>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2D63E4D6" w14:textId="77777777" w:rsidR="00696CC5" w:rsidRPr="00696CC5" w:rsidRDefault="00696CC5" w:rsidP="00696CC5">
      <w:pPr>
        <w:pStyle w:val="Bibliography"/>
        <w:rPr>
          <w:rFonts w:cs="Tahoma"/>
        </w:rPr>
      </w:pPr>
      <w:r w:rsidRPr="00696CC5">
        <w:rPr>
          <w:rFonts w:cs="Tahoma"/>
        </w:rPr>
        <w:t xml:space="preserve">---. “Functional Recovery Following Traumatic Spinal Cord Injury Mediated by a Unique Polymer Scaffold Seeded with Neural Stem Cells.” </w:t>
      </w:r>
      <w:r w:rsidRPr="00696CC5">
        <w:rPr>
          <w:rFonts w:cs="Tahoma"/>
          <w:i/>
          <w:iCs/>
        </w:rPr>
        <w:t>Proceedings of the National 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6C4EA68E" w14:textId="77777777" w:rsidR="00696CC5" w:rsidRPr="00696CC5" w:rsidRDefault="00696CC5" w:rsidP="00696CC5">
      <w:pPr>
        <w:pStyle w:val="Bibliography"/>
        <w:rPr>
          <w:rFonts w:cs="Tahoma"/>
        </w:rPr>
      </w:pPr>
      <w:r w:rsidRPr="00696CC5">
        <w:rPr>
          <w:rFonts w:cs="Tahoma"/>
        </w:rPr>
        <w:t xml:space="preserve">Theodore, Nicholas, et al. “First Human Implantation of a Bioresorbable Polymer Scaffold for Acute Traumatic Spinal Cord Injury: A Clinical Pilot Study for Safety and Feasibility.” </w:t>
      </w:r>
      <w:r w:rsidRPr="00696CC5">
        <w:rPr>
          <w:rFonts w:cs="Tahoma"/>
          <w:i/>
          <w:iCs/>
        </w:rPr>
        <w:t>Neurosurgery</w:t>
      </w:r>
      <w:r w:rsidRPr="00696CC5">
        <w:rPr>
          <w:rFonts w:cs="Tahoma"/>
        </w:rPr>
        <w:t xml:space="preserve">, vol. 79, no. 2, Aug. 2016, pp. E305–12. </w:t>
      </w:r>
      <w:r w:rsidRPr="00696CC5">
        <w:rPr>
          <w:rFonts w:cs="Tahoma"/>
          <w:i/>
          <w:iCs/>
        </w:rPr>
        <w:t>DOI.org (Crossref)</w:t>
      </w:r>
      <w:r w:rsidRPr="00696CC5">
        <w:rPr>
          <w:rFonts w:cs="Tahoma"/>
        </w:rPr>
        <w:t>, https://doi.org/10.1227/NEU.0000000000001283.</w:t>
      </w:r>
    </w:p>
    <w:p w14:paraId="205873FF" w14:textId="77777777" w:rsidR="00696CC5" w:rsidRPr="00696CC5" w:rsidRDefault="00696CC5" w:rsidP="00696CC5">
      <w:pPr>
        <w:pStyle w:val="Bibliography"/>
        <w:rPr>
          <w:rFonts w:cs="Tahoma"/>
        </w:rPr>
      </w:pPr>
      <w:r w:rsidRPr="00696CC5">
        <w:rPr>
          <w:rFonts w:cs="Tahoma"/>
        </w:rPr>
        <w:t xml:space="preserve">Thomas, Katharine E., and Lawrence D. F. Moon. “Will Stem Cell Therapies Be Safe and Effective for Treating Spinal Cord Injuries?” </w:t>
      </w:r>
      <w:r w:rsidRPr="00696CC5">
        <w:rPr>
          <w:rFonts w:cs="Tahoma"/>
          <w:i/>
          <w:iCs/>
        </w:rPr>
        <w:t>British Medical Bulletin</w:t>
      </w:r>
      <w:r w:rsidRPr="00696CC5">
        <w:rPr>
          <w:rFonts w:cs="Tahoma"/>
        </w:rPr>
        <w:t xml:space="preserve">, vol. 98, 2011, pp. 127–42. </w:t>
      </w:r>
      <w:r w:rsidRPr="00696CC5">
        <w:rPr>
          <w:rFonts w:cs="Tahoma"/>
          <w:i/>
          <w:iCs/>
        </w:rPr>
        <w:t>PubMed Central</w:t>
      </w:r>
      <w:r w:rsidRPr="00696CC5">
        <w:rPr>
          <w:rFonts w:cs="Tahoma"/>
        </w:rPr>
        <w:t>, https://doi.org/10.1093/bmb/ldr013.</w:t>
      </w:r>
    </w:p>
    <w:p w14:paraId="7C66D261" w14:textId="77777777" w:rsidR="00696CC5" w:rsidRPr="00696CC5" w:rsidRDefault="00696CC5" w:rsidP="00696CC5">
      <w:pPr>
        <w:pStyle w:val="Bibliography"/>
        <w:rPr>
          <w:rFonts w:cs="Tahoma"/>
        </w:rPr>
      </w:pPr>
      <w:r w:rsidRPr="00696CC5">
        <w:rPr>
          <w:rFonts w:cs="Tahoma"/>
        </w:rPr>
        <w:t xml:space="preserve">Valković, Toni, et al. “Plasma Levels of Monocyte Chemotactic Protein-1 Are Associated with Clinical Features and Angiogenesis in Patients with Multiple Myeloma.” </w:t>
      </w:r>
      <w:r w:rsidRPr="00696CC5">
        <w:rPr>
          <w:rFonts w:cs="Tahoma"/>
          <w:i/>
          <w:iCs/>
        </w:rPr>
        <w:t>BioMed Research International</w:t>
      </w:r>
      <w:r w:rsidRPr="00696CC5">
        <w:rPr>
          <w:rFonts w:cs="Tahoma"/>
        </w:rPr>
        <w:t xml:space="preserve">, vol. 2016, 2016, pp. 1–7. </w:t>
      </w:r>
      <w:r w:rsidRPr="00696CC5">
        <w:rPr>
          <w:rFonts w:cs="Tahoma"/>
          <w:i/>
          <w:iCs/>
        </w:rPr>
        <w:t>DOI.org (Crossref)</w:t>
      </w:r>
      <w:r w:rsidRPr="00696CC5">
        <w:rPr>
          <w:rFonts w:cs="Tahoma"/>
        </w:rPr>
        <w:t>, https://doi.org/10.1155/2016/7870590.</w:t>
      </w:r>
    </w:p>
    <w:p w14:paraId="0FA1BDCA" w14:textId="77777777" w:rsidR="00696CC5" w:rsidRPr="00696CC5" w:rsidRDefault="00696CC5" w:rsidP="00696CC5">
      <w:pPr>
        <w:pStyle w:val="Bibliography"/>
        <w:rPr>
          <w:rFonts w:cs="Tahoma"/>
        </w:rPr>
      </w:pPr>
      <w:r w:rsidRPr="00696CC5">
        <w:rPr>
          <w:rFonts w:cs="Tahoma"/>
        </w:rPr>
        <w:t xml:space="preserve">Wang, Timothy Y., et al. “Management of Acute Traumatic Spinal Cord Injury: A Review of the Literature.” </w:t>
      </w:r>
      <w:r w:rsidRPr="00696CC5">
        <w:rPr>
          <w:rFonts w:cs="Tahoma"/>
          <w:i/>
          <w:iCs/>
        </w:rPr>
        <w:t>Frontiers in Surgery</w:t>
      </w:r>
      <w:r w:rsidRPr="00696CC5">
        <w:rPr>
          <w:rFonts w:cs="Tahoma"/>
        </w:rPr>
        <w:t xml:space="preserve">, vol. 8, Dec. 2021, p. 698736. </w:t>
      </w:r>
      <w:r w:rsidRPr="00696CC5">
        <w:rPr>
          <w:rFonts w:cs="Tahoma"/>
          <w:i/>
          <w:iCs/>
        </w:rPr>
        <w:t>PubMed Central</w:t>
      </w:r>
      <w:r w:rsidRPr="00696CC5">
        <w:rPr>
          <w:rFonts w:cs="Tahoma"/>
        </w:rPr>
        <w:t>, https://doi.org/10.3389/fsurg.2021.698736.</w:t>
      </w:r>
    </w:p>
    <w:p w14:paraId="4AFAAD3F" w14:textId="77777777" w:rsidR="00696CC5" w:rsidRPr="00696CC5" w:rsidRDefault="00696CC5" w:rsidP="00696CC5">
      <w:pPr>
        <w:pStyle w:val="Bibliography"/>
        <w:rPr>
          <w:rFonts w:cs="Tahoma"/>
        </w:rPr>
      </w:pPr>
      <w:r w:rsidRPr="00696CC5">
        <w:rPr>
          <w:rFonts w:cs="Tahoma"/>
        </w:rPr>
        <w:t xml:space="preserve">Wąsik, Norbert, et al. “Clusterin, a New Cerebrospinal Fluid Biomarker in Severe Subarachnoid Hemorrhage: A Pilot Study.” </w:t>
      </w:r>
      <w:r w:rsidRPr="00696CC5">
        <w:rPr>
          <w:rFonts w:cs="Tahoma"/>
          <w:i/>
          <w:iCs/>
        </w:rPr>
        <w:t>World Neurosurgery</w:t>
      </w:r>
      <w:r w:rsidRPr="00696CC5">
        <w:rPr>
          <w:rFonts w:cs="Tahoma"/>
        </w:rPr>
        <w:t xml:space="preserve">, vol. 107, Nov. 2017, pp. 424–28. </w:t>
      </w:r>
      <w:r w:rsidRPr="00696CC5">
        <w:rPr>
          <w:rFonts w:cs="Tahoma"/>
          <w:i/>
          <w:iCs/>
        </w:rPr>
        <w:t>DOI.org (Crossref)</w:t>
      </w:r>
      <w:r w:rsidRPr="00696CC5">
        <w:rPr>
          <w:rFonts w:cs="Tahoma"/>
        </w:rPr>
        <w:t>, https://doi.org/10.1016/j.wneu.2017.08.006.</w:t>
      </w:r>
    </w:p>
    <w:p w14:paraId="0DD532F1" w14:textId="77777777" w:rsidR="00696CC5" w:rsidRPr="00696CC5" w:rsidRDefault="00696CC5" w:rsidP="00696CC5">
      <w:pPr>
        <w:pStyle w:val="Bibliography"/>
        <w:rPr>
          <w:rFonts w:cs="Tahoma"/>
        </w:rPr>
      </w:pPr>
      <w:r w:rsidRPr="00696CC5">
        <w:rPr>
          <w:rFonts w:cs="Tahoma"/>
        </w:rPr>
        <w:lastRenderedPageBreak/>
        <w:t xml:space="preserve">Wong, Jamie K., et al. “A Straight Alley Version of the BBB Locomotor Scale.” </w:t>
      </w:r>
      <w:r w:rsidRPr="00696CC5">
        <w:rPr>
          <w:rFonts w:cs="Tahoma"/>
          <w:i/>
          <w:iCs/>
        </w:rPr>
        <w:t>Experimental Neurology</w:t>
      </w:r>
      <w:r w:rsidRPr="00696CC5">
        <w:rPr>
          <w:rFonts w:cs="Tahoma"/>
        </w:rPr>
        <w:t xml:space="preserve">, vol. 217, no. 2, June 2009, pp. 417–20. </w:t>
      </w:r>
      <w:r w:rsidRPr="00696CC5">
        <w:rPr>
          <w:rFonts w:cs="Tahoma"/>
          <w:i/>
          <w:iCs/>
        </w:rPr>
        <w:t>DOI.org (Crossref)</w:t>
      </w:r>
      <w:r w:rsidRPr="00696CC5">
        <w:rPr>
          <w:rFonts w:cs="Tahoma"/>
        </w:rPr>
        <w:t>, https://doi.org/10.1016/j.expneurol.2009.03.037.</w:t>
      </w:r>
    </w:p>
    <w:p w14:paraId="470FEDFD" w14:textId="77777777" w:rsidR="00696CC5" w:rsidRPr="00696CC5" w:rsidRDefault="00696CC5" w:rsidP="00696CC5">
      <w:pPr>
        <w:pStyle w:val="Bibliography"/>
        <w:rPr>
          <w:rFonts w:cs="Tahoma"/>
        </w:rPr>
      </w:pPr>
      <w:r w:rsidRPr="00696CC5">
        <w:rPr>
          <w:rFonts w:cs="Tahoma"/>
        </w:rPr>
        <w:t xml:space="preserve">Yoshitani, Kenji, et al. “Cerebrospinal Fluid Drainage to Prevent Postoperative Spinal Cord Injury in Thoracic Aortic Repair.” </w:t>
      </w:r>
      <w:r w:rsidRPr="00696CC5">
        <w:rPr>
          <w:rFonts w:cs="Tahoma"/>
          <w:i/>
          <w:iCs/>
        </w:rPr>
        <w:t>Journal of Anesthesia</w:t>
      </w:r>
      <w:r w:rsidRPr="00696CC5">
        <w:rPr>
          <w:rFonts w:cs="Tahoma"/>
        </w:rPr>
        <w:t xml:space="preserve">, vol. 35, no. 1, Feb. 2021, pp. 43–50. </w:t>
      </w:r>
      <w:r w:rsidRPr="00696CC5">
        <w:rPr>
          <w:rFonts w:cs="Tahoma"/>
          <w:i/>
          <w:iCs/>
        </w:rPr>
        <w:t>DOI.org (Crossref)</w:t>
      </w:r>
      <w:r w:rsidRPr="00696CC5">
        <w:rPr>
          <w:rFonts w:cs="Tahoma"/>
        </w:rPr>
        <w:t>, https://doi.org/10.1007/s00540-020-02857-w.</w:t>
      </w:r>
    </w:p>
    <w:p w14:paraId="4929E3B8" w14:textId="77777777" w:rsidR="00696CC5" w:rsidRPr="00696CC5" w:rsidRDefault="00696CC5" w:rsidP="00696CC5">
      <w:pPr>
        <w:pStyle w:val="Bibliography"/>
        <w:rPr>
          <w:rFonts w:cs="Tahoma"/>
        </w:rPr>
      </w:pPr>
      <w:r w:rsidRPr="00696CC5">
        <w:rPr>
          <w:rFonts w:cs="Tahoma"/>
        </w:rPr>
        <w:t xml:space="preserve">Zou, Hong-jun, et al. “Methylprednisolone Induces Neuro-Protective Effects via the Inhibition of A1 Astrocyte Activation in Traumatic Spinal Cord Injury Mouse Models.” </w:t>
      </w:r>
      <w:r w:rsidRPr="00696CC5">
        <w:rPr>
          <w:rFonts w:cs="Tahoma"/>
          <w:i/>
          <w:iCs/>
        </w:rPr>
        <w:t>Frontiers in Neuroscience</w:t>
      </w:r>
      <w:r w:rsidRPr="00696CC5">
        <w:rPr>
          <w:rFonts w:cs="Tahoma"/>
        </w:rPr>
        <w:t xml:space="preserve">, vol. 15, 2021. </w:t>
      </w:r>
      <w:r w:rsidRPr="00696CC5">
        <w:rPr>
          <w:rFonts w:cs="Tahoma"/>
          <w:i/>
          <w:iCs/>
        </w:rPr>
        <w:t>Frontiers</w:t>
      </w:r>
      <w:r w:rsidRPr="00696CC5">
        <w:rPr>
          <w:rFonts w:cs="Tahoma"/>
        </w:rPr>
        <w:t>, https://www.frontiersin.org/articles/10.3389/fnins.2021.628917.</w:t>
      </w:r>
    </w:p>
    <w:p w14:paraId="7E72509E" w14:textId="3A8F655C"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6C17" w14:textId="77777777" w:rsidR="0023255E" w:rsidRDefault="0023255E" w:rsidP="00B657A0">
      <w:r>
        <w:separator/>
      </w:r>
    </w:p>
  </w:endnote>
  <w:endnote w:type="continuationSeparator" w:id="0">
    <w:p w14:paraId="7D70D805" w14:textId="77777777" w:rsidR="0023255E" w:rsidRDefault="0023255E" w:rsidP="00B657A0">
      <w:r>
        <w:continuationSeparator/>
      </w:r>
    </w:p>
  </w:endnote>
  <w:endnote w:type="continuationNotice" w:id="1">
    <w:p w14:paraId="6C1A0688" w14:textId="77777777" w:rsidR="0023255E" w:rsidRDefault="002325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DE5F" w14:textId="77777777" w:rsidR="0023255E" w:rsidRDefault="0023255E" w:rsidP="00B657A0">
      <w:r>
        <w:separator/>
      </w:r>
    </w:p>
  </w:footnote>
  <w:footnote w:type="continuationSeparator" w:id="0">
    <w:p w14:paraId="2A618EFD" w14:textId="77777777" w:rsidR="0023255E" w:rsidRDefault="0023255E" w:rsidP="00B657A0">
      <w:r>
        <w:continuationSeparator/>
      </w:r>
    </w:p>
  </w:footnote>
  <w:footnote w:type="continuationNotice" w:id="1">
    <w:p w14:paraId="414ECB34" w14:textId="77777777" w:rsidR="0023255E" w:rsidRDefault="002325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3018"/>
    <w:rsid w:val="000E49C6"/>
    <w:rsid w:val="000E4D0E"/>
    <w:rsid w:val="000F0964"/>
    <w:rsid w:val="000F0C1E"/>
    <w:rsid w:val="000F5BA9"/>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1F7D"/>
    <w:rsid w:val="005448CC"/>
    <w:rsid w:val="00551058"/>
    <w:rsid w:val="00551497"/>
    <w:rsid w:val="0055598D"/>
    <w:rsid w:val="0056064F"/>
    <w:rsid w:val="00562B60"/>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69E8"/>
    <w:rsid w:val="008E06ED"/>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3268"/>
    <w:rsid w:val="00B929AF"/>
    <w:rsid w:val="00B9364C"/>
    <w:rsid w:val="00B957C9"/>
    <w:rsid w:val="00BA4431"/>
    <w:rsid w:val="00BA4AF0"/>
    <w:rsid w:val="00BA5BDE"/>
    <w:rsid w:val="00BB4E41"/>
    <w:rsid w:val="00BC06BA"/>
    <w:rsid w:val="00BC39D3"/>
    <w:rsid w:val="00BC6A7E"/>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3595"/>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0B74"/>
    <w:rsid w:val="00D01095"/>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502A5"/>
    <w:rsid w:val="00E5132F"/>
    <w:rsid w:val="00E5578B"/>
    <w:rsid w:val="00E61926"/>
    <w:rsid w:val="00E70797"/>
    <w:rsid w:val="00E71D45"/>
    <w:rsid w:val="00E76600"/>
    <w:rsid w:val="00E77D19"/>
    <w:rsid w:val="00E81074"/>
    <w:rsid w:val="00E8135A"/>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7F33"/>
    <w:rsid w:val="00F20B42"/>
    <w:rsid w:val="00F22299"/>
    <w:rsid w:val="00F2455A"/>
    <w:rsid w:val="00F3077E"/>
    <w:rsid w:val="00F31AA8"/>
    <w:rsid w:val="00F3295C"/>
    <w:rsid w:val="00F33895"/>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153</TotalTime>
  <Pages>20</Pages>
  <Words>26823</Words>
  <Characters>152897</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179362</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119</cp:revision>
  <cp:lastPrinted>2022-10-29T18:44:00Z</cp:lastPrinted>
  <dcterms:created xsi:type="dcterms:W3CDTF">2022-10-29T18:44:00Z</dcterms:created>
  <dcterms:modified xsi:type="dcterms:W3CDTF">2022-11-03T02:17:00Z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id="m5ORBR1p"/&gt;&lt;style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