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EF40CA">
      <w:pPr>
        <w:pStyle w:val="JHEPBody"/>
        <w:spacing w:line="480" w:lineRule="auto"/>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1ED33F37" w14:textId="4D1F9DFF"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2B38F9" w:rsidRPr="00773149" w14:paraId="2027BE58" w14:textId="77777777" w:rsidTr="007146E7">
        <w:trPr>
          <w:trHeight w:val="1098"/>
        </w:trPr>
        <w:tc>
          <w:tcPr>
            <w:tcW w:w="2212" w:type="pct"/>
          </w:tcPr>
          <w:p w14:paraId="440E3330" w14:textId="77777777" w:rsidR="002B38F9" w:rsidRPr="006C4359" w:rsidRDefault="002B38F9" w:rsidP="002B38F9">
            <w:pPr>
              <w:pStyle w:val="JHEPBody"/>
              <w:rPr>
                <w:b/>
                <w:sz w:val="22"/>
                <w:lang w:bidi="en-US"/>
              </w:rPr>
            </w:pPr>
            <w:r w:rsidRPr="006C4359">
              <w:rPr>
                <w:b/>
                <w:sz w:val="22"/>
                <w:lang w:bidi="en-US"/>
              </w:rPr>
              <w:t>Biodegradability</w:t>
            </w:r>
          </w:p>
          <w:p w14:paraId="0ADBA475" w14:textId="6FCE95DF" w:rsidR="002B38F9" w:rsidRPr="006C4359" w:rsidRDefault="002B38F9" w:rsidP="002B38F9">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740D9DF" w14:textId="63587941" w:rsidR="002B38F9" w:rsidRPr="006C4359" w:rsidRDefault="002B38F9" w:rsidP="002B38F9">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7DF310C8" w14:textId="5430AC85" w:rsidR="002B38F9" w:rsidRPr="006C4359" w:rsidRDefault="002B38F9" w:rsidP="002B38F9">
            <w:pPr>
              <w:pStyle w:val="JHEPBody"/>
              <w:jc w:val="center"/>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0D7C183" w14:textId="6A575875" w:rsidR="002B38F9" w:rsidRPr="006C4359" w:rsidRDefault="002B38F9" w:rsidP="002B38F9">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7E27B382" w:rsidR="00606C1B" w:rsidRPr="006C4359" w:rsidRDefault="00A73CAD" w:rsidP="00606C1B">
            <w:pPr>
              <w:pStyle w:val="JHEPBody"/>
              <w:rPr>
                <w:bCs/>
                <w:sz w:val="22"/>
                <w:lang w:bidi="en-US"/>
              </w:rPr>
            </w:pPr>
            <w:r w:rsidRPr="006C4359">
              <w:rPr>
                <w:bCs/>
                <w:sz w:val="22"/>
                <w:lang w:bidi="en-US"/>
              </w:rPr>
              <w:fldChar w:fldCharType="begin"/>
            </w:r>
            <w:r w:rsidR="007E5425">
              <w:rPr>
                <w:bCs/>
                <w:sz w:val="22"/>
                <w:lang w:bidi="en-US"/>
              </w:rPr>
              <w:instrText xml:space="preserve"> ADDIN ZOTERO_ITEM CSL_CITATION {"citationID":"OOBPxf4O","properties":{"formattedCitation":"(Rivera et al.)","plainCitation":"(Rivera et al.)","noteIndex":0},"citationItems":[{"id":"m5ORBR1p/YR3c0h4m","uris":["http://zotero.org/users/7286058/items/8Y7ZC3GS"],"itemData":{"id":4700,"type":"article-journal","abstract":"The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6C9DD592"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4D544F">
        <w:rPr>
          <w:sz w:val="22"/>
        </w:rPr>
        <w:fldChar w:fldCharType="begin"/>
      </w:r>
      <w:r w:rsidR="004D544F">
        <w:rPr>
          <w:sz w:val="22"/>
        </w:rPr>
        <w:instrText xml:space="preserve"> ADDIN ZOTERO_TEMP </w:instrText>
      </w:r>
      <w:r w:rsidR="00000000">
        <w:rPr>
          <w:sz w:val="22"/>
        </w:rPr>
        <w:fldChar w:fldCharType="separate"/>
      </w:r>
      <w:r w:rsidR="004D544F">
        <w:rPr>
          <w:sz w:val="22"/>
        </w:rPr>
        <w:fldChar w:fldCharType="end"/>
      </w:r>
      <w:r w:rsidR="00874999">
        <w:rPr>
          <w:sz w:val="22"/>
        </w:rPr>
        <w:t>.</w:t>
      </w:r>
      <w:r w:rsidR="009A5A01">
        <w:rPr>
          <w:sz w:val="22"/>
        </w:rPr>
        <w:t xml:space="preserve"> The neural-spinal scaffold without </w:t>
      </w:r>
      <w:r w:rsidR="00A74BA2">
        <w:rPr>
          <w:sz w:val="22"/>
        </w:rPr>
        <w:t xml:space="preserve">with </w:t>
      </w:r>
      <w:r w:rsidR="009A5A01">
        <w:rPr>
          <w:sz w:val="22"/>
        </w:rPr>
        <w:t xml:space="preserve">stem </w:t>
      </w:r>
      <w:r w:rsidR="008B10AE">
        <w:rPr>
          <w:sz w:val="22"/>
        </w:rPr>
        <w:t>cells promotes</w:t>
      </w:r>
      <w:r w:rsidR="005261AA">
        <w:rPr>
          <w:sz w:val="22"/>
        </w:rPr>
        <w:t xml:space="preserve"> survival and axonal</w:t>
      </w:r>
      <w:r w:rsidR="00BF2BF5">
        <w:rPr>
          <w:sz w:val="22"/>
        </w:rPr>
        <w:t xml:space="preserve"> g</w:t>
      </w:r>
      <w:r w:rsidR="005261AA">
        <w:rPr>
          <w:sz w:val="22"/>
        </w:rPr>
        <w:t xml:space="preserve">rowth </w:t>
      </w:r>
      <w:r w:rsidR="00BF2BF5">
        <w:rPr>
          <w:sz w:val="22"/>
        </w:rPr>
        <w:t>and</w:t>
      </w:r>
      <w:r w:rsidR="00B11926">
        <w:rPr>
          <w:sz w:val="22"/>
        </w:rPr>
        <w:t xml:space="preserve"> locomotor recovery</w:t>
      </w:r>
      <w:r w:rsidR="000F0C1E">
        <w:rPr>
          <w:sz w:val="22"/>
        </w:rPr>
        <w:t xml:space="preserve"> </w:t>
      </w:r>
      <w:r w:rsidR="000F0C1E">
        <w:rPr>
          <w:sz w:val="22"/>
        </w:rPr>
        <w:fldChar w:fldCharType="begin"/>
      </w:r>
      <w:r w:rsidR="00E103BB">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0F0C1E">
        <w:rPr>
          <w:sz w:val="22"/>
        </w:rPr>
        <w:fldChar w:fldCharType="separate"/>
      </w:r>
      <w:r w:rsidR="00E103BB" w:rsidRPr="00E103BB">
        <w:rPr>
          <w:rFonts w:cs="Tahoma"/>
          <w:sz w:val="22"/>
        </w:rPr>
        <w:t>(Teng et al.)</w:t>
      </w:r>
      <w:r w:rsidR="000F0C1E">
        <w:rPr>
          <w:sz w:val="22"/>
        </w:rPr>
        <w:fldChar w:fldCharType="end"/>
      </w:r>
      <w:r w:rsidR="000F0C1E">
        <w:rPr>
          <w:sz w:val="22"/>
        </w:rPr>
        <w:t xml:space="preserve">. </w:t>
      </w:r>
      <w:r w:rsidR="008B10AE">
        <w:rPr>
          <w:sz w:val="22"/>
        </w:rPr>
        <w:t>Animals or patients treated with OPC1 have exhibited improved motor performances</w:t>
      </w:r>
      <w:r w:rsidR="00DA769E">
        <w:rPr>
          <w:sz w:val="22"/>
        </w:rPr>
        <w:t xml:space="preserve"> </w:t>
      </w:r>
      <w:r w:rsidR="00DA769E">
        <w:rPr>
          <w:sz w:val="22"/>
        </w:rPr>
        <w:fldChar w:fldCharType="begin"/>
      </w:r>
      <w:r w:rsidR="00DA769E">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DA769E">
        <w:rPr>
          <w:sz w:val="22"/>
        </w:rPr>
        <w:fldChar w:fldCharType="separate"/>
      </w:r>
      <w:r w:rsidR="00DA769E">
        <w:rPr>
          <w:noProof/>
          <w:sz w:val="22"/>
        </w:rPr>
        <w:t>(Manley et al.)</w:t>
      </w:r>
      <w:r w:rsidR="00DA769E">
        <w:rPr>
          <w:sz w:val="22"/>
        </w:rPr>
        <w:fldChar w:fldCharType="end"/>
      </w:r>
      <w:r w:rsidR="008B10AE">
        <w:rPr>
          <w:sz w:val="22"/>
        </w:rPr>
        <w:t>.</w:t>
      </w:r>
    </w:p>
    <w:p w14:paraId="1269CDA2" w14:textId="200CB0A7" w:rsidR="00240673"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21E1B755" w14:textId="65DF2725" w:rsidR="002B38F9" w:rsidRPr="002B38F9" w:rsidRDefault="002B38F9" w:rsidP="002B38F9">
      <w:pPr>
        <w:pStyle w:val="JHEPBody"/>
        <w:numPr>
          <w:ilvl w:val="0"/>
          <w:numId w:val="33"/>
        </w:numPr>
        <w:spacing w:line="480" w:lineRule="auto"/>
        <w:rPr>
          <w:bCs/>
          <w:sz w:val="20"/>
          <w:szCs w:val="20"/>
          <w:lang w:bidi="en-US"/>
        </w:rPr>
      </w:pPr>
      <w:r w:rsidRPr="001C00CA">
        <w:rPr>
          <w:b/>
          <w:bCs/>
          <w:sz w:val="22"/>
          <w:lang w:bidi="en-US"/>
        </w:rPr>
        <w:t>Biodegradability</w:t>
      </w:r>
      <w:r w:rsidRPr="001C00CA">
        <w:rPr>
          <w:sz w:val="22"/>
          <w:lang w:bidi="en-US"/>
        </w:rPr>
        <w:t xml:space="preserve">: the mechanical characteristics of the polymers used in the scaffold differ depending their molecular weights. Biodegradability is not directly to molecular weight (MW) however a high molecular polymer weight might be linked to a slower decreases in the loss of properties due to its hydrolysis </w:t>
      </w:r>
      <w:r w:rsidRPr="001C00CA">
        <w:rPr>
          <w:sz w:val="22"/>
          <w:lang w:bidi="en-US"/>
        </w:rPr>
        <w:fldChar w:fldCharType="begin"/>
      </w:r>
      <w:r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1C00CA">
        <w:rPr>
          <w:sz w:val="22"/>
          <w:lang w:bidi="en-US"/>
        </w:rPr>
        <w:fldChar w:fldCharType="separate"/>
      </w:r>
      <w:r w:rsidRPr="001C00CA">
        <w:rPr>
          <w:noProof/>
          <w:sz w:val="22"/>
          <w:lang w:bidi="en-US"/>
        </w:rPr>
        <w:t>(Speight)</w:t>
      </w:r>
      <w:r w:rsidRPr="001C00CA">
        <w:rPr>
          <w:sz w:val="22"/>
          <w:lang w:bidi="en-US"/>
        </w:rPr>
        <w:fldChar w:fldCharType="end"/>
      </w:r>
      <w:r w:rsidRPr="001C00CA">
        <w:rPr>
          <w:sz w:val="22"/>
          <w:lang w:bidi="en-US"/>
        </w:rPr>
        <w:t xml:space="preserve">. </w:t>
      </w:r>
      <w:r w:rsidRPr="0048052E">
        <w:rPr>
          <w:sz w:val="22"/>
        </w:rPr>
        <w:t xml:space="preserve">The neural-scaffold </w:t>
      </w:r>
      <w:r>
        <w:rPr>
          <w:sz w:val="22"/>
        </w:rPr>
        <w:t>is</w:t>
      </w:r>
      <w:r w:rsidRPr="0048052E">
        <w:rPr>
          <w:sz w:val="22"/>
        </w:rPr>
        <w:t xml:space="preserve"> made of bioabsorbable polyglycoli</w:t>
      </w:r>
      <w:r>
        <w:rPr>
          <w:sz w:val="22"/>
        </w:rPr>
        <w:t>c polymer</w:t>
      </w:r>
      <w:r w:rsidRPr="0048052E">
        <w:rPr>
          <w:sz w:val="22"/>
        </w:rPr>
        <w:t xml:space="preserve"> (P</w:t>
      </w:r>
      <w:r>
        <w:rPr>
          <w:sz w:val="22"/>
        </w:rPr>
        <w:t>L</w:t>
      </w:r>
      <w:r w:rsidRPr="0048052E">
        <w:rPr>
          <w:sz w:val="22"/>
        </w:rPr>
        <w:t>GA</w:t>
      </w:r>
      <w:r>
        <w:rPr>
          <w:sz w:val="22"/>
        </w:rPr>
        <w:t>-PLL</w:t>
      </w:r>
      <w:r w:rsidRPr="0048052E">
        <w:rPr>
          <w:sz w:val="22"/>
        </w:rPr>
        <w:t>)</w:t>
      </w:r>
      <w:r>
        <w:rPr>
          <w:sz w:val="22"/>
        </w:rPr>
        <w:t>;</w:t>
      </w:r>
      <w:r w:rsidRPr="0048052E">
        <w:rPr>
          <w:sz w:val="22"/>
        </w:rPr>
        <w:t xml:space="preserve"> FDA approved polymers;</w:t>
      </w:r>
      <w:r>
        <w:rPr>
          <w:sz w:val="22"/>
        </w:rPr>
        <w:t xml:space="preserve"> </w:t>
      </w:r>
      <w:r w:rsidRPr="0048052E">
        <w:rPr>
          <w:sz w:val="22"/>
        </w:rPr>
        <w:t xml:space="preserve">which </w:t>
      </w:r>
      <w:r>
        <w:rPr>
          <w:sz w:val="22"/>
        </w:rPr>
        <w:t xml:space="preserve">resorbed completely over 4-8 weeks </w:t>
      </w:r>
      <w:r w:rsidRPr="0048052E">
        <w:rPr>
          <w:sz w:val="22"/>
        </w:rPr>
        <w:t>by simple hydrolysis to water and excreted via the kidney</w:t>
      </w:r>
      <w:r>
        <w:rPr>
          <w:sz w:val="22"/>
        </w:rPr>
        <w:t xml:space="preserve"> </w:t>
      </w:r>
      <w:r>
        <w:rPr>
          <w:sz w:val="22"/>
        </w:rPr>
        <w:fldChar w:fldCharType="begin"/>
      </w:r>
      <w:r>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48052E">
        <w:rPr>
          <w:sz w:val="22"/>
        </w:rPr>
        <w:t>.</w:t>
      </w:r>
    </w:p>
    <w:p w14:paraId="00BB6107" w14:textId="7A158C99" w:rsidR="00B33494" w:rsidRPr="00153359" w:rsidRDefault="00B33494" w:rsidP="00153359">
      <w:pPr>
        <w:pStyle w:val="JHEPBody"/>
        <w:numPr>
          <w:ilvl w:val="0"/>
          <w:numId w:val="33"/>
        </w:numPr>
        <w:spacing w:line="480" w:lineRule="auto"/>
        <w:rPr>
          <w:b/>
          <w:sz w:val="22"/>
          <w:lang w:bidi="en-US"/>
        </w:rPr>
      </w:pPr>
      <w:r>
        <w:rPr>
          <w:b/>
          <w:sz w:val="22"/>
          <w:lang w:bidi="en-US"/>
        </w:rPr>
        <w:lastRenderedPageBreak/>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w:t>
      </w:r>
      <w:proofErr w:type="spellStart"/>
      <w:r w:rsidR="00D36552" w:rsidRPr="00153359">
        <w:rPr>
          <w:sz w:val="22"/>
        </w:rPr>
        <w:t>cavation</w:t>
      </w:r>
      <w:proofErr w:type="spellEnd"/>
      <w:r w:rsidR="00D36552" w:rsidRPr="00153359">
        <w:rPr>
          <w:sz w:val="22"/>
        </w:rPr>
        <w:t xml:space="preserve">,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proofErr w:type="spellStart"/>
      <w:r w:rsidR="00DA0A49">
        <w:rPr>
          <w:sz w:val="22"/>
        </w:rPr>
        <w:t>cavition</w:t>
      </w:r>
      <w:proofErr w:type="spellEnd"/>
      <w:r w:rsidR="00DA0A49">
        <w:rPr>
          <w:sz w:val="22"/>
        </w:rPr>
        <w:t xml:space="preserve"> 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6CF2EBF6" w14:textId="693C242B" w:rsidR="00CC4C75"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cells</w:t>
      </w:r>
      <w:r w:rsidR="00702CD7">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218064F1"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1E093D">
        <w:rPr>
          <w:sz w:val="22"/>
        </w:rPr>
        <w:t>gives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4D06A5C0" w14:textId="42F41290" w:rsidR="00DF5CF8" w:rsidRPr="008B22A0" w:rsidRDefault="00B14BE0" w:rsidP="008B22A0">
      <w:pPr>
        <w:pStyle w:val="JHEPBody"/>
        <w:numPr>
          <w:ilvl w:val="0"/>
          <w:numId w:val="33"/>
        </w:numPr>
        <w:spacing w:line="480" w:lineRule="auto"/>
        <w:rPr>
          <w:bCs/>
          <w:sz w:val="20"/>
          <w:szCs w:val="20"/>
          <w:lang w:bidi="en-US"/>
        </w:rPr>
      </w:pPr>
      <w:r w:rsidRPr="00A0265E">
        <w:rPr>
          <w:rFonts w:cs="Tahoma"/>
          <w:b/>
          <w:sz w:val="22"/>
          <w:lang w:bidi="en-US"/>
        </w:rPr>
        <w:t>Tumorigenicity</w:t>
      </w:r>
      <w:r w:rsidR="00233406">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5AA40F0C" w14:textId="364EF4D2" w:rsidR="00274369" w:rsidRDefault="00974719" w:rsidP="00974719">
      <w:pPr>
        <w:pStyle w:val="Heading2"/>
      </w:pPr>
      <w:r>
        <w:lastRenderedPageBreak/>
        <w:t>E – Verification and Validation</w:t>
      </w:r>
    </w:p>
    <w:p w14:paraId="4DCA2B55" w14:textId="6E6C1696" w:rsidR="003D56EB" w:rsidRDefault="00551058" w:rsidP="0043376A">
      <w:pPr>
        <w:pStyle w:val="SubsectionTitle"/>
      </w:pPr>
      <w:r>
        <w:t>Verification</w:t>
      </w:r>
    </w:p>
    <w:p w14:paraId="0D7BCC8C" w14:textId="7ACE55CD" w:rsidR="0043376A" w:rsidRDefault="003445CA" w:rsidP="0043376A">
      <w:r w:rsidRPr="00D83180">
        <w:rPr>
          <w:b/>
          <w:bCs/>
        </w:rPr>
        <w:t>Motor recovery</w:t>
      </w:r>
      <w:r>
        <w:t xml:space="preserve">: </w:t>
      </w:r>
      <w:r w:rsidR="00E103BB">
        <w:t>assessment</w:t>
      </w:r>
      <w:r w:rsidR="002B6DF1">
        <w:t xml:space="preserve"> of motor recovery in SCI is measured using different scoring systems. In a study</w:t>
      </w:r>
      <w:r w:rsidR="007E5425">
        <w:t xml:space="preserve"> </w:t>
      </w:r>
      <w:r w:rsidR="007E5425">
        <w:fldChar w:fldCharType="begin"/>
      </w:r>
      <w:r w:rsidR="00B31F09">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7E5425">
        <w:fldChar w:fldCharType="separate"/>
      </w:r>
      <w:r w:rsidR="007E5425" w:rsidRPr="007E5425">
        <w:rPr>
          <w:rFonts w:cs="Tahoma"/>
        </w:rPr>
        <w:t>(Teng et al.</w:t>
      </w:r>
      <w:r w:rsidR="007E5425">
        <w:rPr>
          <w:rFonts w:cs="Tahoma"/>
        </w:rPr>
        <w:t>)</w:t>
      </w:r>
      <w:r w:rsidR="007E5425">
        <w:fldChar w:fldCharType="end"/>
      </w:r>
      <w:r w:rsidR="002B6DF1">
        <w:t>, using a PLGA scaffold seeded with neural stem cells promoted long-term locomotor recovery (&gt;= 1 year in some animals) in adult rat model of SCI compared to a lesion only control group.</w:t>
      </w:r>
      <w:r w:rsidR="008D2A02">
        <w:t xml:space="preserve"> A cut of 4mm at the T9-T10 level was performed in a population of rodents</w:t>
      </w:r>
      <w:r w:rsidR="00A92D89">
        <w:t xml:space="preserve">. The inner and outer scaffolds were both made from a mixture of PLGA (MW ~ 40,000); PLGA (MW ~ 30,000) and </w:t>
      </w:r>
      <w:proofErr w:type="spellStart"/>
      <w:r w:rsidR="00A92D89">
        <w:t>polylysine</w:t>
      </w:r>
      <w:proofErr w:type="spellEnd"/>
      <w:r w:rsidR="00A92D89">
        <w:t xml:space="preserve"> block (MW ~ 2000)</w:t>
      </w:r>
      <w:r w:rsidR="006F10C6">
        <w:t xml:space="preserve"> with a degradation rate of about 30-60 days using for the inner scaffold a slat-leaching process and the outer scaffold. A solid-liquid phase separation technic. </w:t>
      </w:r>
      <w:r w:rsidR="006F376C">
        <w:t>4</w:t>
      </w:r>
      <w:r w:rsidR="00AB5129">
        <w:t xml:space="preserve"> groups of rats were designed: (1) </w:t>
      </w:r>
      <w:r w:rsidR="006F376C">
        <w:t xml:space="preserve">scaffold + NSCs, </w:t>
      </w:r>
      <w:r w:rsidR="00AB5129">
        <w:t>(2) scaffold alone</w:t>
      </w:r>
      <w:r w:rsidR="006F376C">
        <w:t xml:space="preserve">, (3) NSCs in the SCI, </w:t>
      </w:r>
      <w:r w:rsidR="00163CCD">
        <w:t>s</w:t>
      </w:r>
      <w:r w:rsidR="00AB5129">
        <w:t>and (</w:t>
      </w:r>
      <w:r w:rsidR="006F376C">
        <w:t>4</w:t>
      </w:r>
      <w:r w:rsidR="00AB5129">
        <w:t>)</w:t>
      </w:r>
      <w:r w:rsidR="006F376C">
        <w:t xml:space="preserve"> lesion-control</w:t>
      </w:r>
      <w:r w:rsidR="00AB5129">
        <w:t xml:space="preserve">. </w:t>
      </w:r>
      <w:r w:rsidR="00C71638">
        <w:t xml:space="preserve">One day postinjury </w:t>
      </w:r>
      <w:r w:rsidR="0005492C">
        <w:t>(</w:t>
      </w:r>
      <w:proofErr w:type="spellStart"/>
      <w:r w:rsidR="0005492C">
        <w:t>p.i.</w:t>
      </w:r>
      <w:proofErr w:type="spellEnd"/>
      <w:r w:rsidR="0005492C">
        <w:t xml:space="preserve">) </w:t>
      </w:r>
      <w:r w:rsidR="00C71638">
        <w:t>and then weekly, behavioral assessment of the rats were performed using the open-fi</w:t>
      </w:r>
      <w:r w:rsidR="0005492C">
        <w:t>el</w:t>
      </w:r>
      <w:r w:rsidR="00C71638">
        <w:t xml:space="preserve">d </w:t>
      </w:r>
      <w:r w:rsidR="0005492C">
        <w:t>B</w:t>
      </w:r>
      <w:r w:rsidR="00C71638">
        <w:t>BB scale.</w:t>
      </w:r>
      <w:r w:rsidR="0005492C">
        <w:t xml:space="preserve"> At 70 days </w:t>
      </w:r>
      <w:proofErr w:type="spellStart"/>
      <w:r w:rsidR="0005492C">
        <w:t>p.i.</w:t>
      </w:r>
      <w:proofErr w:type="spellEnd"/>
      <w:r w:rsidR="0005492C">
        <w:t>, 69% scaffold plus cells groups, 54% of the scaffold alone, and only 17% of the cells-alone, and 33% of lesion-control groups attained a score of at least 10 (threshold of significant walking behavior)</w:t>
      </w:r>
      <w:r w:rsidR="005C2CC2">
        <w:t xml:space="preserve">. Another experiment, scaffold implanted monkeys showed significantly improved kinematic recovery compared to the control group </w:t>
      </w:r>
      <w:r w:rsidR="005C2CC2">
        <w:fldChar w:fldCharType="begin"/>
      </w:r>
      <w:r w:rsidR="005C2CC2">
        <w:instrText xml:space="preserve"> ADDIN ZOTERO_ITEM CSL_CITATION {"citationID":"4RWlnVzg","properties":{"formattedCitation":"(Slotkin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5C2CC2">
        <w:fldChar w:fldCharType="separate"/>
      </w:r>
      <w:r w:rsidR="005C2CC2">
        <w:rPr>
          <w:noProof/>
        </w:rPr>
        <w:t>(Slotkin et al.)</w:t>
      </w:r>
      <w:r w:rsidR="005C2CC2">
        <w:fldChar w:fldCharType="end"/>
      </w:r>
      <w:r w:rsidR="00350B30">
        <w:t xml:space="preserve">. In another study, motor behavioral recovery was measured using </w:t>
      </w:r>
      <w:r w:rsidR="00E8738F">
        <w:t xml:space="preserve">the </w:t>
      </w:r>
      <w:proofErr w:type="spellStart"/>
      <w:r w:rsidR="00E8738F">
        <w:t>TreadScan</w:t>
      </w:r>
      <w:proofErr w:type="spellEnd"/>
      <w:r w:rsidR="00E8738F">
        <w:t xml:space="preserve"> scoring system</w:t>
      </w:r>
      <w:r w:rsidR="00124E5E">
        <w:t xml:space="preserve"> on </w:t>
      </w:r>
      <w:r w:rsidR="004601B4">
        <w:t xml:space="preserve">an </w:t>
      </w:r>
      <w:r w:rsidR="00124E5E">
        <w:t>adult rat population subjected to SCI at C5 level.</w:t>
      </w:r>
      <w:r w:rsidR="00350B30">
        <w:t xml:space="preserve"> </w:t>
      </w:r>
      <w:r w:rsidR="00B753B9">
        <w:t>One week after the injury, OPC1s (2.4 x 10</w:t>
      </w:r>
      <w:r w:rsidR="00B753B9" w:rsidRPr="00B753B9">
        <w:rPr>
          <w:vertAlign w:val="superscript"/>
        </w:rPr>
        <w:t>5</w:t>
      </w:r>
      <w:r w:rsidR="00B753B9">
        <w:t xml:space="preserve"> cells per rat), were injected directly into the spinal cord close to the injury site.</w:t>
      </w:r>
      <w:r w:rsidR="00D83180">
        <w:t xml:space="preserve"> Assessment of the locomotor performance was performed prior and at 1,2 and 4 months </w:t>
      </w:r>
      <w:proofErr w:type="spellStart"/>
      <w:proofErr w:type="gramStart"/>
      <w:r w:rsidR="00D83180">
        <w:t>p.i.</w:t>
      </w:r>
      <w:proofErr w:type="spellEnd"/>
      <w:r w:rsidR="00D83180">
        <w:t>.</w:t>
      </w:r>
      <w:proofErr w:type="gramEnd"/>
      <w:r w:rsidR="00D55C0E">
        <w:t xml:space="preserve"> Compared to animals treated with Hank’s balanced salt solution, OPC1 animals exhibited the greatest score improvements more closely matching the uninjured animals</w:t>
      </w:r>
      <w:r w:rsidR="00A16265">
        <w:t xml:space="preserve"> </w:t>
      </w:r>
      <w:r w:rsidR="00A16265">
        <w:fldChar w:fldCharType="begin"/>
      </w:r>
      <w:r w:rsidR="00A16265">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A16265">
        <w:fldChar w:fldCharType="separate"/>
      </w:r>
      <w:r w:rsidR="00A16265">
        <w:rPr>
          <w:noProof/>
        </w:rPr>
        <w:t>(Manley et al.)</w:t>
      </w:r>
      <w:r w:rsidR="00A16265">
        <w:fldChar w:fldCharType="end"/>
      </w:r>
      <w:r w:rsidR="00D55C0E">
        <w:t>.</w:t>
      </w:r>
    </w:p>
    <w:p w14:paraId="666E2E77" w14:textId="2D9D7CA8" w:rsidR="00DB2E16" w:rsidRDefault="00DB2E16" w:rsidP="00DB2E16">
      <w:pPr>
        <w:pStyle w:val="Body"/>
        <w:rPr>
          <w:bCs w:val="0"/>
        </w:rPr>
      </w:pPr>
      <w:r w:rsidRPr="00DB2E16">
        <w:rPr>
          <w:b/>
        </w:rPr>
        <w:t>Intraspinal Pressure</w:t>
      </w:r>
      <w:r>
        <w:rPr>
          <w:b/>
        </w:rPr>
        <w:t xml:space="preserve">: </w:t>
      </w:r>
      <w:r w:rsidR="00211205">
        <w:rPr>
          <w:bCs w:val="0"/>
        </w:rPr>
        <w:t>in this study</w:t>
      </w:r>
      <w:r w:rsidR="000D02CD">
        <w:rPr>
          <w:bCs w:val="0"/>
        </w:rPr>
        <w:t xml:space="preserve"> </w:t>
      </w:r>
      <w:r w:rsidR="000D02CD">
        <w:rPr>
          <w:bCs w:val="0"/>
        </w:rPr>
        <w:fldChar w:fldCharType="begin"/>
      </w:r>
      <w:r w:rsidR="000D02CD">
        <w:rPr>
          <w:bCs w:val="0"/>
        </w:rPr>
        <w:instrText xml:space="preserve"> ADDIN ZOTERO_ITEM CSL_CITATION {"citationID":"HG4v3VlG","properties":{"formattedCitation":"(Guest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0D02CD">
        <w:rPr>
          <w:bCs w:val="0"/>
        </w:rPr>
        <w:fldChar w:fldCharType="separate"/>
      </w:r>
      <w:r w:rsidR="000D02CD">
        <w:rPr>
          <w:bCs w:val="0"/>
          <w:noProof/>
        </w:rPr>
        <w:t>(Guest et al.)</w:t>
      </w:r>
      <w:r w:rsidR="000D02CD">
        <w:rPr>
          <w:bCs w:val="0"/>
        </w:rPr>
        <w:fldChar w:fldCharType="end"/>
      </w:r>
      <w:r w:rsidR="00211205">
        <w:rPr>
          <w:bCs w:val="0"/>
        </w:rPr>
        <w:t>, minipigs were used because the dimensions of their thoracic spinal cord and subarachnoid spaces resemble those of humans.</w:t>
      </w:r>
      <w:r w:rsidR="00052C3D">
        <w:rPr>
          <w:bCs w:val="0"/>
        </w:rPr>
        <w:t xml:space="preserve"> The scaffolds used were similar to the ones described above.</w:t>
      </w:r>
      <w:r w:rsidR="003F6C61">
        <w:rPr>
          <w:bCs w:val="0"/>
        </w:rPr>
        <w:t xml:space="preserve"> Although the scaffold is expected to decrease intraspinal pressure (which as established earlier, is detrimental following an SCI), its implantation can also result in an increase of net pressure. </w:t>
      </w:r>
      <w:r w:rsidR="007B4192">
        <w:rPr>
          <w:bCs w:val="0"/>
        </w:rPr>
        <w:t xml:space="preserve">After performing a T10 injuries on the pigs, </w:t>
      </w:r>
      <w:r w:rsidR="00BD7972">
        <w:rPr>
          <w:bCs w:val="0"/>
        </w:rPr>
        <w:t>a</w:t>
      </w:r>
      <w:r w:rsidR="0010205E">
        <w:rPr>
          <w:bCs w:val="0"/>
        </w:rPr>
        <w:t xml:space="preserve"> </w:t>
      </w:r>
      <w:r w:rsidR="00B56B38">
        <w:rPr>
          <w:bCs w:val="0"/>
        </w:rPr>
        <w:t>timed</w:t>
      </w:r>
      <w:r w:rsidR="00BD7972">
        <w:rPr>
          <w:bCs w:val="0"/>
        </w:rPr>
        <w:t xml:space="preserve"> internal decompression comprised of durotomy, limited </w:t>
      </w:r>
      <w:r w:rsidR="007B4EC8">
        <w:rPr>
          <w:bCs w:val="0"/>
        </w:rPr>
        <w:t>cut</w:t>
      </w:r>
      <w:r w:rsidR="00BD7972">
        <w:rPr>
          <w:bCs w:val="0"/>
        </w:rPr>
        <w:t xml:space="preserve">, and low fluid irrigation </w:t>
      </w:r>
      <w:r w:rsidR="00086261">
        <w:rPr>
          <w:bCs w:val="0"/>
        </w:rPr>
        <w:t>was</w:t>
      </w:r>
      <w:r w:rsidR="00BD7972">
        <w:rPr>
          <w:bCs w:val="0"/>
        </w:rPr>
        <w:t xml:space="preserve"> performed at the injury site. </w:t>
      </w:r>
      <w:r w:rsidR="00F3077E">
        <w:rPr>
          <w:bCs w:val="0"/>
        </w:rPr>
        <w:t xml:space="preserve">Pressure monitored, initially peaked when the scaffold was inserted between the pia and dura to swing back to the normal expected range after </w:t>
      </w:r>
      <w:proofErr w:type="spellStart"/>
      <w:r w:rsidR="00F3077E">
        <w:rPr>
          <w:bCs w:val="0"/>
        </w:rPr>
        <w:t>dural</w:t>
      </w:r>
      <w:proofErr w:type="spellEnd"/>
      <w:r w:rsidR="00F3077E">
        <w:rPr>
          <w:bCs w:val="0"/>
        </w:rPr>
        <w:t xml:space="preserve"> closure.</w:t>
      </w:r>
      <w:r w:rsidR="00937C53">
        <w:rPr>
          <w:bCs w:val="0"/>
        </w:rPr>
        <w:t xml:space="preserve"> </w:t>
      </w:r>
      <w:r w:rsidR="00003441">
        <w:rPr>
          <w:bCs w:val="0"/>
        </w:rPr>
        <w:t xml:space="preserve">Post implantation, </w:t>
      </w:r>
      <w:r w:rsidR="00937C53">
        <w:rPr>
          <w:bCs w:val="0"/>
        </w:rPr>
        <w:t>the tissue evacuated was analyzed reve</w:t>
      </w:r>
      <w:r w:rsidR="00003441">
        <w:rPr>
          <w:bCs w:val="0"/>
        </w:rPr>
        <w:t>a</w:t>
      </w:r>
      <w:r w:rsidR="00937C53">
        <w:rPr>
          <w:bCs w:val="0"/>
        </w:rPr>
        <w:t xml:space="preserve">ling </w:t>
      </w:r>
      <w:r w:rsidR="00003441">
        <w:rPr>
          <w:bCs w:val="0"/>
        </w:rPr>
        <w:t>necrotic materials and no bleeding was observed.</w:t>
      </w:r>
    </w:p>
    <w:p w14:paraId="58181CFA" w14:textId="0D4046D5" w:rsidR="00F3077E" w:rsidRDefault="00473E6C" w:rsidP="00DB2E16">
      <w:pPr>
        <w:pStyle w:val="Body"/>
        <w:rPr>
          <w:bCs w:val="0"/>
          <w:lang w:bidi="en-US"/>
        </w:rPr>
      </w:pPr>
      <w:r w:rsidRPr="009A35C8">
        <w:rPr>
          <w:b/>
          <w:lang w:bidi="en-US"/>
        </w:rPr>
        <w:t xml:space="preserve">Biodegradability: </w:t>
      </w:r>
      <w:r w:rsidR="00BE75F7">
        <w:rPr>
          <w:bCs w:val="0"/>
          <w:lang w:bidi="en-US"/>
        </w:rPr>
        <w:t xml:space="preserve">the scaffolds have different molecular weights as described in “motor recovery” allowing different rate of resorption. </w:t>
      </w:r>
      <w:r w:rsidR="00B7493D">
        <w:rPr>
          <w:bCs w:val="0"/>
          <w:lang w:bidi="en-US"/>
        </w:rPr>
        <w:t xml:space="preserve">In one of the study, </w:t>
      </w:r>
      <w:r w:rsidR="00D0798A">
        <w:rPr>
          <w:bCs w:val="0"/>
          <w:lang w:bidi="en-US"/>
        </w:rPr>
        <w:t xml:space="preserve">H&amp;H staining, one week after implantation, </w:t>
      </w:r>
      <w:r w:rsidR="008B22A0">
        <w:rPr>
          <w:bCs w:val="0"/>
          <w:lang w:bidi="en-US"/>
        </w:rPr>
        <w:t xml:space="preserve">revealed that </w:t>
      </w:r>
      <w:r w:rsidR="00D0798A">
        <w:rPr>
          <w:bCs w:val="0"/>
          <w:lang w:bidi="en-US"/>
        </w:rPr>
        <w:t xml:space="preserve">few cells have entered the scaffold. At 2 weeks, the scaffold </w:t>
      </w:r>
      <w:r w:rsidR="008B22A0">
        <w:rPr>
          <w:bCs w:val="0"/>
          <w:lang w:bidi="en-US"/>
        </w:rPr>
        <w:t>was</w:t>
      </w:r>
      <w:r w:rsidR="00D0798A">
        <w:rPr>
          <w:bCs w:val="0"/>
          <w:lang w:bidi="en-US"/>
        </w:rPr>
        <w:t xml:space="preserve"> extensively infiltrated. By 3 weeks and onward, the scaffold volume </w:t>
      </w:r>
      <w:r w:rsidR="008B22A0">
        <w:rPr>
          <w:bCs w:val="0"/>
          <w:lang w:bidi="en-US"/>
        </w:rPr>
        <w:t>was</w:t>
      </w:r>
      <w:r w:rsidR="00D0798A">
        <w:rPr>
          <w:bCs w:val="0"/>
          <w:lang w:bidi="en-US"/>
        </w:rPr>
        <w:t xml:space="preserve"> reduced further and further. By week 12, the scaffold </w:t>
      </w:r>
      <w:r w:rsidR="008B22A0">
        <w:rPr>
          <w:bCs w:val="0"/>
          <w:lang w:bidi="en-US"/>
        </w:rPr>
        <w:t>wa</w:t>
      </w:r>
      <w:r w:rsidR="00742E7F">
        <w:rPr>
          <w:bCs w:val="0"/>
          <w:lang w:bidi="en-US"/>
        </w:rPr>
        <w:t>s</w:t>
      </w:r>
      <w:r w:rsidR="00D0798A">
        <w:rPr>
          <w:bCs w:val="0"/>
          <w:lang w:bidi="en-US"/>
        </w:rPr>
        <w:t xml:space="preserve"> mostly replaced by new tissue</w:t>
      </w:r>
      <w:r w:rsidR="00EF5D1E">
        <w:rPr>
          <w:bCs w:val="0"/>
          <w:lang w:bidi="en-US"/>
        </w:rPr>
        <w:t xml:space="preserve"> with foreign body giant cells (FBGC), sign of end-stage response of the inflammatory response following</w:t>
      </w:r>
      <w:r w:rsidR="008B22A0">
        <w:rPr>
          <w:bCs w:val="0"/>
          <w:lang w:bidi="en-US"/>
        </w:rPr>
        <w:t xml:space="preserve"> foreign body</w:t>
      </w:r>
      <w:r w:rsidR="00EF5D1E">
        <w:rPr>
          <w:bCs w:val="0"/>
          <w:lang w:bidi="en-US"/>
        </w:rPr>
        <w:t xml:space="preserve"> implantation</w:t>
      </w:r>
      <w:r w:rsidR="00B31F09">
        <w:rPr>
          <w:bCs w:val="0"/>
          <w:lang w:bidi="en-US"/>
        </w:rPr>
        <w:t xml:space="preserve"> </w:t>
      </w:r>
      <w:r w:rsidR="00B31F09">
        <w:rPr>
          <w:bCs w:val="0"/>
          <w:lang w:bidi="en-US"/>
        </w:rPr>
        <w:fldChar w:fldCharType="begin"/>
      </w:r>
      <w:r w:rsidR="00B31F09">
        <w:rPr>
          <w:bCs w:val="0"/>
          <w:lang w:bidi="en-US"/>
        </w:rPr>
        <w:instrText xml:space="preserve"> ADDIN ZOTERO_ITEM CSL_CITATION {"citationID":"tjG31pc5","properties":{"formattedCitation":"(Anderson et al.)","plainCitation":"(Anderson et al.)","noteIndex":0},"citationItems":[{"id":4900,"uris":["http://zotero.org/users/7286058/items/F8AYPKAG"],"itemData":{"id":4900,"type":"article-journal","abstract":"The foreign body reaction composed of macrophages and foreign body giant cells is the end-stage response of the inflammatory and wound healing responses following implantation of a medical device, prosthesis, or biomaterial. A brief, focused overview of events leading to the foreign body reaction is presented. The major focus of this review is on factors that modulate the interaction of macrophages and foreign body giant cells on synthetic surfaces where the chemical, physical, and morphological characteristics of the synthetic surface are considered to play a role in modulating cellular events. These events in the foreign body reaction include protein adsorption, monocyte/ macrophage adhesion, macrophage fusion to form foreign body giant cells, consequences of the foreign body response on biomaterials, and cross-talk between macrophages/foreign body giant cells and inflammatory/wound healing cells. Biomaterial surface properties play an important role in modulating the foreign body reaction in the first two to four weeks following implantation of a medical device, even though the foreign body reaction at the tissue/material interface is present for the in vivo lifetime of the medical device. An understanding of the foreign body reaction is important as the foreign body reaction may impact the biocompatibility (safety) of the medical device, prosthesis, or implanted biomaterial and may significantly impact short- and long-term tissue responses with tissue-engineered constructs containing proteins, cells, and other biological components for use in tissue engineering and regenerative medicine. Our perspective has been on the inflammatory and wound healing response to implanted materials, devices, and tissue-engineered constructs. The incorporation of biological components of allogeneic or xenogeneic origin as well as stem cells into tissue-engineered or regenerative approaches opens up a myriad of other challenges. An in depth understanding of how the immune system interacts with these cells and how biomaterials or tissue-engineered constructs influences these interactions may prove pivotal to the safety, biocompatibility, and function of the device or system under consideration.","container-title":"Seminars in Immunology","DOI":"10.1016/j.smim.2007.11.004","ISSN":"10445323","issue":"2","journalAbbreviation":"Seminars in Immunology","language":"en","page":"86-100","source":"DOI.org (Crossref)","title":"Foreign body reaction to biomaterials","URL":"https://linkinghub.elsevier.com/retrieve/pii/S1044532307000966","volume":"20","author":[{"family":"Anderson","given":"James M."},{"family":"Rodriguez","given":"Analiz"},{"family":"Chang","given":"David T."}],"accessed":{"date-parts":[["2022",10,30]]},"issued":{"date-parts":[["2008",4]]}}}],"schema":"https://github.com/citation-style-language/schema/raw/master/csl-citation.json"} </w:instrText>
      </w:r>
      <w:r w:rsidR="00B31F09">
        <w:rPr>
          <w:bCs w:val="0"/>
          <w:lang w:bidi="en-US"/>
        </w:rPr>
        <w:fldChar w:fldCharType="separate"/>
      </w:r>
      <w:r w:rsidR="00B31F09">
        <w:rPr>
          <w:bCs w:val="0"/>
          <w:noProof/>
          <w:lang w:bidi="en-US"/>
        </w:rPr>
        <w:t>(Anderson et al.)</w:t>
      </w:r>
      <w:r w:rsidR="00B31F09">
        <w:rPr>
          <w:bCs w:val="0"/>
          <w:lang w:bidi="en-US"/>
        </w:rPr>
        <w:fldChar w:fldCharType="end"/>
      </w:r>
      <w:r w:rsidR="00D0798A">
        <w:rPr>
          <w:bCs w:val="0"/>
          <w:lang w:bidi="en-US"/>
        </w:rPr>
        <w:t xml:space="preserve">. By comparison, 12 weeks after </w:t>
      </w:r>
      <w:r w:rsidR="00D61A5F">
        <w:rPr>
          <w:bCs w:val="0"/>
          <w:lang w:bidi="en-US"/>
        </w:rPr>
        <w:t xml:space="preserve">an </w:t>
      </w:r>
      <w:r w:rsidR="00D0798A">
        <w:rPr>
          <w:bCs w:val="0"/>
          <w:lang w:bidi="en-US"/>
        </w:rPr>
        <w:t xml:space="preserve">SCI only, the injury </w:t>
      </w:r>
      <w:r w:rsidR="008B22A0">
        <w:rPr>
          <w:bCs w:val="0"/>
          <w:lang w:bidi="en-US"/>
        </w:rPr>
        <w:t>was</w:t>
      </w:r>
      <w:r w:rsidR="00D0798A">
        <w:rPr>
          <w:bCs w:val="0"/>
          <w:lang w:bidi="en-US"/>
        </w:rPr>
        <w:t xml:space="preserve"> filled with an empty</w:t>
      </w:r>
      <w:r w:rsidR="00903670">
        <w:rPr>
          <w:bCs w:val="0"/>
          <w:lang w:bidi="en-US"/>
        </w:rPr>
        <w:t xml:space="preserve"> </w:t>
      </w:r>
      <w:r w:rsidR="00D0798A">
        <w:rPr>
          <w:bCs w:val="0"/>
          <w:lang w:bidi="en-US"/>
        </w:rPr>
        <w:t>cyst with macrophages along thin septations</w:t>
      </w:r>
      <w:r w:rsidR="00B31F09">
        <w:rPr>
          <w:bCs w:val="0"/>
          <w:lang w:bidi="en-US"/>
        </w:rPr>
        <w:t xml:space="preserve"> </w:t>
      </w:r>
      <w:r w:rsidR="00B31F09">
        <w:rPr>
          <w:bCs w:val="0"/>
          <w:lang w:bidi="en-US"/>
        </w:rPr>
        <w:fldChar w:fldCharType="begin"/>
      </w:r>
      <w:r w:rsidR="00B31F09">
        <w:rPr>
          <w:bCs w:val="0"/>
          <w:lang w:bidi="en-US"/>
        </w:rPr>
        <w:instrText xml:space="preserve"> ADDIN ZOTERO_ITEM CSL_CITATION {"citationID":"zmaLzQ6N","properties":{"formattedCitation":"(Guest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B31F09">
        <w:rPr>
          <w:bCs w:val="0"/>
          <w:lang w:bidi="en-US"/>
        </w:rPr>
        <w:fldChar w:fldCharType="separate"/>
      </w:r>
      <w:r w:rsidR="00B31F09">
        <w:rPr>
          <w:bCs w:val="0"/>
          <w:noProof/>
          <w:lang w:bidi="en-US"/>
        </w:rPr>
        <w:t>(Guest et al.)</w:t>
      </w:r>
      <w:r w:rsidR="00B31F09">
        <w:rPr>
          <w:bCs w:val="0"/>
          <w:lang w:bidi="en-US"/>
        </w:rPr>
        <w:fldChar w:fldCharType="end"/>
      </w:r>
      <w:r w:rsidR="00D0798A">
        <w:rPr>
          <w:bCs w:val="0"/>
          <w:lang w:bidi="en-US"/>
        </w:rPr>
        <w:t>.</w:t>
      </w:r>
      <w:r w:rsidR="00BE75F7">
        <w:rPr>
          <w:bCs w:val="0"/>
          <w:lang w:bidi="en-US"/>
        </w:rPr>
        <w:t xml:space="preserve"> </w:t>
      </w:r>
    </w:p>
    <w:p w14:paraId="220EFFB3" w14:textId="77777777" w:rsidR="006867E5" w:rsidRDefault="008B22A0" w:rsidP="00DB2E16">
      <w:pPr>
        <w:pStyle w:val="Body"/>
        <w:rPr>
          <w:bCs w:val="0"/>
          <w:lang w:bidi="en-US"/>
        </w:rPr>
      </w:pPr>
      <w:r w:rsidRPr="008B22A0">
        <w:rPr>
          <w:b/>
          <w:lang w:bidi="en-US"/>
        </w:rPr>
        <w:t>Tissue sparing and new tissue formation:</w:t>
      </w:r>
      <w:r w:rsidR="008F2CB9">
        <w:rPr>
          <w:b/>
          <w:lang w:bidi="en-US"/>
        </w:rPr>
        <w:t xml:space="preserve"> </w:t>
      </w:r>
      <w:r w:rsidR="008F2CB9" w:rsidRPr="008F2CB9">
        <w:rPr>
          <w:bCs w:val="0"/>
          <w:lang w:bidi="en-US"/>
        </w:rPr>
        <w:t xml:space="preserve">in the </w:t>
      </w:r>
      <w:r w:rsidR="008F2CB9">
        <w:rPr>
          <w:bCs w:val="0"/>
          <w:lang w:bidi="en-US"/>
        </w:rPr>
        <w:t>same study described above, ID + scaffold reported a decrease in cavity volume (86%) and an increase of preserved tissue width (44%) relative to the untreated animal group.</w:t>
      </w:r>
      <w:r w:rsidR="00062E70">
        <w:rPr>
          <w:bCs w:val="0"/>
          <w:lang w:bidi="en-US"/>
        </w:rPr>
        <w:t xml:space="preserve"> </w:t>
      </w:r>
      <w:r w:rsidR="004D3B97">
        <w:rPr>
          <w:bCs w:val="0"/>
          <w:lang w:bidi="en-US"/>
        </w:rPr>
        <w:t>Compared to the control group, s</w:t>
      </w:r>
      <w:r w:rsidR="00062E70">
        <w:rPr>
          <w:bCs w:val="0"/>
          <w:lang w:bidi="en-US"/>
        </w:rPr>
        <w:t xml:space="preserve">caffold </w:t>
      </w:r>
      <w:r w:rsidR="00062E70">
        <w:rPr>
          <w:bCs w:val="0"/>
          <w:lang w:bidi="en-US"/>
        </w:rPr>
        <w:lastRenderedPageBreak/>
        <w:t xml:space="preserve">implanted animals had </w:t>
      </w:r>
      <w:r w:rsidR="008E32E8">
        <w:rPr>
          <w:bCs w:val="0"/>
          <w:lang w:bidi="en-US"/>
        </w:rPr>
        <w:t>an increase of</w:t>
      </w:r>
      <w:r w:rsidR="00062E70">
        <w:rPr>
          <w:bCs w:val="0"/>
          <w:lang w:bidi="en-US"/>
        </w:rPr>
        <w:t xml:space="preserve"> </w:t>
      </w:r>
      <w:r w:rsidR="008E32E8">
        <w:rPr>
          <w:bCs w:val="0"/>
          <w:lang w:bidi="en-US"/>
        </w:rPr>
        <w:t>0.6 mm</w:t>
      </w:r>
      <w:r w:rsidR="008E32E8" w:rsidRPr="008E32E8">
        <w:rPr>
          <w:bCs w:val="0"/>
          <w:vertAlign w:val="superscript"/>
          <w:lang w:bidi="en-US"/>
        </w:rPr>
        <w:t>3</w:t>
      </w:r>
      <w:r w:rsidR="008E32E8">
        <w:rPr>
          <w:bCs w:val="0"/>
          <w:lang w:bidi="en-US"/>
        </w:rPr>
        <w:t xml:space="preserve"> in white matter width and 2mm</w:t>
      </w:r>
      <w:r w:rsidR="008E32E8" w:rsidRPr="008E32E8">
        <w:rPr>
          <w:bCs w:val="0"/>
          <w:vertAlign w:val="superscript"/>
          <w:lang w:bidi="en-US"/>
        </w:rPr>
        <w:t>3</w:t>
      </w:r>
      <w:r w:rsidR="008E32E8">
        <w:rPr>
          <w:bCs w:val="0"/>
          <w:lang w:bidi="en-US"/>
        </w:rPr>
        <w:t xml:space="preserve"> remodeled volume tissue.</w:t>
      </w:r>
      <w:r w:rsidR="004D3B97">
        <w:rPr>
          <w:bCs w:val="0"/>
          <w:lang w:bidi="en-US"/>
        </w:rPr>
        <w:t xml:space="preserve"> </w:t>
      </w:r>
    </w:p>
    <w:p w14:paraId="61E31ADC" w14:textId="43FA756D" w:rsidR="009A35C8" w:rsidRPr="009A6BE4" w:rsidRDefault="00264BFA" w:rsidP="009A6BE4">
      <w:pPr>
        <w:pStyle w:val="Body"/>
        <w:rPr>
          <w:bCs w:val="0"/>
          <w:lang w:bidi="en-US"/>
        </w:rPr>
      </w:pPr>
      <w:r>
        <w:rPr>
          <w:b/>
        </w:rPr>
        <w:t>Neurological growth</w:t>
      </w:r>
      <w:r w:rsidR="006867E5" w:rsidRPr="006867E5">
        <w:rPr>
          <w:bCs w:val="0"/>
          <w:lang w:bidi="en-US"/>
        </w:rPr>
        <w:t>:</w:t>
      </w:r>
      <w:r w:rsidR="006867E5">
        <w:rPr>
          <w:bCs w:val="0"/>
          <w:lang w:bidi="en-US"/>
        </w:rPr>
        <w:t xml:space="preserve"> in the previous study, n</w:t>
      </w:r>
      <w:r w:rsidR="004D3B97">
        <w:rPr>
          <w:bCs w:val="0"/>
          <w:lang w:bidi="en-US"/>
        </w:rPr>
        <w:t>ewly formed tissues were analyzed by immunofluorescent labeling and showed laminl-1 indicating regenerating axons entering the laminin-rich newly formed tissue at the injury site compared to control.</w:t>
      </w:r>
      <w:r w:rsidR="00911BCE">
        <w:rPr>
          <w:bCs w:val="0"/>
          <w:lang w:bidi="en-US"/>
        </w:rPr>
        <w:t xml:space="preserve"> P0 staining showed Schwan cell (SCs)</w:t>
      </w:r>
      <w:r w:rsidR="00B14E36">
        <w:rPr>
          <w:bCs w:val="0"/>
          <w:lang w:bidi="en-US"/>
        </w:rPr>
        <w:t xml:space="preserve"> extensively remyelinating white matter and newly formed tissue</w:t>
      </w:r>
      <w:r w:rsidR="00562B60">
        <w:rPr>
          <w:bCs w:val="0"/>
          <w:lang w:bidi="en-US"/>
        </w:rPr>
        <w:t xml:space="preserve"> after scaffold degradation</w:t>
      </w:r>
      <w:r w:rsidR="00B14E36">
        <w:rPr>
          <w:bCs w:val="0"/>
          <w:lang w:bidi="en-US"/>
        </w:rPr>
        <w:t>.</w:t>
      </w:r>
      <w:r w:rsidR="00972B7F">
        <w:rPr>
          <w:bCs w:val="0"/>
          <w:lang w:bidi="en-US"/>
        </w:rPr>
        <w:t xml:space="preserve"> Similar results were observed in two other studies (</w:t>
      </w:r>
      <w:r w:rsidR="00972B7F">
        <w:rPr>
          <w:bCs w:val="0"/>
          <w:lang w:bidi="en-US"/>
        </w:rPr>
        <w:fldChar w:fldCharType="begin"/>
      </w:r>
      <w:r w:rsidR="00972B7F">
        <w:rPr>
          <w:bCs w:val="0"/>
          <w:lang w:bidi="en-US"/>
        </w:rPr>
        <w:instrText xml:space="preserve"> ADDIN ZOTERO_ITEM CSL_CITATION {"citationID":"eXRT7Omz","properties":{"formattedCitation":"(Slotkin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972B7F">
        <w:rPr>
          <w:bCs w:val="0"/>
          <w:lang w:bidi="en-US"/>
        </w:rPr>
        <w:fldChar w:fldCharType="separate"/>
      </w:r>
      <w:r w:rsidR="00972B7F">
        <w:rPr>
          <w:bCs w:val="0"/>
          <w:noProof/>
          <w:lang w:bidi="en-US"/>
        </w:rPr>
        <w:t>(Slotkin et al.)</w:t>
      </w:r>
      <w:r w:rsidR="00972B7F">
        <w:rPr>
          <w:bCs w:val="0"/>
          <w:lang w:bidi="en-US"/>
        </w:rPr>
        <w:fldChar w:fldCharType="end"/>
      </w:r>
      <w:r w:rsidR="00972B7F">
        <w:rPr>
          <w:bCs w:val="0"/>
          <w:lang w:bidi="en-US"/>
        </w:rPr>
        <w:t xml:space="preserve"> </w:t>
      </w:r>
      <w:r w:rsidR="00972B7F">
        <w:rPr>
          <w:bCs w:val="0"/>
          <w:lang w:bidi="en-US"/>
        </w:rPr>
        <w:fldChar w:fldCharType="begin"/>
      </w:r>
      <w:r w:rsidR="00696CC5">
        <w:rPr>
          <w:bCs w:val="0"/>
          <w:lang w:bidi="en-US"/>
        </w:rPr>
        <w:instrText xml:space="preserve"> ADDIN ZOTERO_ITEM CSL_CITATION {"citationID":"mHdV7dp0","properties":{"formattedCitation":"(Teng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972B7F">
        <w:rPr>
          <w:bCs w:val="0"/>
          <w:lang w:bidi="en-US"/>
        </w:rPr>
        <w:fldChar w:fldCharType="separate"/>
      </w:r>
      <w:r w:rsidR="00972B7F" w:rsidRPr="00972B7F">
        <w:rPr>
          <w:rFonts w:cs="Tahoma"/>
        </w:rPr>
        <w:t>(Teng et al.)</w:t>
      </w:r>
      <w:r w:rsidR="00972B7F">
        <w:rPr>
          <w:bCs w:val="0"/>
          <w:lang w:bidi="en-US"/>
        </w:rPr>
        <w:fldChar w:fldCharType="end"/>
      </w:r>
      <w:r>
        <w:rPr>
          <w:bCs w:val="0"/>
          <w:lang w:bidi="en-US"/>
        </w:rPr>
        <w:t xml:space="preserve">. In vitro, </w:t>
      </w:r>
      <w:r w:rsidR="006915F0">
        <w:rPr>
          <w:bCs w:val="0"/>
          <w:lang w:bidi="en-US"/>
        </w:rPr>
        <w:t>proteins secreted by OPC1s involved in axonal growth (</w:t>
      </w:r>
      <w:proofErr w:type="spellStart"/>
      <w:r w:rsidR="006915F0">
        <w:rPr>
          <w:bCs w:val="0"/>
          <w:lang w:bidi="en-US"/>
        </w:rPr>
        <w:t>clusterin</w:t>
      </w:r>
      <w:proofErr w:type="spellEnd"/>
      <w:r w:rsidR="006915F0">
        <w:rPr>
          <w:bCs w:val="0"/>
          <w:lang w:bidi="en-US"/>
        </w:rPr>
        <w:t>), neural repair (MCP-1), and suppression of ap</w:t>
      </w:r>
      <w:r w:rsidR="0069419A">
        <w:rPr>
          <w:bCs w:val="0"/>
          <w:lang w:bidi="en-US"/>
        </w:rPr>
        <w:t>o</w:t>
      </w:r>
      <w:r w:rsidR="006915F0">
        <w:rPr>
          <w:bCs w:val="0"/>
          <w:lang w:bidi="en-US"/>
        </w:rPr>
        <w:t>ptosis (</w:t>
      </w:r>
      <w:proofErr w:type="spellStart"/>
      <w:r w:rsidR="006915F0">
        <w:rPr>
          <w:bCs w:val="0"/>
          <w:lang w:bidi="en-US"/>
        </w:rPr>
        <w:t>apoE</w:t>
      </w:r>
      <w:proofErr w:type="spellEnd"/>
      <w:r w:rsidR="006915F0">
        <w:rPr>
          <w:bCs w:val="0"/>
          <w:lang w:bidi="en-US"/>
        </w:rPr>
        <w:t xml:space="preserve">,  TIMP1 or 2) were </w:t>
      </w:r>
      <w:r w:rsidR="007D64DB">
        <w:rPr>
          <w:bCs w:val="0"/>
          <w:lang w:bidi="en-US"/>
        </w:rPr>
        <w:t>detected by Lumi</w:t>
      </w:r>
      <w:r w:rsidR="00C02E4C">
        <w:rPr>
          <w:bCs w:val="0"/>
          <w:lang w:bidi="en-US"/>
        </w:rPr>
        <w:t>n</w:t>
      </w:r>
      <w:r w:rsidR="007D64DB">
        <w:rPr>
          <w:bCs w:val="0"/>
          <w:lang w:bidi="en-US"/>
        </w:rPr>
        <w:t>ex assay</w:t>
      </w:r>
      <w:r w:rsidR="00C02E4C">
        <w:rPr>
          <w:bCs w:val="0"/>
          <w:lang w:bidi="en-US"/>
        </w:rPr>
        <w:t xml:space="preserve"> at high levels (see supplementar</w:t>
      </w:r>
      <w:r w:rsidR="0069419A">
        <w:rPr>
          <w:bCs w:val="0"/>
          <w:lang w:bidi="en-US"/>
        </w:rPr>
        <w:t>y</w:t>
      </w:r>
      <w:r w:rsidR="00C02E4C">
        <w:rPr>
          <w:bCs w:val="0"/>
          <w:lang w:bidi="en-US"/>
        </w:rPr>
        <w:t xml:space="preserve"> Table 2 in </w:t>
      </w:r>
      <w:r w:rsidR="0069419A">
        <w:rPr>
          <w:bCs w:val="0"/>
          <w:lang w:bidi="en-US"/>
        </w:rPr>
        <w:fldChar w:fldCharType="begin"/>
      </w:r>
      <w:r w:rsidR="0069419A">
        <w:rPr>
          <w:bCs w:val="0"/>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9419A">
        <w:rPr>
          <w:bCs w:val="0"/>
          <w:lang w:bidi="en-US"/>
        </w:rPr>
        <w:fldChar w:fldCharType="separate"/>
      </w:r>
      <w:r w:rsidR="0069419A">
        <w:rPr>
          <w:bCs w:val="0"/>
          <w:noProof/>
          <w:lang w:bidi="en-US"/>
        </w:rPr>
        <w:t>(Priest et al.)</w:t>
      </w:r>
      <w:r w:rsidR="0069419A">
        <w:rPr>
          <w:bCs w:val="0"/>
          <w:lang w:bidi="en-US"/>
        </w:rPr>
        <w:fldChar w:fldCharType="end"/>
      </w:r>
      <w:r w:rsidR="0069419A">
        <w:rPr>
          <w:bCs w:val="0"/>
          <w:lang w:bidi="en-US"/>
        </w:rPr>
        <w:t>).</w:t>
      </w:r>
      <w:r w:rsidR="006915F0">
        <w:rPr>
          <w:bCs w:val="0"/>
          <w:lang w:bidi="en-US"/>
        </w:rPr>
        <w:tab/>
      </w:r>
      <w:r w:rsidR="009A6BE4">
        <w:rPr>
          <w:bCs w:val="0"/>
          <w:lang w:bidi="en-US"/>
        </w:rPr>
        <w:t xml:space="preserve">In two studies, OPC1 injection results in </w:t>
      </w:r>
      <w:r w:rsidR="008C2722">
        <w:rPr>
          <w:bCs w:val="0"/>
          <w:lang w:bidi="en-US"/>
        </w:rPr>
        <w:t>engraftment</w:t>
      </w:r>
      <w:r w:rsidR="009A6BE4">
        <w:rPr>
          <w:bCs w:val="0"/>
          <w:lang w:bidi="en-US"/>
        </w:rPr>
        <w:t xml:space="preserve"> into the lesion site, suppression of parenchymal </w:t>
      </w:r>
      <w:proofErr w:type="spellStart"/>
      <w:r w:rsidR="009A6BE4">
        <w:rPr>
          <w:bCs w:val="0"/>
          <w:lang w:bidi="en-US"/>
        </w:rPr>
        <w:t>cavition</w:t>
      </w:r>
      <w:proofErr w:type="spellEnd"/>
      <w:r w:rsidR="009A6BE4">
        <w:rPr>
          <w:bCs w:val="0"/>
          <w:lang w:bidi="en-US"/>
        </w:rPr>
        <w:t xml:space="preserve"> and increased myelination within the injury site </w:t>
      </w:r>
      <w:r w:rsidR="009A6BE4">
        <w:rPr>
          <w:bCs w:val="0"/>
          <w:lang w:bidi="en-US"/>
        </w:rPr>
        <w:fldChar w:fldCharType="begin"/>
      </w:r>
      <w:r w:rsidR="009A6BE4">
        <w:rPr>
          <w:bCs w:val="0"/>
          <w:lang w:bidi="en-US"/>
        </w:rPr>
        <w:instrText xml:space="preserve"> ADDIN ZOTERO_ITEM CSL_CITATION {"citationID":"Wod1h9t5","properties":{"formattedCitation":"(Manley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9A6BE4">
        <w:rPr>
          <w:bCs w:val="0"/>
          <w:lang w:bidi="en-US"/>
        </w:rPr>
        <w:fldChar w:fldCharType="separate"/>
      </w:r>
      <w:r w:rsidR="009A6BE4">
        <w:rPr>
          <w:bCs w:val="0"/>
          <w:noProof/>
          <w:lang w:bidi="en-US"/>
        </w:rPr>
        <w:t>(Manley et al.)</w:t>
      </w:r>
      <w:r w:rsidR="009A6BE4">
        <w:rPr>
          <w:bCs w:val="0"/>
          <w:lang w:bidi="en-US"/>
        </w:rPr>
        <w:fldChar w:fldCharType="end"/>
      </w:r>
      <w:r w:rsidR="009A6BE4">
        <w:rPr>
          <w:bCs w:val="0"/>
          <w:lang w:bidi="en-US"/>
        </w:rPr>
        <w:t>.</w:t>
      </w:r>
    </w:p>
    <w:p w14:paraId="64742778" w14:textId="5C70791C" w:rsidR="00551058" w:rsidRDefault="00551058" w:rsidP="00551058">
      <w:pPr>
        <w:pStyle w:val="SubsectionTitle"/>
      </w:pPr>
      <w:r>
        <w:t>Validation</w:t>
      </w:r>
    </w:p>
    <w:p w14:paraId="6993CB68" w14:textId="39688E61" w:rsidR="00C17335" w:rsidRDefault="00F36B31" w:rsidP="00C17335">
      <w:pPr>
        <w:pStyle w:val="Body"/>
      </w:pPr>
      <w:proofErr w:type="spellStart"/>
      <w:r>
        <w:t>InVivo</w:t>
      </w:r>
      <w:proofErr w:type="spellEnd"/>
      <w:r>
        <w:t xml:space="preserve"> therapeutics has completed its first clinical trial in 2015, and since then has an on-going </w:t>
      </w:r>
      <w:r w:rsidR="000F0964">
        <w:t xml:space="preserve">second </w:t>
      </w:r>
      <w:r>
        <w:t xml:space="preserve">clinical trial (INSPIRE 2.0). </w:t>
      </w:r>
      <w:r w:rsidR="00BC06BA">
        <w:t xml:space="preserve">In INSPIRE 2.0, </w:t>
      </w:r>
      <w:r w:rsidR="00FE3A1C">
        <w:t>19 patients with nonpenetrating S</w:t>
      </w:r>
      <w:r w:rsidR="000F0964">
        <w:t>C</w:t>
      </w:r>
      <w:r w:rsidR="00FE3A1C">
        <w:t>I with a visible contusion on MRI, AIS A scale, neurological level of injury at T2-T12 underwent NSS implantation.</w:t>
      </w:r>
      <w:r w:rsidR="00A42A22">
        <w:t xml:space="preserve"> These patients were monitored for adverse and adverse device events (AEs and ADEs), </w:t>
      </w:r>
      <w:r w:rsidR="00BC06BA">
        <w:t xml:space="preserve">bowel and bladder functions and they had </w:t>
      </w:r>
      <w:r w:rsidR="00A42A22">
        <w:t xml:space="preserve">follow-up MRIs to assess for presence or not of cyst formation. 7 of 16 had an improvement exceeding historical benchmarks </w:t>
      </w:r>
      <w:r w:rsidR="00C571FE">
        <w:t>(</w:t>
      </w:r>
      <w:r w:rsidR="00A42A22" w:rsidRPr="00A42A22">
        <w:t xml:space="preserve">AIS grade </w:t>
      </w:r>
      <w:r w:rsidR="00C571FE">
        <w:t xml:space="preserve">A to B or C </w:t>
      </w:r>
      <w:r w:rsidR="00A42A22" w:rsidRPr="00A42A22">
        <w:t>at 6 month</w:t>
      </w:r>
      <w:r w:rsidR="00C571FE">
        <w:t xml:space="preserve">). 4 patients had an </w:t>
      </w:r>
      <w:r w:rsidR="00CA3595">
        <w:t xml:space="preserve">improvement in motor score of 1 to 18 point by 24 months. Bowel and bladder functions were improved in all 6 responders. </w:t>
      </w:r>
      <w:r w:rsidR="00E01421">
        <w:t xml:space="preserve">And </w:t>
      </w:r>
      <w:r w:rsidR="00A83D07">
        <w:t xml:space="preserve">finally </w:t>
      </w:r>
      <w:r w:rsidR="00E01421">
        <w:t>no ADEs were reported</w:t>
      </w:r>
      <w:r w:rsidR="00AA4F28">
        <w:t xml:space="preserve"> </w:t>
      </w:r>
      <w:r w:rsidR="00AA4F28">
        <w:fldChar w:fldCharType="begin"/>
      </w:r>
      <w:r w:rsidR="00AA4F28">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fldChar w:fldCharType="separate"/>
      </w:r>
      <w:r w:rsidR="00AA4F28">
        <w:rPr>
          <w:noProof/>
        </w:rPr>
        <w:t>(Kim et al.)</w:t>
      </w:r>
      <w:r w:rsidR="00AA4F28">
        <w:fldChar w:fldCharType="end"/>
      </w:r>
      <w:r w:rsidR="00E01421">
        <w:t>.</w:t>
      </w:r>
      <w:r w:rsidR="00DA0EF0">
        <w:t xml:space="preserve"> In other </w:t>
      </w:r>
      <w:r w:rsidR="00035B28">
        <w:t>NSS implantation was performed in a 25-year-old man with complete loss of sensation below L1 (T11 AIS grade A).</w:t>
      </w:r>
      <w:r w:rsidR="002B2EF8">
        <w:t xml:space="preserve"> 3 months after the surgery, he had sensation at and above L1 dermatomes bilaterally, improved motor function in the hip flexor and strength in the knee extensors. </w:t>
      </w:r>
      <w:r w:rsidR="00D00B74">
        <w:t>6 month follow-up showed no complications and he improved to an L1 AIS grade C</w:t>
      </w:r>
      <w:r w:rsidR="00050175">
        <w:t xml:space="preserve"> </w:t>
      </w:r>
      <w:r w:rsidR="00050175">
        <w:fldChar w:fldCharType="begin"/>
      </w:r>
      <w:r w:rsidR="00050175">
        <w:instrText xml:space="preserve"> ADDIN ZOTERO_ITEM CSL_CITATION {"citationID":"bxnbXl5v","properties":{"formattedCitation":"(Theodore et al.)","plainCitation":"(Theodore et al.)","noteIndex":0},"citationItems":[{"id":4656,"uris":["http://zotero.org/users/7286058/items/LNWTCVPG"],"itemData":{"id":4656,"type":"article-journal","abstract":"BACKGROUND AND IMPORTANCE: A porous bioresorbable polymer scaffold has previously been tested in preclinical animal models of spinal cord contusion injury to promote appositional healing, spare white matter, decrease posttraumatic cysts, and normalize intraparenchymal tissue pressure. This is the first report of its human implantation in a spinal cord injury patient during a pilot study testing the safety and feasibility of this technique (ClinicalTrials.gov Identifier: NCT02138110). CLINICAL PRESENTATION: A 25-year-old man had a T11-12 fracture dislocation sustained in a motocross accident that resulted in a T11 American Spinal Injury Association Impairment Scale (AIS) grade A traumatic spinal cord injury. He was treated with acute surgical decompression and spinal fixation with fusion, and enrolled in the spinal scaffold study. A 2 · 10 mm bioresorbable scaffold was placed in the spinal cord parenchyma at T12. The scaffold was implanted directly into the traumatic cavity within the spinal cord through a dorsal root entry zone myelotomy at the caudal extent of the contused area. By 3 months, his neurological examination improved to an L1 AIS grade C incomplete injury. At 6-month postoperative follow-up, there were no procedural complications or apparent safety issues related to the scaffold implantation. CONCLUSION: Although longer-term follow-up and investigation are required, this case demonstrates that a polymer scaffold can be safely implanted into an acutely contused spinal cord. This is the first human surgical implantation, and future outcomes of other patients in this clinical trial will better elucidate the safety and possible efficacy profile of the scaffold.","container-title":"Neurosurgery","DOI":"10.1227/NEU.0000000000001283","ISSN":"0148-396X","issue":"2","language":"en","page":"E305-E312","source":"DOI.org (Crossref)","title":"First Human Implantation of a Bioresorbable Polymer Scaffold for Acute Traumatic Spinal Cord Injury: A Clinical Pilot Study for Safety and Feasibility","title-short":"First Human Implantation of a Bioresorbable Polymer Scaffold for Acute Traumatic Spinal Cord Injury","URL":"https://journals.lww.com/00006123-201608000-00027","volume":"79","author":[{"family":"Theodore","given":"Nicholas"},{"family":"Hlubek","given":"Randall"},{"family":"Danielson","given":"Jill"},{"family":"Neff","given":"Kristin"},{"family":"Vaickus","given":"Lou"},{"family":"Ulich","given":"Thomas R."},{"family":"Ropper","given":"Alexander E."}],"accessed":{"date-parts":[["2022",10,24]]},"issued":{"date-parts":[["2016",8]]}}}],"schema":"https://github.com/citation-style-language/schema/raw/master/csl-citation.json"} </w:instrText>
      </w:r>
      <w:r w:rsidR="00050175">
        <w:fldChar w:fldCharType="separate"/>
      </w:r>
      <w:r w:rsidR="00050175">
        <w:rPr>
          <w:noProof/>
        </w:rPr>
        <w:t>(Theodore et al.)</w:t>
      </w:r>
      <w:r w:rsidR="00050175">
        <w:fldChar w:fldCharType="end"/>
      </w:r>
      <w:r w:rsidR="00D00B74">
        <w:t>.</w:t>
      </w:r>
    </w:p>
    <w:p w14:paraId="12715F15" w14:textId="7B2AF39B" w:rsidR="00A42A22" w:rsidRDefault="00A42A22" w:rsidP="00C17335">
      <w:pPr>
        <w:pStyle w:val="Body"/>
      </w:pPr>
    </w:p>
    <w:p w14:paraId="39D06F61" w14:textId="2CB82A22" w:rsidR="00050175" w:rsidRPr="008C2722" w:rsidRDefault="008C2722" w:rsidP="00C17335">
      <w:pPr>
        <w:pStyle w:val="Body"/>
      </w:pPr>
      <w:r>
        <w:t xml:space="preserve">Lineage therapeutic have completed 2 clinical trials. In the most recent (Phase 1/2a dose escalation trial), </w:t>
      </w:r>
      <w:r w:rsidR="00E43D6C">
        <w:t xml:space="preserve">25 </w:t>
      </w:r>
      <w:r>
        <w:t>patient</w:t>
      </w:r>
      <w:r w:rsidR="00E43D6C">
        <w:t>s with C4-7 AIS grade A or B,</w:t>
      </w:r>
      <w:r>
        <w:t xml:space="preserve"> received different dose</w:t>
      </w:r>
      <w:r w:rsidR="00E2311B">
        <w:t>s</w:t>
      </w:r>
      <w:r>
        <w:t xml:space="preserve"> of OPC1 (2 x 10</w:t>
      </w:r>
      <w:r w:rsidRPr="008C2722">
        <w:rPr>
          <w:vertAlign w:val="superscript"/>
        </w:rPr>
        <w:t>6</w:t>
      </w:r>
      <w:r>
        <w:t>, 1 x 10</w:t>
      </w:r>
      <w:r>
        <w:rPr>
          <w:vertAlign w:val="superscript"/>
        </w:rPr>
        <w:t xml:space="preserve">7 </w:t>
      </w:r>
      <w:r w:rsidRPr="008C2722">
        <w:t xml:space="preserve">or </w:t>
      </w:r>
      <w:r>
        <w:t>2 x 10</w:t>
      </w:r>
      <w:r>
        <w:rPr>
          <w:vertAlign w:val="superscript"/>
        </w:rPr>
        <w:t>7</w:t>
      </w:r>
      <w:r>
        <w:t>).</w:t>
      </w:r>
      <w:r w:rsidR="00631AC2">
        <w:t xml:space="preserve"> </w:t>
      </w:r>
      <w:r w:rsidR="00E43D6C">
        <w:t xml:space="preserve">These </w:t>
      </w:r>
      <w:r w:rsidR="00631AC2">
        <w:t>At -year follow-up, 21/22 (96%) and 7/22 (32%), recovered 2 or more levels of neurological function on at least one</w:t>
      </w:r>
      <w:r w:rsidR="00E2311B">
        <w:t xml:space="preserve"> s</w:t>
      </w:r>
      <w:r w:rsidR="00631AC2">
        <w:t>ide of their body.</w:t>
      </w:r>
      <w:r w:rsidR="00E2311B">
        <w:t xml:space="preserve"> The </w:t>
      </w:r>
      <w:r w:rsidR="007734E1">
        <w:t xml:space="preserve">only </w:t>
      </w:r>
      <w:r w:rsidR="00E2311B">
        <w:t>AEs reported</w:t>
      </w:r>
      <w:r w:rsidR="007734E1">
        <w:t xml:space="preserve"> such as urinary tract infections, muscle spasms, or neuropathic pain are commonly reported SCI complications, none of SAEs were related to OPC1.</w:t>
      </w:r>
    </w:p>
    <w:p w14:paraId="2A476436" w14:textId="4997C3AC" w:rsidR="0043376A" w:rsidRDefault="0043376A" w:rsidP="00C17335">
      <w:pPr>
        <w:pStyle w:val="Body"/>
      </w:pPr>
    </w:p>
    <w:p w14:paraId="5E3A8389" w14:textId="77777777" w:rsidR="002A6692" w:rsidRDefault="002A6692" w:rsidP="00C17335">
      <w:pPr>
        <w:pStyle w:val="Body"/>
      </w:pPr>
    </w:p>
    <w:p w14:paraId="6CB2585A" w14:textId="10F46E88" w:rsidR="009A6BE4" w:rsidRDefault="009A6BE4" w:rsidP="00C17335">
      <w:pPr>
        <w:pStyle w:val="Body"/>
      </w:pPr>
    </w:p>
    <w:p w14:paraId="0C41185F" w14:textId="3850BA7F" w:rsidR="009A6BE4" w:rsidRDefault="009A6BE4" w:rsidP="00C17335">
      <w:pPr>
        <w:pStyle w:val="Body"/>
      </w:pPr>
    </w:p>
    <w:p w14:paraId="0C0F66A4" w14:textId="45E16683" w:rsidR="009A6BE4" w:rsidRDefault="009A6BE4" w:rsidP="00C17335">
      <w:pPr>
        <w:pStyle w:val="Body"/>
      </w:pPr>
    </w:p>
    <w:p w14:paraId="73268D9F" w14:textId="29140B64" w:rsidR="009A6BE4" w:rsidRDefault="009A6BE4" w:rsidP="00C17335">
      <w:pPr>
        <w:pStyle w:val="Body"/>
      </w:pPr>
    </w:p>
    <w:p w14:paraId="0105D446" w14:textId="57AD25D8" w:rsidR="009A6BE4" w:rsidRDefault="009A6BE4" w:rsidP="00C17335">
      <w:pPr>
        <w:pStyle w:val="Body"/>
      </w:pPr>
    </w:p>
    <w:p w14:paraId="2891B3F3" w14:textId="78B14678" w:rsidR="009A6BE4" w:rsidRDefault="009A6BE4" w:rsidP="00C17335">
      <w:pPr>
        <w:pStyle w:val="Body"/>
      </w:pPr>
    </w:p>
    <w:p w14:paraId="43E95797" w14:textId="69D20835" w:rsidR="009A6BE4" w:rsidRDefault="009A6BE4" w:rsidP="00C17335">
      <w:pPr>
        <w:pStyle w:val="Body"/>
      </w:pPr>
    </w:p>
    <w:p w14:paraId="3991B69E" w14:textId="26178B50" w:rsidR="009A6BE4" w:rsidRDefault="009A6BE4" w:rsidP="00C17335">
      <w:pPr>
        <w:pStyle w:val="Body"/>
      </w:pPr>
    </w:p>
    <w:p w14:paraId="70485393" w14:textId="21BB349A" w:rsidR="009A6BE4" w:rsidRDefault="009A6BE4" w:rsidP="00C17335">
      <w:pPr>
        <w:pStyle w:val="Body"/>
      </w:pPr>
    </w:p>
    <w:p w14:paraId="25DDB7B6" w14:textId="45DD8AB2" w:rsidR="009A6BE4" w:rsidRDefault="009A6BE4" w:rsidP="00C17335">
      <w:pPr>
        <w:pStyle w:val="Body"/>
      </w:pPr>
    </w:p>
    <w:p w14:paraId="5F1EB6BD" w14:textId="385555F7" w:rsidR="009A6BE4" w:rsidRDefault="009A6BE4" w:rsidP="00C17335">
      <w:pPr>
        <w:pStyle w:val="Body"/>
      </w:pPr>
    </w:p>
    <w:p w14:paraId="3CCFAE63" w14:textId="0661D4A6" w:rsidR="009A6BE4" w:rsidRDefault="009A6BE4" w:rsidP="00C17335">
      <w:pPr>
        <w:pStyle w:val="Body"/>
      </w:pPr>
    </w:p>
    <w:p w14:paraId="72279F1F" w14:textId="751058A7" w:rsidR="009A6BE4" w:rsidRDefault="009A6BE4" w:rsidP="00C17335">
      <w:pPr>
        <w:pStyle w:val="Body"/>
      </w:pPr>
    </w:p>
    <w:p w14:paraId="0F25EA32" w14:textId="3C962674" w:rsidR="009A6BE4" w:rsidRDefault="009A6BE4" w:rsidP="00C17335">
      <w:pPr>
        <w:pStyle w:val="Body"/>
      </w:pPr>
    </w:p>
    <w:p w14:paraId="674E0302" w14:textId="36D65FE2" w:rsidR="009A6BE4" w:rsidRDefault="009A6BE4" w:rsidP="00C17335">
      <w:pPr>
        <w:pStyle w:val="Body"/>
      </w:pPr>
    </w:p>
    <w:p w14:paraId="59293A1D" w14:textId="1DA762A6" w:rsidR="009A6BE4" w:rsidRDefault="009A6BE4" w:rsidP="00C17335">
      <w:pPr>
        <w:pStyle w:val="Body"/>
      </w:pPr>
    </w:p>
    <w:p w14:paraId="3980344D" w14:textId="06633815" w:rsidR="009A6BE4" w:rsidRDefault="009A6BE4" w:rsidP="00C17335">
      <w:pPr>
        <w:pStyle w:val="Body"/>
      </w:pPr>
    </w:p>
    <w:p w14:paraId="276B2365" w14:textId="5439A225" w:rsidR="009A6BE4" w:rsidRDefault="009A6BE4" w:rsidP="00C17335">
      <w:pPr>
        <w:pStyle w:val="Body"/>
      </w:pPr>
    </w:p>
    <w:p w14:paraId="420E5815" w14:textId="77777777" w:rsidR="009A6BE4" w:rsidRDefault="009A6BE4"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2CEFF021" w14:textId="77777777" w:rsidR="00696CC5" w:rsidRPr="00696CC5" w:rsidRDefault="006C65A9" w:rsidP="00696CC5">
      <w:pPr>
        <w:pStyle w:val="Bibliography"/>
        <w:rPr>
          <w:rFonts w:cs="Tahoma"/>
        </w:rPr>
      </w:pPr>
      <w:r>
        <w:fldChar w:fldCharType="begin"/>
      </w:r>
      <w:r w:rsidR="00696CC5">
        <w:instrText xml:space="preserve"> ADDIN ZOTERO_BIBL {"uncited":[],"omitted":[],"custom":[]} CSL_BIBLIOGRAPHY </w:instrText>
      </w:r>
      <w:r>
        <w:fldChar w:fldCharType="separate"/>
      </w:r>
      <w:r w:rsidR="00696CC5" w:rsidRPr="00696CC5">
        <w:rPr>
          <w:rFonts w:cs="Tahoma"/>
        </w:rPr>
        <w:t xml:space="preserve">Anderson, James M., et al. “Foreign Body Reaction to Biomaterials.” </w:t>
      </w:r>
      <w:r w:rsidR="00696CC5" w:rsidRPr="00696CC5">
        <w:rPr>
          <w:rFonts w:cs="Tahoma"/>
          <w:i/>
          <w:iCs/>
        </w:rPr>
        <w:t>Seminars in Immunology</w:t>
      </w:r>
      <w:r w:rsidR="00696CC5" w:rsidRPr="00696CC5">
        <w:rPr>
          <w:rFonts w:cs="Tahoma"/>
        </w:rPr>
        <w:t xml:space="preserve">, vol. 20, no. 2, Apr. 2008, pp. 86–100. </w:t>
      </w:r>
      <w:r w:rsidR="00696CC5" w:rsidRPr="00696CC5">
        <w:rPr>
          <w:rFonts w:cs="Tahoma"/>
          <w:i/>
          <w:iCs/>
        </w:rPr>
        <w:t>DOI.org (Crossref)</w:t>
      </w:r>
      <w:r w:rsidR="00696CC5" w:rsidRPr="00696CC5">
        <w:rPr>
          <w:rFonts w:cs="Tahoma"/>
        </w:rPr>
        <w:t>, https://doi.org/10.1016/j.smim.2007.11.004.</w:t>
      </w:r>
    </w:p>
    <w:p w14:paraId="0BDBF53D" w14:textId="77777777" w:rsidR="00696CC5" w:rsidRPr="00696CC5" w:rsidRDefault="00696CC5" w:rsidP="00696CC5">
      <w:pPr>
        <w:pStyle w:val="Bibliography"/>
        <w:rPr>
          <w:rFonts w:cs="Tahoma"/>
        </w:rPr>
      </w:pPr>
      <w:r w:rsidRPr="00696CC5">
        <w:rPr>
          <w:rFonts w:cs="Tahoma"/>
        </w:rPr>
        <w:t xml:space="preserve">Badner, Anna, et al. “Spinal Cord Injuries: How Could Cell Therapy Help?” </w:t>
      </w:r>
      <w:r w:rsidRPr="00696CC5">
        <w:rPr>
          <w:rFonts w:cs="Tahoma"/>
          <w:i/>
          <w:iCs/>
        </w:rPr>
        <w:t>Expert Opinion on Biological Therapy</w:t>
      </w:r>
      <w:r w:rsidRPr="00696CC5">
        <w:rPr>
          <w:rFonts w:cs="Tahoma"/>
        </w:rPr>
        <w:t xml:space="preserve">, vol. 17, no. 5, May 2017, pp. 529–41. </w:t>
      </w:r>
      <w:r w:rsidRPr="00696CC5">
        <w:rPr>
          <w:rFonts w:cs="Tahoma"/>
          <w:i/>
          <w:iCs/>
        </w:rPr>
        <w:t>DOI.org (Crossref)</w:t>
      </w:r>
      <w:r w:rsidRPr="00696CC5">
        <w:rPr>
          <w:rFonts w:cs="Tahoma"/>
        </w:rPr>
        <w:t>, https://doi.org/10.1080/14712598.2017.1308481.</w:t>
      </w:r>
    </w:p>
    <w:p w14:paraId="105BD112" w14:textId="77777777" w:rsidR="00696CC5" w:rsidRPr="00696CC5" w:rsidRDefault="00696CC5" w:rsidP="00696CC5">
      <w:pPr>
        <w:pStyle w:val="Bibliography"/>
        <w:rPr>
          <w:rFonts w:cs="Tahoma"/>
        </w:rPr>
      </w:pPr>
      <w:r w:rsidRPr="00696CC5">
        <w:rPr>
          <w:rFonts w:cs="Tahoma"/>
        </w:rPr>
        <w:t xml:space="preserve">Chen, Wugui, et al. “NeuroRegen Scaffolds Combined with Autologous Bone Marrow Mononuclear Cells for the Repair of Acute Complete Spinal Cord Injury: A 3-Year Clinical Study.” </w:t>
      </w:r>
      <w:r w:rsidRPr="00696CC5">
        <w:rPr>
          <w:rFonts w:cs="Tahoma"/>
          <w:i/>
          <w:iCs/>
        </w:rPr>
        <w:t>Cell Transplantation</w:t>
      </w:r>
      <w:r w:rsidRPr="00696CC5">
        <w:rPr>
          <w:rFonts w:cs="Tahoma"/>
        </w:rPr>
        <w:t xml:space="preserve">, vol. 29, Jan. 2020, p. 096368972095063. </w:t>
      </w:r>
      <w:r w:rsidRPr="00696CC5">
        <w:rPr>
          <w:rFonts w:cs="Tahoma"/>
          <w:i/>
          <w:iCs/>
        </w:rPr>
        <w:t>DOI.org (Crossref)</w:t>
      </w:r>
      <w:r w:rsidRPr="00696CC5">
        <w:rPr>
          <w:rFonts w:cs="Tahoma"/>
        </w:rPr>
        <w:t>, https://doi.org/10.1177/0963689720950637.</w:t>
      </w:r>
    </w:p>
    <w:p w14:paraId="2D7063F3" w14:textId="77777777" w:rsidR="00696CC5" w:rsidRPr="00696CC5" w:rsidRDefault="00696CC5" w:rsidP="00696CC5">
      <w:pPr>
        <w:pStyle w:val="Bibliography"/>
        <w:rPr>
          <w:rFonts w:cs="Tahoma"/>
        </w:rPr>
      </w:pPr>
      <w:r w:rsidRPr="00696CC5">
        <w:rPr>
          <w:rFonts w:cs="Tahoma"/>
        </w:rPr>
        <w:t xml:space="preserve">Cheng, Xiaoxin, et al. “Apolipoprotein E as a Novel Therapeutic Neuroprotection Target after Traumatic Spinal Cord Injury.” </w:t>
      </w:r>
      <w:r w:rsidRPr="00696CC5">
        <w:rPr>
          <w:rFonts w:cs="Tahoma"/>
          <w:i/>
          <w:iCs/>
        </w:rPr>
        <w:t>Experimental Neurology</w:t>
      </w:r>
      <w:r w:rsidRPr="00696CC5">
        <w:rPr>
          <w:rFonts w:cs="Tahoma"/>
        </w:rPr>
        <w:t xml:space="preserve">, vol. 299, Jan. 2018, pp. 97–108. </w:t>
      </w:r>
      <w:r w:rsidRPr="00696CC5">
        <w:rPr>
          <w:rFonts w:cs="Tahoma"/>
          <w:i/>
          <w:iCs/>
        </w:rPr>
        <w:t>DOI.org (Crossref)</w:t>
      </w:r>
      <w:r w:rsidRPr="00696CC5">
        <w:rPr>
          <w:rFonts w:cs="Tahoma"/>
        </w:rPr>
        <w:t>, https://doi.org/10.1016/j.expneurol.2017.10.014.</w:t>
      </w:r>
    </w:p>
    <w:p w14:paraId="4BB734E6" w14:textId="77777777" w:rsidR="00696CC5" w:rsidRPr="00696CC5" w:rsidRDefault="00696CC5" w:rsidP="00696CC5">
      <w:pPr>
        <w:pStyle w:val="Bibliography"/>
        <w:rPr>
          <w:rFonts w:cs="Tahoma"/>
        </w:rPr>
      </w:pPr>
      <w:r w:rsidRPr="00696CC5">
        <w:rPr>
          <w:rFonts w:cs="Tahoma"/>
        </w:rPr>
        <w:t xml:space="preserve">Desai, Jyaysi, et al. “Molecular Pathophysiology of Gout.” </w:t>
      </w:r>
      <w:r w:rsidRPr="00696CC5">
        <w:rPr>
          <w:rFonts w:cs="Tahoma"/>
          <w:i/>
          <w:iCs/>
        </w:rPr>
        <w:t>Trends in Molecular Medicine</w:t>
      </w:r>
      <w:r w:rsidRPr="00696CC5">
        <w:rPr>
          <w:rFonts w:cs="Tahoma"/>
        </w:rPr>
        <w:t xml:space="preserve">, vol. 23, no. 8, Aug. 2017, pp. 756–68. </w:t>
      </w:r>
      <w:r w:rsidRPr="00696CC5">
        <w:rPr>
          <w:rFonts w:cs="Tahoma"/>
          <w:i/>
          <w:iCs/>
        </w:rPr>
        <w:t>DOI.org (Crossref)</w:t>
      </w:r>
      <w:r w:rsidRPr="00696CC5">
        <w:rPr>
          <w:rFonts w:cs="Tahoma"/>
        </w:rPr>
        <w:t>, https://doi.org/10.1016/j.molmed.2017.06.005.</w:t>
      </w:r>
    </w:p>
    <w:p w14:paraId="4E752A4E" w14:textId="77777777" w:rsidR="00696CC5" w:rsidRPr="00696CC5" w:rsidRDefault="00696CC5" w:rsidP="00696CC5">
      <w:pPr>
        <w:pStyle w:val="Bibliography"/>
        <w:rPr>
          <w:rFonts w:cs="Tahoma"/>
        </w:rPr>
      </w:pPr>
      <w:r w:rsidRPr="00696CC5">
        <w:rPr>
          <w:rFonts w:cs="Tahoma"/>
        </w:rPr>
        <w:t xml:space="preserve">Dobkin, B., et al. “Weight-Supported Treadmill vs over-Ground Training for Walking after Acute Incomplete SCI.” </w:t>
      </w:r>
      <w:r w:rsidRPr="00696CC5">
        <w:rPr>
          <w:rFonts w:cs="Tahoma"/>
          <w:i/>
          <w:iCs/>
        </w:rPr>
        <w:t>Neurology</w:t>
      </w:r>
      <w:r w:rsidRPr="00696CC5">
        <w:rPr>
          <w:rFonts w:cs="Tahoma"/>
        </w:rPr>
        <w:t xml:space="preserve">, vol. 66, no. 4, Feb. 2006, pp. 484–93. </w:t>
      </w:r>
      <w:r w:rsidRPr="00696CC5">
        <w:rPr>
          <w:rFonts w:cs="Tahoma"/>
          <w:i/>
          <w:iCs/>
        </w:rPr>
        <w:t>PubMed Central</w:t>
      </w:r>
      <w:r w:rsidRPr="00696CC5">
        <w:rPr>
          <w:rFonts w:cs="Tahoma"/>
        </w:rPr>
        <w:t>, https://doi.org/10.1212/01.wnl.0000202600.72018.39.</w:t>
      </w:r>
    </w:p>
    <w:p w14:paraId="7FE4C880" w14:textId="77777777" w:rsidR="00696CC5" w:rsidRPr="00696CC5" w:rsidRDefault="00696CC5" w:rsidP="00696CC5">
      <w:pPr>
        <w:pStyle w:val="Bibliography"/>
        <w:rPr>
          <w:rFonts w:cs="Tahoma"/>
        </w:rPr>
      </w:pPr>
      <w:r w:rsidRPr="00696CC5">
        <w:rPr>
          <w:rFonts w:cs="Tahoma"/>
        </w:rPr>
        <w:t xml:space="preserve">Dukes, Ellen M., et al. “Relationship of American Spinal Injury Association Impairment Scale Grade to Post-Injury Hospitalization and Costs in Thoracic Spinal Cord Injury.” </w:t>
      </w:r>
      <w:r w:rsidRPr="00696CC5">
        <w:rPr>
          <w:rFonts w:cs="Tahoma"/>
          <w:i/>
          <w:iCs/>
        </w:rPr>
        <w:lastRenderedPageBreak/>
        <w:t>Neurosurgery</w:t>
      </w:r>
      <w:r w:rsidRPr="00696CC5">
        <w:rPr>
          <w:rFonts w:cs="Tahoma"/>
        </w:rPr>
        <w:t xml:space="preserve">, vol. 83, no. 3, Sept. 2018, pp. 445–51. </w:t>
      </w:r>
      <w:r w:rsidRPr="00696CC5">
        <w:rPr>
          <w:rFonts w:cs="Tahoma"/>
          <w:i/>
          <w:iCs/>
        </w:rPr>
        <w:t>PubMed Central</w:t>
      </w:r>
      <w:r w:rsidRPr="00696CC5">
        <w:rPr>
          <w:rFonts w:cs="Tahoma"/>
        </w:rPr>
        <w:t>, https://doi.org/10.1093/neuros/nyx425.</w:t>
      </w:r>
    </w:p>
    <w:p w14:paraId="06ECD25C" w14:textId="77777777" w:rsidR="00696CC5" w:rsidRPr="00696CC5" w:rsidRDefault="00696CC5" w:rsidP="00696CC5">
      <w:pPr>
        <w:pStyle w:val="Bibliography"/>
        <w:rPr>
          <w:rFonts w:cs="Tahoma"/>
        </w:rPr>
      </w:pPr>
      <w:r w:rsidRPr="00696CC5">
        <w:rPr>
          <w:rFonts w:cs="Tahoma"/>
        </w:rPr>
        <w:t xml:space="preserve">Epstein, Nancy E. “Cerebrospinal Fluid Drains Reduce Risk of Spinal Cord Injury for Thoracic/Thoracoabdominal Aneurysm Surgery: A Review.” </w:t>
      </w:r>
      <w:r w:rsidRPr="00696CC5">
        <w:rPr>
          <w:rFonts w:cs="Tahoma"/>
          <w:i/>
          <w:iCs/>
        </w:rPr>
        <w:t>Surgical Neurology International</w:t>
      </w:r>
      <w:r w:rsidRPr="00696CC5">
        <w:rPr>
          <w:rFonts w:cs="Tahoma"/>
        </w:rPr>
        <w:t xml:space="preserve">, vol. 9, Feb. 2018, p. 48. </w:t>
      </w:r>
      <w:r w:rsidRPr="00696CC5">
        <w:rPr>
          <w:rFonts w:cs="Tahoma"/>
          <w:i/>
          <w:iCs/>
        </w:rPr>
        <w:t>PubMed Central</w:t>
      </w:r>
      <w:r w:rsidRPr="00696CC5">
        <w:rPr>
          <w:rFonts w:cs="Tahoma"/>
        </w:rPr>
        <w:t>, https://doi.org/10.4103/sni.sni_433_17.</w:t>
      </w:r>
    </w:p>
    <w:p w14:paraId="464ED0A3" w14:textId="77777777" w:rsidR="00696CC5" w:rsidRPr="00696CC5" w:rsidRDefault="00696CC5" w:rsidP="00696CC5">
      <w:pPr>
        <w:pStyle w:val="Bibliography"/>
        <w:rPr>
          <w:rFonts w:cs="Tahoma"/>
        </w:rPr>
      </w:pPr>
      <w:r w:rsidRPr="00696CC5">
        <w:rPr>
          <w:rFonts w:cs="Tahoma"/>
        </w:rPr>
        <w:t xml:space="preserve">Fehlings, Michael G., et al. “A Clinical Practice Guideline for the Management of Patients With Acute Spinal Cord Injury: Recommendations on the Use of Methylprednisolone Sodium Succinate.” </w:t>
      </w:r>
      <w:r w:rsidRPr="00696CC5">
        <w:rPr>
          <w:rFonts w:cs="Tahoma"/>
          <w:i/>
          <w:iCs/>
        </w:rPr>
        <w:t>Global Spine Journal</w:t>
      </w:r>
      <w:r w:rsidRPr="00696CC5">
        <w:rPr>
          <w:rFonts w:cs="Tahoma"/>
        </w:rPr>
        <w:t xml:space="preserve">, vol. 7, no. 3 Suppl, Sept. 2017, pp. 203S-211S. </w:t>
      </w:r>
      <w:r w:rsidRPr="00696CC5">
        <w:rPr>
          <w:rFonts w:cs="Tahoma"/>
          <w:i/>
          <w:iCs/>
        </w:rPr>
        <w:t>PubMed Central</w:t>
      </w:r>
      <w:r w:rsidRPr="00696CC5">
        <w:rPr>
          <w:rFonts w:cs="Tahoma"/>
        </w:rPr>
        <w:t>, https://doi.org/10.1177/2192568217703085.</w:t>
      </w:r>
    </w:p>
    <w:p w14:paraId="58A6E66A" w14:textId="77777777" w:rsidR="00696CC5" w:rsidRPr="00696CC5" w:rsidRDefault="00696CC5" w:rsidP="00696CC5">
      <w:pPr>
        <w:pStyle w:val="Bibliography"/>
        <w:rPr>
          <w:rFonts w:cs="Tahoma"/>
        </w:rPr>
      </w:pPr>
      <w:r w:rsidRPr="00696CC5">
        <w:rPr>
          <w:rFonts w:cs="Tahoma"/>
        </w:rPr>
        <w:t xml:space="preserve">Guest, James D., et al. “Internal Decompression of the Acutely Contused Spinal Cord: Differential Effects of Irrigation Only versus Biodegradable Scaffold Implantation.” </w:t>
      </w:r>
      <w:r w:rsidRPr="00696CC5">
        <w:rPr>
          <w:rFonts w:cs="Tahoma"/>
          <w:i/>
          <w:iCs/>
        </w:rPr>
        <w:t>Biomaterials</w:t>
      </w:r>
      <w:r w:rsidRPr="00696CC5">
        <w:rPr>
          <w:rFonts w:cs="Tahoma"/>
        </w:rPr>
        <w:t xml:space="preserve">, vol. 185, Dec. 2018, pp. 284–300. </w:t>
      </w:r>
      <w:r w:rsidRPr="00696CC5">
        <w:rPr>
          <w:rFonts w:cs="Tahoma"/>
          <w:i/>
          <w:iCs/>
        </w:rPr>
        <w:t>DOI.org (Crossref)</w:t>
      </w:r>
      <w:r w:rsidRPr="00696CC5">
        <w:rPr>
          <w:rFonts w:cs="Tahoma"/>
        </w:rPr>
        <w:t>, https://doi.org/10.1016/j.biomaterials.2018.09.025.</w:t>
      </w:r>
    </w:p>
    <w:p w14:paraId="15E24B40" w14:textId="77777777" w:rsidR="00696CC5" w:rsidRPr="00696CC5" w:rsidRDefault="00696CC5" w:rsidP="00696CC5">
      <w:pPr>
        <w:pStyle w:val="Bibliography"/>
        <w:rPr>
          <w:rFonts w:cs="Tahoma"/>
        </w:rPr>
      </w:pPr>
      <w:r w:rsidRPr="00696CC5">
        <w:rPr>
          <w:rFonts w:cs="Tahoma"/>
        </w:rPr>
        <w:t xml:space="preserve">Jain, Nitin B., et al. “Traumatic Spinal Cord Injury in the United States, 1993–2012.” </w:t>
      </w:r>
      <w:r w:rsidRPr="00696CC5">
        <w:rPr>
          <w:rFonts w:cs="Tahoma"/>
          <w:i/>
          <w:iCs/>
        </w:rPr>
        <w:t>JAMA</w:t>
      </w:r>
      <w:r w:rsidRPr="00696CC5">
        <w:rPr>
          <w:rFonts w:cs="Tahoma"/>
        </w:rPr>
        <w:t xml:space="preserve">, vol. 313, no. 22, June 2015, pp. 2236–43. </w:t>
      </w:r>
      <w:r w:rsidRPr="00696CC5">
        <w:rPr>
          <w:rFonts w:cs="Tahoma"/>
          <w:i/>
          <w:iCs/>
        </w:rPr>
        <w:t>PubMed Central</w:t>
      </w:r>
      <w:r w:rsidRPr="00696CC5">
        <w:rPr>
          <w:rFonts w:cs="Tahoma"/>
        </w:rPr>
        <w:t>, https://doi.org/10.1001/jama.2015.6250.</w:t>
      </w:r>
    </w:p>
    <w:p w14:paraId="256D8874" w14:textId="77777777" w:rsidR="00696CC5" w:rsidRPr="00696CC5" w:rsidRDefault="00696CC5" w:rsidP="00696CC5">
      <w:pPr>
        <w:pStyle w:val="Bibliography"/>
        <w:rPr>
          <w:rFonts w:cs="Tahoma"/>
        </w:rPr>
      </w:pPr>
      <w:r w:rsidRPr="00696CC5">
        <w:rPr>
          <w:rFonts w:cs="Tahoma"/>
        </w:rPr>
        <w:t xml:space="preserve">Kaneva, Anastasiya M., et al. “Plasma Levels of Apolipoprotein-E in Residents of the European North of Russia.” </w:t>
      </w:r>
      <w:r w:rsidRPr="00696CC5">
        <w:rPr>
          <w:rFonts w:cs="Tahoma"/>
          <w:i/>
          <w:iCs/>
        </w:rPr>
        <w:t>Lipids in Health and Disease</w:t>
      </w:r>
      <w:r w:rsidRPr="00696CC5">
        <w:rPr>
          <w:rFonts w:cs="Tahoma"/>
        </w:rPr>
        <w:t xml:space="preserve">, vol. 12, no. 1, Dec. 2013, p. 43. </w:t>
      </w:r>
      <w:r w:rsidRPr="00696CC5">
        <w:rPr>
          <w:rFonts w:cs="Tahoma"/>
          <w:i/>
          <w:iCs/>
        </w:rPr>
        <w:t>DOI.org (Crossref)</w:t>
      </w:r>
      <w:r w:rsidRPr="00696CC5">
        <w:rPr>
          <w:rFonts w:cs="Tahoma"/>
        </w:rPr>
        <w:t>, https://doi.org/10.1186/1476-511X-12-43.</w:t>
      </w:r>
    </w:p>
    <w:p w14:paraId="76189870" w14:textId="77777777" w:rsidR="00696CC5" w:rsidRPr="00696CC5" w:rsidRDefault="00696CC5" w:rsidP="00696CC5">
      <w:pPr>
        <w:pStyle w:val="Bibliography"/>
        <w:rPr>
          <w:rFonts w:cs="Tahoma"/>
        </w:rPr>
      </w:pPr>
      <w:r w:rsidRPr="00696CC5">
        <w:rPr>
          <w:rFonts w:cs="Tahoma"/>
        </w:rPr>
        <w:t xml:space="preserve">Kim, Kee D., et al. “Acute Implantation of a Bioresorbable Polymer Scaffold in Patients With Complete Thoracic Spinal Cord Injury: 24-Month Follow-up From the INSPIRE Study.” </w:t>
      </w:r>
      <w:r w:rsidRPr="00696CC5">
        <w:rPr>
          <w:rFonts w:cs="Tahoma"/>
          <w:i/>
          <w:iCs/>
        </w:rPr>
        <w:lastRenderedPageBreak/>
        <w:t>Neurosurgery</w:t>
      </w:r>
      <w:r w:rsidRPr="00696CC5">
        <w:rPr>
          <w:rFonts w:cs="Tahoma"/>
        </w:rPr>
        <w:t xml:space="preserve">, vol. 90, no. 6, June 2022, pp. 668–75. </w:t>
      </w:r>
      <w:r w:rsidRPr="00696CC5">
        <w:rPr>
          <w:rFonts w:cs="Tahoma"/>
          <w:i/>
          <w:iCs/>
        </w:rPr>
        <w:t>PubMed Central</w:t>
      </w:r>
      <w:r w:rsidRPr="00696CC5">
        <w:rPr>
          <w:rFonts w:cs="Tahoma"/>
        </w:rPr>
        <w:t>, https://doi.org/10.1227/neu.0000000000001932.</w:t>
      </w:r>
    </w:p>
    <w:p w14:paraId="289CF9C6" w14:textId="77777777" w:rsidR="00696CC5" w:rsidRPr="00696CC5" w:rsidRDefault="00696CC5" w:rsidP="00696CC5">
      <w:pPr>
        <w:pStyle w:val="Bibliography"/>
        <w:rPr>
          <w:rFonts w:cs="Tahoma"/>
        </w:rPr>
      </w:pPr>
      <w:r w:rsidRPr="00696CC5">
        <w:rPr>
          <w:rFonts w:cs="Tahoma"/>
        </w:rPr>
        <w:t xml:space="preserve">Lee, Byung-Jou, and Je Hoon Jeong. “Review: Steroid Use in Patients With Acute Spinal Cord Injury and Guideline Update.” </w:t>
      </w:r>
      <w:r w:rsidRPr="00696CC5">
        <w:rPr>
          <w:rFonts w:cs="Tahoma"/>
          <w:i/>
          <w:iCs/>
        </w:rPr>
        <w:t>Korean Journal of Neurotrauma</w:t>
      </w:r>
      <w:r w:rsidRPr="00696CC5">
        <w:rPr>
          <w:rFonts w:cs="Tahoma"/>
        </w:rPr>
        <w:t xml:space="preserve">, vol. 18, no. 1, 2022, p. 22. </w:t>
      </w:r>
      <w:r w:rsidRPr="00696CC5">
        <w:rPr>
          <w:rFonts w:cs="Tahoma"/>
          <w:i/>
          <w:iCs/>
        </w:rPr>
        <w:t>DOI.org (Crossref)</w:t>
      </w:r>
      <w:r w:rsidRPr="00696CC5">
        <w:rPr>
          <w:rFonts w:cs="Tahoma"/>
        </w:rPr>
        <w:t>, https://doi.org/10.13004/kjnt.2022.18.e21.</w:t>
      </w:r>
    </w:p>
    <w:p w14:paraId="2926E8CA" w14:textId="77777777" w:rsidR="00696CC5" w:rsidRPr="00696CC5" w:rsidRDefault="00696CC5" w:rsidP="00696CC5">
      <w:pPr>
        <w:pStyle w:val="Bibliography"/>
        <w:rPr>
          <w:rFonts w:cs="Tahoma"/>
        </w:rPr>
      </w:pPr>
      <w:r w:rsidRPr="00696CC5">
        <w:rPr>
          <w:rFonts w:cs="Tahoma"/>
        </w:rPr>
        <w:t xml:space="preserve">Manley, Nathan C., et al. “Human Embryonic Stem Cell-Derived Oligodendrocyte Progenitor Cells: Preclinical Efficacy and Safety in Cervical Spinal Cord Injury.” </w:t>
      </w:r>
      <w:r w:rsidRPr="00696CC5">
        <w:rPr>
          <w:rFonts w:cs="Tahoma"/>
          <w:i/>
          <w:iCs/>
        </w:rPr>
        <w:t>Stem Cells Translational Medicine</w:t>
      </w:r>
      <w:r w:rsidRPr="00696CC5">
        <w:rPr>
          <w:rFonts w:cs="Tahoma"/>
        </w:rPr>
        <w:t xml:space="preserve">, vol. 6, no. 10, Oct. 2017, pp. 1917–29. </w:t>
      </w:r>
      <w:r w:rsidRPr="00696CC5">
        <w:rPr>
          <w:rFonts w:cs="Tahoma"/>
          <w:i/>
          <w:iCs/>
        </w:rPr>
        <w:t>DOI.org (Crossref)</w:t>
      </w:r>
      <w:r w:rsidRPr="00696CC5">
        <w:rPr>
          <w:rFonts w:cs="Tahoma"/>
        </w:rPr>
        <w:t>, https://doi.org/10.1002/sctm.17-0065.</w:t>
      </w:r>
    </w:p>
    <w:p w14:paraId="54BD4847" w14:textId="77777777" w:rsidR="00696CC5" w:rsidRPr="00696CC5" w:rsidRDefault="00696CC5" w:rsidP="00696CC5">
      <w:pPr>
        <w:pStyle w:val="Bibliography"/>
        <w:rPr>
          <w:rFonts w:cs="Tahoma"/>
        </w:rPr>
      </w:pPr>
      <w:r w:rsidRPr="00696CC5">
        <w:rPr>
          <w:rFonts w:cs="Tahoma"/>
        </w:rPr>
        <w:t xml:space="preserve">Martirosyan, Nikolay L., et al. “Blood Supply and Vascular Reactivity of the Spinal Cord under Normal and Pathological Conditions: A Review.” </w:t>
      </w:r>
      <w:r w:rsidRPr="00696CC5">
        <w:rPr>
          <w:rFonts w:cs="Tahoma"/>
          <w:i/>
          <w:iCs/>
        </w:rPr>
        <w:t>Journal of Neurosurgery: Spine</w:t>
      </w:r>
      <w:r w:rsidRPr="00696CC5">
        <w:rPr>
          <w:rFonts w:cs="Tahoma"/>
        </w:rPr>
        <w:t xml:space="preserve">, vol. 15, no. 3, Sept. 2011, pp. 238–51. </w:t>
      </w:r>
      <w:r w:rsidRPr="00696CC5">
        <w:rPr>
          <w:rFonts w:cs="Tahoma"/>
          <w:i/>
          <w:iCs/>
        </w:rPr>
        <w:t>DOI.org (Crossref)</w:t>
      </w:r>
      <w:r w:rsidRPr="00696CC5">
        <w:rPr>
          <w:rFonts w:cs="Tahoma"/>
        </w:rPr>
        <w:t>, https://doi.org/10.3171/2011.4.SPINE10543.</w:t>
      </w:r>
    </w:p>
    <w:p w14:paraId="7C8A9CC9" w14:textId="77777777" w:rsidR="00696CC5" w:rsidRPr="00696CC5" w:rsidRDefault="00696CC5" w:rsidP="00696CC5">
      <w:pPr>
        <w:pStyle w:val="Bibliography"/>
        <w:rPr>
          <w:rFonts w:cs="Tahoma"/>
        </w:rPr>
      </w:pPr>
      <w:r w:rsidRPr="00696CC5">
        <w:rPr>
          <w:rFonts w:cs="Tahoma"/>
        </w:rPr>
        <w:t xml:space="preserve">Norenberg, Michael D., et al. “The Pathology of Human Spinal Cord Injury: Defining the Problems.” </w:t>
      </w:r>
      <w:r w:rsidRPr="00696CC5">
        <w:rPr>
          <w:rFonts w:cs="Tahoma"/>
          <w:i/>
          <w:iCs/>
        </w:rPr>
        <w:t>Journal of Neurotrauma</w:t>
      </w:r>
      <w:r w:rsidRPr="00696CC5">
        <w:rPr>
          <w:rFonts w:cs="Tahoma"/>
        </w:rPr>
        <w:t xml:space="preserve">, vol. 21, no. 4, Apr. 2004, pp. 429–40. </w:t>
      </w:r>
      <w:r w:rsidRPr="00696CC5">
        <w:rPr>
          <w:rFonts w:cs="Tahoma"/>
          <w:i/>
          <w:iCs/>
        </w:rPr>
        <w:t>DOI.org (Crossref)</w:t>
      </w:r>
      <w:r w:rsidRPr="00696CC5">
        <w:rPr>
          <w:rFonts w:cs="Tahoma"/>
        </w:rPr>
        <w:t>, https://doi.org/10.1089/089771504323004575.</w:t>
      </w:r>
    </w:p>
    <w:p w14:paraId="6CADD8C8" w14:textId="77777777" w:rsidR="00696CC5" w:rsidRPr="00696CC5" w:rsidRDefault="00696CC5" w:rsidP="00696CC5">
      <w:pPr>
        <w:pStyle w:val="Bibliography"/>
        <w:rPr>
          <w:rFonts w:cs="Tahoma"/>
        </w:rPr>
      </w:pPr>
      <w:r w:rsidRPr="00696CC5">
        <w:rPr>
          <w:rFonts w:cs="Tahoma"/>
        </w:rPr>
        <w:t xml:space="preserve">Priest, Catherine A., et al. “Preclinical Safety of Human Embryonic Stem Cell-Derived Oligodendrocyte Progenitors Supporting Clinical Trials in Spinal Cord Injury.” </w:t>
      </w:r>
      <w:r w:rsidRPr="00696CC5">
        <w:rPr>
          <w:rFonts w:cs="Tahoma"/>
          <w:i/>
          <w:iCs/>
        </w:rPr>
        <w:t>Regenerative Medicine</w:t>
      </w:r>
      <w:r w:rsidRPr="00696CC5">
        <w:rPr>
          <w:rFonts w:cs="Tahoma"/>
        </w:rPr>
        <w:t xml:space="preserve">, vol. 10, no. 8, Nov. 2015, pp. 939–58. </w:t>
      </w:r>
      <w:r w:rsidRPr="00696CC5">
        <w:rPr>
          <w:rFonts w:cs="Tahoma"/>
          <w:i/>
          <w:iCs/>
        </w:rPr>
        <w:t>DOI.org (Crossref)</w:t>
      </w:r>
      <w:r w:rsidRPr="00696CC5">
        <w:rPr>
          <w:rFonts w:cs="Tahoma"/>
        </w:rPr>
        <w:t>, https://doi.org/10.2217/rme.15.57.</w:t>
      </w:r>
    </w:p>
    <w:p w14:paraId="646263F8" w14:textId="77777777" w:rsidR="00696CC5" w:rsidRPr="00696CC5" w:rsidRDefault="00696CC5" w:rsidP="00696CC5">
      <w:pPr>
        <w:pStyle w:val="Bibliography"/>
        <w:rPr>
          <w:rFonts w:cs="Tahoma"/>
        </w:rPr>
      </w:pPr>
      <w:r w:rsidRPr="00696CC5">
        <w:rPr>
          <w:rFonts w:cs="Tahoma"/>
        </w:rPr>
        <w:t xml:space="preserve">Qu, Wenrui, et al. “Polymer-Based Scaffold Strategies for Spinal Cord Repair and Regeneration.” </w:t>
      </w:r>
      <w:r w:rsidRPr="00696CC5">
        <w:rPr>
          <w:rFonts w:cs="Tahoma"/>
          <w:i/>
          <w:iCs/>
        </w:rPr>
        <w:t>Frontiers in Bioengineering and Biotechnology</w:t>
      </w:r>
      <w:r w:rsidRPr="00696CC5">
        <w:rPr>
          <w:rFonts w:cs="Tahoma"/>
        </w:rPr>
        <w:t xml:space="preserve">, vol. 8, Oct. 2020, p. 590549. </w:t>
      </w:r>
      <w:r w:rsidRPr="00696CC5">
        <w:rPr>
          <w:rFonts w:cs="Tahoma"/>
          <w:i/>
          <w:iCs/>
        </w:rPr>
        <w:t>PubMed Central</w:t>
      </w:r>
      <w:r w:rsidRPr="00696CC5">
        <w:rPr>
          <w:rFonts w:cs="Tahoma"/>
        </w:rPr>
        <w:t>, https://doi.org/10.3389/fbioe.2020.590549.</w:t>
      </w:r>
    </w:p>
    <w:p w14:paraId="2DA20FEA" w14:textId="77777777" w:rsidR="00696CC5" w:rsidRPr="00696CC5" w:rsidRDefault="00696CC5" w:rsidP="00696CC5">
      <w:pPr>
        <w:pStyle w:val="Bibliography"/>
        <w:rPr>
          <w:rFonts w:cs="Tahoma"/>
        </w:rPr>
      </w:pPr>
      <w:r w:rsidRPr="00696CC5">
        <w:rPr>
          <w:rFonts w:cs="Tahoma"/>
        </w:rPr>
        <w:lastRenderedPageBreak/>
        <w:t xml:space="preserve">Reddy, M. Sai Bhargava, et al. “A Comparative Review of Natural and Synthetic Biopolymer Composite Scaffolds.” </w:t>
      </w:r>
      <w:r w:rsidRPr="00696CC5">
        <w:rPr>
          <w:rFonts w:cs="Tahoma"/>
          <w:i/>
          <w:iCs/>
        </w:rPr>
        <w:t>Polymers</w:t>
      </w:r>
      <w:r w:rsidRPr="00696CC5">
        <w:rPr>
          <w:rFonts w:cs="Tahoma"/>
        </w:rPr>
        <w:t xml:space="preserve">, vol. 13, no. 7, Mar. 2021, p. 1105. </w:t>
      </w:r>
      <w:r w:rsidRPr="00696CC5">
        <w:rPr>
          <w:rFonts w:cs="Tahoma"/>
          <w:i/>
          <w:iCs/>
        </w:rPr>
        <w:t>DOI.org (Crossref)</w:t>
      </w:r>
      <w:r w:rsidRPr="00696CC5">
        <w:rPr>
          <w:rFonts w:cs="Tahoma"/>
        </w:rPr>
        <w:t>, https://doi.org/10.3390/polym13071105.</w:t>
      </w:r>
    </w:p>
    <w:p w14:paraId="3D495049" w14:textId="77777777" w:rsidR="00696CC5" w:rsidRPr="00696CC5" w:rsidRDefault="00696CC5" w:rsidP="00696CC5">
      <w:pPr>
        <w:pStyle w:val="Bibliography"/>
        <w:rPr>
          <w:rFonts w:cs="Tahoma"/>
        </w:rPr>
      </w:pPr>
      <w:r w:rsidRPr="00696CC5">
        <w:rPr>
          <w:rFonts w:cs="Tahoma"/>
        </w:rPr>
        <w:t xml:space="preserve">Rivera, Teresa, et al. “Human‐Induced Pluripotent Stem Cell Culture Methods Under CGMP Conditions.” </w:t>
      </w:r>
      <w:r w:rsidRPr="00696CC5">
        <w:rPr>
          <w:rFonts w:cs="Tahoma"/>
          <w:i/>
          <w:iCs/>
        </w:rPr>
        <w:t>Current Protocols in Stem Cell Biology</w:t>
      </w:r>
      <w:r w:rsidRPr="00696CC5">
        <w:rPr>
          <w:rFonts w:cs="Tahoma"/>
        </w:rPr>
        <w:t xml:space="preserve">, vol. 54, no. 1, Sept. 2020, p. e117. </w:t>
      </w:r>
      <w:r w:rsidRPr="00696CC5">
        <w:rPr>
          <w:rFonts w:cs="Tahoma"/>
          <w:i/>
          <w:iCs/>
        </w:rPr>
        <w:t>PubMed Central</w:t>
      </w:r>
      <w:r w:rsidRPr="00696CC5">
        <w:rPr>
          <w:rFonts w:cs="Tahoma"/>
        </w:rPr>
        <w:t>, https://doi.org/10.1002/cpsc.117.</w:t>
      </w:r>
    </w:p>
    <w:p w14:paraId="4099D6EA" w14:textId="77777777" w:rsidR="00696CC5" w:rsidRPr="00696CC5" w:rsidRDefault="00696CC5" w:rsidP="00696CC5">
      <w:pPr>
        <w:pStyle w:val="Bibliography"/>
        <w:rPr>
          <w:rFonts w:cs="Tahoma"/>
        </w:rPr>
      </w:pPr>
      <w:r w:rsidRPr="00696CC5">
        <w:rPr>
          <w:rFonts w:cs="Tahoma"/>
        </w:rPr>
        <w:t xml:space="preserve">Slotkin, Jonathan R., et al. “Biodegradable Scaffolds Promote Tissue Remodeling and Functional Improvement in Non-Human Primates with Acute Spinal Cord Injury.” </w:t>
      </w:r>
      <w:r w:rsidRPr="00696CC5">
        <w:rPr>
          <w:rFonts w:cs="Tahoma"/>
          <w:i/>
          <w:iCs/>
        </w:rPr>
        <w:t>Biomaterials</w:t>
      </w:r>
      <w:r w:rsidRPr="00696CC5">
        <w:rPr>
          <w:rFonts w:cs="Tahoma"/>
        </w:rPr>
        <w:t xml:space="preserve">, vol. 123, Apr. 2017, pp. 63–76. </w:t>
      </w:r>
      <w:r w:rsidRPr="00696CC5">
        <w:rPr>
          <w:rFonts w:cs="Tahoma"/>
          <w:i/>
          <w:iCs/>
        </w:rPr>
        <w:t>DOI.org (Crossref)</w:t>
      </w:r>
      <w:r w:rsidRPr="00696CC5">
        <w:rPr>
          <w:rFonts w:cs="Tahoma"/>
        </w:rPr>
        <w:t>, https://doi.org/10.1016/j.biomaterials.2017.01.024.</w:t>
      </w:r>
    </w:p>
    <w:p w14:paraId="68D6930A" w14:textId="77777777" w:rsidR="00696CC5" w:rsidRPr="00696CC5" w:rsidRDefault="00696CC5" w:rsidP="00696CC5">
      <w:pPr>
        <w:pStyle w:val="Bibliography"/>
        <w:rPr>
          <w:rFonts w:cs="Tahoma"/>
        </w:rPr>
      </w:pPr>
      <w:r w:rsidRPr="00696CC5">
        <w:rPr>
          <w:rFonts w:cs="Tahoma"/>
        </w:rPr>
        <w:t xml:space="preserve">Speight, James G. “Monomers, Polymers, and Plastics.” </w:t>
      </w:r>
      <w:r w:rsidRPr="00696CC5">
        <w:rPr>
          <w:rFonts w:cs="Tahoma"/>
          <w:i/>
          <w:iCs/>
        </w:rPr>
        <w:t>Handbook of Industrial Hydrocarbon Processes</w:t>
      </w:r>
      <w:r w:rsidRPr="00696CC5">
        <w:rPr>
          <w:rFonts w:cs="Tahoma"/>
        </w:rPr>
        <w:t xml:space="preserve">, Elsevier, 2020, pp. 597–649. </w:t>
      </w:r>
      <w:r w:rsidRPr="00696CC5">
        <w:rPr>
          <w:rFonts w:cs="Tahoma"/>
          <w:i/>
          <w:iCs/>
        </w:rPr>
        <w:t>DOI.org (Crossref)</w:t>
      </w:r>
      <w:r w:rsidRPr="00696CC5">
        <w:rPr>
          <w:rFonts w:cs="Tahoma"/>
        </w:rPr>
        <w:t>, https://doi.org/10.1016/B978-0-12-809923-0.00014-X.</w:t>
      </w:r>
    </w:p>
    <w:p w14:paraId="0AD3E424" w14:textId="77777777" w:rsidR="00696CC5" w:rsidRPr="00696CC5" w:rsidRDefault="00696CC5" w:rsidP="00696CC5">
      <w:pPr>
        <w:pStyle w:val="Bibliography"/>
        <w:rPr>
          <w:rFonts w:cs="Tahoma"/>
        </w:rPr>
      </w:pPr>
      <w:r w:rsidRPr="00696CC5">
        <w:rPr>
          <w:rFonts w:cs="Tahoma"/>
        </w:rPr>
        <w:t xml:space="preserve">Tang, S. K., et al. “Redirection of Doublecortin-Positive Cell Migration by over-Expression of the Chemokines MCP-1, MIP-1α and GRO-α in the Adult Rat Brain.” </w:t>
      </w:r>
      <w:r w:rsidRPr="00696CC5">
        <w:rPr>
          <w:rFonts w:cs="Tahoma"/>
          <w:i/>
          <w:iCs/>
        </w:rPr>
        <w:t>Neuroscience</w:t>
      </w:r>
      <w:r w:rsidRPr="00696CC5">
        <w:rPr>
          <w:rFonts w:cs="Tahoma"/>
        </w:rPr>
        <w:t xml:space="preserve">, vol. 260, Feb. 2014, pp. 240–48. </w:t>
      </w:r>
      <w:r w:rsidRPr="00696CC5">
        <w:rPr>
          <w:rFonts w:cs="Tahoma"/>
          <w:i/>
          <w:iCs/>
        </w:rPr>
        <w:t>DOI.org (Crossref)</w:t>
      </w:r>
      <w:r w:rsidRPr="00696CC5">
        <w:rPr>
          <w:rFonts w:cs="Tahoma"/>
        </w:rPr>
        <w:t>, https://doi.org/10.1016/j.neuroscience.2013.12.022.</w:t>
      </w:r>
    </w:p>
    <w:p w14:paraId="7DE3F611" w14:textId="77777777" w:rsidR="00696CC5" w:rsidRPr="00696CC5" w:rsidRDefault="00696CC5" w:rsidP="00696CC5">
      <w:pPr>
        <w:pStyle w:val="Bibliography"/>
        <w:rPr>
          <w:rFonts w:cs="Tahoma"/>
        </w:rPr>
      </w:pPr>
      <w:r w:rsidRPr="00696CC5">
        <w:rPr>
          <w:rFonts w:cs="Tahoma"/>
        </w:rPr>
        <w:t xml:space="preserve">Teng, Yang D., et al. “Functional Recovery Following Traumatic Spinal Cord Injury Mediated by a Unique Polymer Scaffold Seeded with Neural Stem Cells.” </w:t>
      </w:r>
      <w:r w:rsidRPr="00696CC5">
        <w:rPr>
          <w:rFonts w:cs="Tahoma"/>
          <w:i/>
          <w:iCs/>
        </w:rPr>
        <w:t>Proceedings of the National Academy of Sciences</w:t>
      </w:r>
      <w:r w:rsidRPr="00696CC5">
        <w:rPr>
          <w:rFonts w:cs="Tahoma"/>
        </w:rPr>
        <w:t xml:space="preserve">, vol. 99, no. 5, Mar. 2002, pp. 3024–29. </w:t>
      </w:r>
      <w:r w:rsidRPr="00696CC5">
        <w:rPr>
          <w:rFonts w:cs="Tahoma"/>
          <w:i/>
          <w:iCs/>
        </w:rPr>
        <w:t>DOI.org (Crossref)</w:t>
      </w:r>
      <w:r w:rsidRPr="00696CC5">
        <w:rPr>
          <w:rFonts w:cs="Tahoma"/>
        </w:rPr>
        <w:t>, https://doi.org/10.1073/pnas.052678899.</w:t>
      </w:r>
    </w:p>
    <w:p w14:paraId="2D63E4D6" w14:textId="77777777" w:rsidR="00696CC5" w:rsidRPr="00696CC5" w:rsidRDefault="00696CC5" w:rsidP="00696CC5">
      <w:pPr>
        <w:pStyle w:val="Bibliography"/>
        <w:rPr>
          <w:rFonts w:cs="Tahoma"/>
        </w:rPr>
      </w:pPr>
      <w:r w:rsidRPr="00696CC5">
        <w:rPr>
          <w:rFonts w:cs="Tahoma"/>
        </w:rPr>
        <w:t xml:space="preserve">---. “Functional Recovery Following Traumatic Spinal Cord Injury Mediated by a Unique Polymer Scaffold Seeded with Neural Stem Cells.” </w:t>
      </w:r>
      <w:r w:rsidRPr="00696CC5">
        <w:rPr>
          <w:rFonts w:cs="Tahoma"/>
          <w:i/>
          <w:iCs/>
        </w:rPr>
        <w:t xml:space="preserve">Proceedings of the National Academy </w:t>
      </w:r>
      <w:r w:rsidRPr="00696CC5">
        <w:rPr>
          <w:rFonts w:cs="Tahoma"/>
          <w:i/>
          <w:iCs/>
        </w:rPr>
        <w:lastRenderedPageBreak/>
        <w:t>of Sciences</w:t>
      </w:r>
      <w:r w:rsidRPr="00696CC5">
        <w:rPr>
          <w:rFonts w:cs="Tahoma"/>
        </w:rPr>
        <w:t xml:space="preserve">, vol. 99, no. 5, Mar. 2002, pp. 3024–29. </w:t>
      </w:r>
      <w:r w:rsidRPr="00696CC5">
        <w:rPr>
          <w:rFonts w:cs="Tahoma"/>
          <w:i/>
          <w:iCs/>
        </w:rPr>
        <w:t>DOI.org (Crossref)</w:t>
      </w:r>
      <w:r w:rsidRPr="00696CC5">
        <w:rPr>
          <w:rFonts w:cs="Tahoma"/>
        </w:rPr>
        <w:t>, https://doi.org/10.1073/pnas.052678899.</w:t>
      </w:r>
    </w:p>
    <w:p w14:paraId="6C4EA68E" w14:textId="77777777" w:rsidR="00696CC5" w:rsidRPr="00696CC5" w:rsidRDefault="00696CC5" w:rsidP="00696CC5">
      <w:pPr>
        <w:pStyle w:val="Bibliography"/>
        <w:rPr>
          <w:rFonts w:cs="Tahoma"/>
        </w:rPr>
      </w:pPr>
      <w:r w:rsidRPr="00696CC5">
        <w:rPr>
          <w:rFonts w:cs="Tahoma"/>
        </w:rPr>
        <w:t xml:space="preserve">Theodore, Nicholas, et al. “First Human Implantation of a Bioresorbable Polymer Scaffold for Acute Traumatic Spinal Cord Injury: A Clinical Pilot Study for Safety and Feasibility.” </w:t>
      </w:r>
      <w:r w:rsidRPr="00696CC5">
        <w:rPr>
          <w:rFonts w:cs="Tahoma"/>
          <w:i/>
          <w:iCs/>
        </w:rPr>
        <w:t>Neurosurgery</w:t>
      </w:r>
      <w:r w:rsidRPr="00696CC5">
        <w:rPr>
          <w:rFonts w:cs="Tahoma"/>
        </w:rPr>
        <w:t xml:space="preserve">, vol. 79, no. 2, Aug. 2016, pp. E305–12. </w:t>
      </w:r>
      <w:r w:rsidRPr="00696CC5">
        <w:rPr>
          <w:rFonts w:cs="Tahoma"/>
          <w:i/>
          <w:iCs/>
        </w:rPr>
        <w:t>DOI.org (Crossref)</w:t>
      </w:r>
      <w:r w:rsidRPr="00696CC5">
        <w:rPr>
          <w:rFonts w:cs="Tahoma"/>
        </w:rPr>
        <w:t>, https://doi.org/10.1227/NEU.0000000000001283.</w:t>
      </w:r>
    </w:p>
    <w:p w14:paraId="205873FF" w14:textId="77777777" w:rsidR="00696CC5" w:rsidRPr="00696CC5" w:rsidRDefault="00696CC5" w:rsidP="00696CC5">
      <w:pPr>
        <w:pStyle w:val="Bibliography"/>
        <w:rPr>
          <w:rFonts w:cs="Tahoma"/>
        </w:rPr>
      </w:pPr>
      <w:r w:rsidRPr="00696CC5">
        <w:rPr>
          <w:rFonts w:cs="Tahoma"/>
        </w:rPr>
        <w:t xml:space="preserve">Thomas, Katharine E., and Lawrence D. F. Moon. “Will Stem Cell Therapies Be Safe and Effective for Treating Spinal Cord Injuries?” </w:t>
      </w:r>
      <w:r w:rsidRPr="00696CC5">
        <w:rPr>
          <w:rFonts w:cs="Tahoma"/>
          <w:i/>
          <w:iCs/>
        </w:rPr>
        <w:t>British Medical Bulletin</w:t>
      </w:r>
      <w:r w:rsidRPr="00696CC5">
        <w:rPr>
          <w:rFonts w:cs="Tahoma"/>
        </w:rPr>
        <w:t xml:space="preserve">, vol. 98, 2011, pp. 127–42. </w:t>
      </w:r>
      <w:r w:rsidRPr="00696CC5">
        <w:rPr>
          <w:rFonts w:cs="Tahoma"/>
          <w:i/>
          <w:iCs/>
        </w:rPr>
        <w:t>PubMed Central</w:t>
      </w:r>
      <w:r w:rsidRPr="00696CC5">
        <w:rPr>
          <w:rFonts w:cs="Tahoma"/>
        </w:rPr>
        <w:t>, https://doi.org/10.1093/bmb/ldr013.</w:t>
      </w:r>
    </w:p>
    <w:p w14:paraId="7C66D261" w14:textId="77777777" w:rsidR="00696CC5" w:rsidRPr="00696CC5" w:rsidRDefault="00696CC5" w:rsidP="00696CC5">
      <w:pPr>
        <w:pStyle w:val="Bibliography"/>
        <w:rPr>
          <w:rFonts w:cs="Tahoma"/>
        </w:rPr>
      </w:pPr>
      <w:r w:rsidRPr="00696CC5">
        <w:rPr>
          <w:rFonts w:cs="Tahoma"/>
        </w:rPr>
        <w:t xml:space="preserve">Valković, Toni, et al. “Plasma Levels of Monocyte Chemotactic Protein-1 Are Associated with Clinical Features and Angiogenesis in Patients with Multiple Myeloma.” </w:t>
      </w:r>
      <w:r w:rsidRPr="00696CC5">
        <w:rPr>
          <w:rFonts w:cs="Tahoma"/>
          <w:i/>
          <w:iCs/>
        </w:rPr>
        <w:t>BioMed Research International</w:t>
      </w:r>
      <w:r w:rsidRPr="00696CC5">
        <w:rPr>
          <w:rFonts w:cs="Tahoma"/>
        </w:rPr>
        <w:t xml:space="preserve">, vol. 2016, 2016, pp. 1–7. </w:t>
      </w:r>
      <w:r w:rsidRPr="00696CC5">
        <w:rPr>
          <w:rFonts w:cs="Tahoma"/>
          <w:i/>
          <w:iCs/>
        </w:rPr>
        <w:t>DOI.org (Crossref)</w:t>
      </w:r>
      <w:r w:rsidRPr="00696CC5">
        <w:rPr>
          <w:rFonts w:cs="Tahoma"/>
        </w:rPr>
        <w:t>, https://doi.org/10.1155/2016/7870590.</w:t>
      </w:r>
    </w:p>
    <w:p w14:paraId="0FA1BDCA" w14:textId="77777777" w:rsidR="00696CC5" w:rsidRPr="00696CC5" w:rsidRDefault="00696CC5" w:rsidP="00696CC5">
      <w:pPr>
        <w:pStyle w:val="Bibliography"/>
        <w:rPr>
          <w:rFonts w:cs="Tahoma"/>
        </w:rPr>
      </w:pPr>
      <w:r w:rsidRPr="00696CC5">
        <w:rPr>
          <w:rFonts w:cs="Tahoma"/>
        </w:rPr>
        <w:t xml:space="preserve">Wang, Timothy Y., et al. “Management of Acute Traumatic Spinal Cord Injury: A Review of the Literature.” </w:t>
      </w:r>
      <w:r w:rsidRPr="00696CC5">
        <w:rPr>
          <w:rFonts w:cs="Tahoma"/>
          <w:i/>
          <w:iCs/>
        </w:rPr>
        <w:t>Frontiers in Surgery</w:t>
      </w:r>
      <w:r w:rsidRPr="00696CC5">
        <w:rPr>
          <w:rFonts w:cs="Tahoma"/>
        </w:rPr>
        <w:t xml:space="preserve">, vol. 8, Dec. 2021, p. 698736. </w:t>
      </w:r>
      <w:r w:rsidRPr="00696CC5">
        <w:rPr>
          <w:rFonts w:cs="Tahoma"/>
          <w:i/>
          <w:iCs/>
        </w:rPr>
        <w:t>PubMed Central</w:t>
      </w:r>
      <w:r w:rsidRPr="00696CC5">
        <w:rPr>
          <w:rFonts w:cs="Tahoma"/>
        </w:rPr>
        <w:t>, https://doi.org/10.3389/fsurg.2021.698736.</w:t>
      </w:r>
    </w:p>
    <w:p w14:paraId="4AFAAD3F" w14:textId="77777777" w:rsidR="00696CC5" w:rsidRPr="00696CC5" w:rsidRDefault="00696CC5" w:rsidP="00696CC5">
      <w:pPr>
        <w:pStyle w:val="Bibliography"/>
        <w:rPr>
          <w:rFonts w:cs="Tahoma"/>
        </w:rPr>
      </w:pPr>
      <w:r w:rsidRPr="00696CC5">
        <w:rPr>
          <w:rFonts w:cs="Tahoma"/>
        </w:rPr>
        <w:t xml:space="preserve">Wąsik, Norbert, et al. “Clusterin, a New Cerebrospinal Fluid Biomarker in Severe Subarachnoid Hemorrhage: A Pilot Study.” </w:t>
      </w:r>
      <w:r w:rsidRPr="00696CC5">
        <w:rPr>
          <w:rFonts w:cs="Tahoma"/>
          <w:i/>
          <w:iCs/>
        </w:rPr>
        <w:t>World Neurosurgery</w:t>
      </w:r>
      <w:r w:rsidRPr="00696CC5">
        <w:rPr>
          <w:rFonts w:cs="Tahoma"/>
        </w:rPr>
        <w:t xml:space="preserve">, vol. 107, Nov. 2017, pp. 424–28. </w:t>
      </w:r>
      <w:r w:rsidRPr="00696CC5">
        <w:rPr>
          <w:rFonts w:cs="Tahoma"/>
          <w:i/>
          <w:iCs/>
        </w:rPr>
        <w:t>DOI.org (Crossref)</w:t>
      </w:r>
      <w:r w:rsidRPr="00696CC5">
        <w:rPr>
          <w:rFonts w:cs="Tahoma"/>
        </w:rPr>
        <w:t>, https://doi.org/10.1016/j.wneu.2017.08.006.</w:t>
      </w:r>
    </w:p>
    <w:p w14:paraId="0DD532F1" w14:textId="77777777" w:rsidR="00696CC5" w:rsidRPr="00696CC5" w:rsidRDefault="00696CC5" w:rsidP="00696CC5">
      <w:pPr>
        <w:pStyle w:val="Bibliography"/>
        <w:rPr>
          <w:rFonts w:cs="Tahoma"/>
        </w:rPr>
      </w:pPr>
      <w:r w:rsidRPr="00696CC5">
        <w:rPr>
          <w:rFonts w:cs="Tahoma"/>
        </w:rPr>
        <w:t xml:space="preserve">Wong, Jamie K., et al. “A Straight Alley Version of the BBB Locomotor Scale.” </w:t>
      </w:r>
      <w:r w:rsidRPr="00696CC5">
        <w:rPr>
          <w:rFonts w:cs="Tahoma"/>
          <w:i/>
          <w:iCs/>
        </w:rPr>
        <w:t>Experimental Neurology</w:t>
      </w:r>
      <w:r w:rsidRPr="00696CC5">
        <w:rPr>
          <w:rFonts w:cs="Tahoma"/>
        </w:rPr>
        <w:t xml:space="preserve">, vol. 217, no. 2, June 2009, pp. 417–20. </w:t>
      </w:r>
      <w:r w:rsidRPr="00696CC5">
        <w:rPr>
          <w:rFonts w:cs="Tahoma"/>
          <w:i/>
          <w:iCs/>
        </w:rPr>
        <w:t>DOI.org (Crossref)</w:t>
      </w:r>
      <w:r w:rsidRPr="00696CC5">
        <w:rPr>
          <w:rFonts w:cs="Tahoma"/>
        </w:rPr>
        <w:t>, https://doi.org/10.1016/j.expneurol.2009.03.037.</w:t>
      </w:r>
    </w:p>
    <w:p w14:paraId="470FEDFD" w14:textId="77777777" w:rsidR="00696CC5" w:rsidRPr="00696CC5" w:rsidRDefault="00696CC5" w:rsidP="00696CC5">
      <w:pPr>
        <w:pStyle w:val="Bibliography"/>
        <w:rPr>
          <w:rFonts w:cs="Tahoma"/>
        </w:rPr>
      </w:pPr>
      <w:r w:rsidRPr="00696CC5">
        <w:rPr>
          <w:rFonts w:cs="Tahoma"/>
        </w:rPr>
        <w:lastRenderedPageBreak/>
        <w:t xml:space="preserve">Yoshitani, Kenji, et al. “Cerebrospinal Fluid Drainage to Prevent Postoperative Spinal Cord Injury in Thoracic Aortic Repair.” </w:t>
      </w:r>
      <w:r w:rsidRPr="00696CC5">
        <w:rPr>
          <w:rFonts w:cs="Tahoma"/>
          <w:i/>
          <w:iCs/>
        </w:rPr>
        <w:t>Journal of Anesthesia</w:t>
      </w:r>
      <w:r w:rsidRPr="00696CC5">
        <w:rPr>
          <w:rFonts w:cs="Tahoma"/>
        </w:rPr>
        <w:t xml:space="preserve">, vol. 35, no. 1, Feb. 2021, pp. 43–50. </w:t>
      </w:r>
      <w:r w:rsidRPr="00696CC5">
        <w:rPr>
          <w:rFonts w:cs="Tahoma"/>
          <w:i/>
          <w:iCs/>
        </w:rPr>
        <w:t>DOI.org (Crossref)</w:t>
      </w:r>
      <w:r w:rsidRPr="00696CC5">
        <w:rPr>
          <w:rFonts w:cs="Tahoma"/>
        </w:rPr>
        <w:t>, https://doi.org/10.1007/s00540-020-02857-w.</w:t>
      </w:r>
    </w:p>
    <w:p w14:paraId="4929E3B8" w14:textId="77777777" w:rsidR="00696CC5" w:rsidRPr="00696CC5" w:rsidRDefault="00696CC5" w:rsidP="00696CC5">
      <w:pPr>
        <w:pStyle w:val="Bibliography"/>
        <w:rPr>
          <w:rFonts w:cs="Tahoma"/>
        </w:rPr>
      </w:pPr>
      <w:r w:rsidRPr="00696CC5">
        <w:rPr>
          <w:rFonts w:cs="Tahoma"/>
        </w:rPr>
        <w:t xml:space="preserve">Zou, Hong-jun, et al. “Methylprednisolone Induces Neuro-Protective Effects via the Inhibition of A1 Astrocyte Activation in Traumatic Spinal Cord Injury Mouse Models.” </w:t>
      </w:r>
      <w:r w:rsidRPr="00696CC5">
        <w:rPr>
          <w:rFonts w:cs="Tahoma"/>
          <w:i/>
          <w:iCs/>
        </w:rPr>
        <w:t>Frontiers in Neuroscience</w:t>
      </w:r>
      <w:r w:rsidRPr="00696CC5">
        <w:rPr>
          <w:rFonts w:cs="Tahoma"/>
        </w:rPr>
        <w:t xml:space="preserve">, vol. 15, 2021. </w:t>
      </w:r>
      <w:r w:rsidRPr="00696CC5">
        <w:rPr>
          <w:rFonts w:cs="Tahoma"/>
          <w:i/>
          <w:iCs/>
        </w:rPr>
        <w:t>Frontiers</w:t>
      </w:r>
      <w:r w:rsidRPr="00696CC5">
        <w:rPr>
          <w:rFonts w:cs="Tahoma"/>
        </w:rPr>
        <w:t>, https://www.frontiersin.org/articles/10.3389/fnins.2021.628917.</w:t>
      </w:r>
    </w:p>
    <w:p w14:paraId="7E72509E" w14:textId="3A8F655C"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7B611" w14:textId="77777777" w:rsidR="00A920FD" w:rsidRDefault="00A920FD" w:rsidP="00B657A0">
      <w:r>
        <w:separator/>
      </w:r>
    </w:p>
  </w:endnote>
  <w:endnote w:type="continuationSeparator" w:id="0">
    <w:p w14:paraId="2197ADD0" w14:textId="77777777" w:rsidR="00A920FD" w:rsidRDefault="00A920FD" w:rsidP="00B657A0">
      <w:r>
        <w:continuationSeparator/>
      </w:r>
    </w:p>
  </w:endnote>
  <w:endnote w:type="continuationNotice" w:id="1">
    <w:p w14:paraId="6F51D67A" w14:textId="77777777" w:rsidR="00A920FD" w:rsidRDefault="00A920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BB3E" w14:textId="77777777" w:rsidR="00A920FD" w:rsidRDefault="00A920FD" w:rsidP="00B657A0">
      <w:r>
        <w:separator/>
      </w:r>
    </w:p>
  </w:footnote>
  <w:footnote w:type="continuationSeparator" w:id="0">
    <w:p w14:paraId="05BC6316" w14:textId="77777777" w:rsidR="00A920FD" w:rsidRDefault="00A920FD" w:rsidP="00B657A0">
      <w:r>
        <w:continuationSeparator/>
      </w:r>
    </w:p>
  </w:footnote>
  <w:footnote w:type="continuationNotice" w:id="1">
    <w:p w14:paraId="4275CF04" w14:textId="77777777" w:rsidR="00A920FD" w:rsidRDefault="00A920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351C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2"/>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4"/>
  </w:num>
  <w:num w:numId="10" w16cid:durableId="1214929145">
    <w:abstractNumId w:val="24"/>
  </w:num>
  <w:num w:numId="11" w16cid:durableId="1534925248">
    <w:abstractNumId w:val="26"/>
  </w:num>
  <w:num w:numId="12" w16cid:durableId="1204631859">
    <w:abstractNumId w:val="20"/>
  </w:num>
  <w:num w:numId="13" w16cid:durableId="1999653488">
    <w:abstractNumId w:val="12"/>
  </w:num>
  <w:num w:numId="14" w16cid:durableId="1948655657">
    <w:abstractNumId w:val="37"/>
  </w:num>
  <w:num w:numId="15" w16cid:durableId="1426876100">
    <w:abstractNumId w:val="28"/>
  </w:num>
  <w:num w:numId="16" w16cid:durableId="148448031">
    <w:abstractNumId w:val="15"/>
  </w:num>
  <w:num w:numId="17" w16cid:durableId="432239574">
    <w:abstractNumId w:val="38"/>
  </w:num>
  <w:num w:numId="18" w16cid:durableId="1902785539">
    <w:abstractNumId w:val="10"/>
  </w:num>
  <w:num w:numId="19" w16cid:durableId="2016347357">
    <w:abstractNumId w:val="18"/>
  </w:num>
  <w:num w:numId="20" w16cid:durableId="1604259620">
    <w:abstractNumId w:val="36"/>
  </w:num>
  <w:num w:numId="21" w16cid:durableId="1341661621">
    <w:abstractNumId w:val="35"/>
  </w:num>
  <w:num w:numId="22" w16cid:durableId="788007871">
    <w:abstractNumId w:val="29"/>
  </w:num>
  <w:num w:numId="23" w16cid:durableId="1463157998">
    <w:abstractNumId w:val="22"/>
  </w:num>
  <w:num w:numId="24" w16cid:durableId="1260681482">
    <w:abstractNumId w:val="23"/>
  </w:num>
  <w:num w:numId="25" w16cid:durableId="1969161413">
    <w:abstractNumId w:val="9"/>
  </w:num>
  <w:num w:numId="26" w16cid:durableId="1839885816">
    <w:abstractNumId w:val="5"/>
  </w:num>
  <w:num w:numId="27" w16cid:durableId="1730300100">
    <w:abstractNumId w:val="17"/>
  </w:num>
  <w:num w:numId="28" w16cid:durableId="1711765807">
    <w:abstractNumId w:val="25"/>
  </w:num>
  <w:num w:numId="29" w16cid:durableId="2130008031">
    <w:abstractNumId w:val="30"/>
  </w:num>
  <w:num w:numId="30" w16cid:durableId="1154377883">
    <w:abstractNumId w:val="27"/>
  </w:num>
  <w:num w:numId="31" w16cid:durableId="1266425856">
    <w:abstractNumId w:val="21"/>
  </w:num>
  <w:num w:numId="32" w16cid:durableId="1850872283">
    <w:abstractNumId w:val="14"/>
  </w:num>
  <w:num w:numId="33" w16cid:durableId="687414347">
    <w:abstractNumId w:val="6"/>
  </w:num>
  <w:num w:numId="34" w16cid:durableId="313729409">
    <w:abstractNumId w:val="8"/>
  </w:num>
  <w:num w:numId="35" w16cid:durableId="125003735">
    <w:abstractNumId w:val="31"/>
  </w:num>
  <w:num w:numId="36" w16cid:durableId="1622567168">
    <w:abstractNumId w:val="33"/>
  </w:num>
  <w:num w:numId="37" w16cid:durableId="556285773">
    <w:abstractNumId w:val="16"/>
  </w:num>
  <w:num w:numId="38" w16cid:durableId="1016425218">
    <w:abstractNumId w:val="34"/>
  </w:num>
  <w:num w:numId="39" w16cid:durableId="1404329616">
    <w:abstractNumId w:val="4"/>
  </w:num>
  <w:num w:numId="40" w16cid:durableId="1481801130">
    <w:abstractNumId w:val="7"/>
  </w:num>
  <w:num w:numId="41" w16cid:durableId="8207375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E26"/>
    <w:rsid w:val="000806C2"/>
    <w:rsid w:val="00082C06"/>
    <w:rsid w:val="00086261"/>
    <w:rsid w:val="000868E4"/>
    <w:rsid w:val="000924E9"/>
    <w:rsid w:val="000A0757"/>
    <w:rsid w:val="000A2165"/>
    <w:rsid w:val="000A6413"/>
    <w:rsid w:val="000A64D4"/>
    <w:rsid w:val="000B1E9C"/>
    <w:rsid w:val="000B452E"/>
    <w:rsid w:val="000B4CB2"/>
    <w:rsid w:val="000C1E44"/>
    <w:rsid w:val="000C64D8"/>
    <w:rsid w:val="000D0203"/>
    <w:rsid w:val="000D02CD"/>
    <w:rsid w:val="000D10C6"/>
    <w:rsid w:val="000D47A9"/>
    <w:rsid w:val="000E3018"/>
    <w:rsid w:val="000E49C6"/>
    <w:rsid w:val="000E4D0E"/>
    <w:rsid w:val="000F0964"/>
    <w:rsid w:val="000F0C1E"/>
    <w:rsid w:val="000F5BA9"/>
    <w:rsid w:val="0010064E"/>
    <w:rsid w:val="0010099F"/>
    <w:rsid w:val="00101D0A"/>
    <w:rsid w:val="0010205E"/>
    <w:rsid w:val="00102A2E"/>
    <w:rsid w:val="0010368A"/>
    <w:rsid w:val="00112196"/>
    <w:rsid w:val="0011427A"/>
    <w:rsid w:val="00114746"/>
    <w:rsid w:val="001153AF"/>
    <w:rsid w:val="0011585F"/>
    <w:rsid w:val="00120765"/>
    <w:rsid w:val="00121359"/>
    <w:rsid w:val="00122957"/>
    <w:rsid w:val="0012408D"/>
    <w:rsid w:val="00124E5E"/>
    <w:rsid w:val="001308D6"/>
    <w:rsid w:val="0013306B"/>
    <w:rsid w:val="00133B5F"/>
    <w:rsid w:val="0013522D"/>
    <w:rsid w:val="00135AFF"/>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2513"/>
    <w:rsid w:val="00453730"/>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1F7D"/>
    <w:rsid w:val="005448CC"/>
    <w:rsid w:val="00551058"/>
    <w:rsid w:val="00551497"/>
    <w:rsid w:val="0055598D"/>
    <w:rsid w:val="0056064F"/>
    <w:rsid w:val="00562B60"/>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57AE"/>
    <w:rsid w:val="007A0EE2"/>
    <w:rsid w:val="007A11CA"/>
    <w:rsid w:val="007A1B24"/>
    <w:rsid w:val="007A3EC9"/>
    <w:rsid w:val="007B1AC9"/>
    <w:rsid w:val="007B3980"/>
    <w:rsid w:val="007B4192"/>
    <w:rsid w:val="007B4431"/>
    <w:rsid w:val="007B4EC8"/>
    <w:rsid w:val="007B5EF7"/>
    <w:rsid w:val="007B5FF2"/>
    <w:rsid w:val="007C5135"/>
    <w:rsid w:val="007C54B2"/>
    <w:rsid w:val="007D2A17"/>
    <w:rsid w:val="007D40FA"/>
    <w:rsid w:val="007D53EB"/>
    <w:rsid w:val="007D5CC5"/>
    <w:rsid w:val="007D64DB"/>
    <w:rsid w:val="007D7210"/>
    <w:rsid w:val="007D759E"/>
    <w:rsid w:val="007E342D"/>
    <w:rsid w:val="007E35A3"/>
    <w:rsid w:val="007E4C72"/>
    <w:rsid w:val="007E5425"/>
    <w:rsid w:val="007E7E4D"/>
    <w:rsid w:val="007F3249"/>
    <w:rsid w:val="007F36E1"/>
    <w:rsid w:val="007F6BD5"/>
    <w:rsid w:val="007F7D1C"/>
    <w:rsid w:val="00806525"/>
    <w:rsid w:val="00807EC5"/>
    <w:rsid w:val="00811526"/>
    <w:rsid w:val="00817BCB"/>
    <w:rsid w:val="008229F3"/>
    <w:rsid w:val="00823809"/>
    <w:rsid w:val="0082447C"/>
    <w:rsid w:val="00825603"/>
    <w:rsid w:val="00825663"/>
    <w:rsid w:val="008267EC"/>
    <w:rsid w:val="008333C8"/>
    <w:rsid w:val="00833E3B"/>
    <w:rsid w:val="00836330"/>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4C18"/>
    <w:rsid w:val="00891790"/>
    <w:rsid w:val="00897D1A"/>
    <w:rsid w:val="008A19BF"/>
    <w:rsid w:val="008A3268"/>
    <w:rsid w:val="008A3B7E"/>
    <w:rsid w:val="008A3BCC"/>
    <w:rsid w:val="008A5292"/>
    <w:rsid w:val="008A5518"/>
    <w:rsid w:val="008B10AE"/>
    <w:rsid w:val="008B1806"/>
    <w:rsid w:val="008B22A0"/>
    <w:rsid w:val="008B6903"/>
    <w:rsid w:val="008B7517"/>
    <w:rsid w:val="008C2722"/>
    <w:rsid w:val="008C71B6"/>
    <w:rsid w:val="008D2A02"/>
    <w:rsid w:val="008D69E8"/>
    <w:rsid w:val="008E06ED"/>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3268"/>
    <w:rsid w:val="00B929AF"/>
    <w:rsid w:val="00B9364C"/>
    <w:rsid w:val="00B957C9"/>
    <w:rsid w:val="00BA4431"/>
    <w:rsid w:val="00BA4AF0"/>
    <w:rsid w:val="00BA5BDE"/>
    <w:rsid w:val="00BB4E41"/>
    <w:rsid w:val="00BC06BA"/>
    <w:rsid w:val="00BC39D3"/>
    <w:rsid w:val="00BC6A7E"/>
    <w:rsid w:val="00BD218D"/>
    <w:rsid w:val="00BD2218"/>
    <w:rsid w:val="00BD31ED"/>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133F"/>
    <w:rsid w:val="00C91504"/>
    <w:rsid w:val="00C915BE"/>
    <w:rsid w:val="00C9251A"/>
    <w:rsid w:val="00C94AF5"/>
    <w:rsid w:val="00C9645A"/>
    <w:rsid w:val="00CA07CB"/>
    <w:rsid w:val="00CA27AD"/>
    <w:rsid w:val="00CA2BB1"/>
    <w:rsid w:val="00CA3595"/>
    <w:rsid w:val="00CA6DE5"/>
    <w:rsid w:val="00CA7B90"/>
    <w:rsid w:val="00CA7CCE"/>
    <w:rsid w:val="00CC4C75"/>
    <w:rsid w:val="00CC516A"/>
    <w:rsid w:val="00CD4AF3"/>
    <w:rsid w:val="00CD6B7B"/>
    <w:rsid w:val="00CE1935"/>
    <w:rsid w:val="00CE19A8"/>
    <w:rsid w:val="00CE4E80"/>
    <w:rsid w:val="00CE7BF8"/>
    <w:rsid w:val="00CF00C6"/>
    <w:rsid w:val="00CF3906"/>
    <w:rsid w:val="00CF479E"/>
    <w:rsid w:val="00D00B74"/>
    <w:rsid w:val="00D01095"/>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502A5"/>
    <w:rsid w:val="00E5132F"/>
    <w:rsid w:val="00E5578B"/>
    <w:rsid w:val="00E61926"/>
    <w:rsid w:val="00E70797"/>
    <w:rsid w:val="00E71D45"/>
    <w:rsid w:val="00E76600"/>
    <w:rsid w:val="00E77D19"/>
    <w:rsid w:val="00E81074"/>
    <w:rsid w:val="00E8135A"/>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7F33"/>
    <w:rsid w:val="00F20B42"/>
    <w:rsid w:val="00F22299"/>
    <w:rsid w:val="00F2455A"/>
    <w:rsid w:val="00F3077E"/>
    <w:rsid w:val="00F31AA8"/>
    <w:rsid w:val="00F3295C"/>
    <w:rsid w:val="00F33895"/>
    <w:rsid w:val="00F3538F"/>
    <w:rsid w:val="00F36B31"/>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B00AB"/>
    <w:rsid w:val="00FB251D"/>
    <w:rsid w:val="00FB2E7F"/>
    <w:rsid w:val="00FB4D8D"/>
    <w:rsid w:val="00FB7F51"/>
    <w:rsid w:val="00FC1B4A"/>
    <w:rsid w:val="00FC34DE"/>
    <w:rsid w:val="00FC54C7"/>
    <w:rsid w:val="00FD33E7"/>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154</TotalTime>
  <Pages>20</Pages>
  <Words>26806</Words>
  <Characters>152799</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179247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121</cp:revision>
  <cp:lastPrinted>2022-10-29T18:44:00Z</cp:lastPrinted>
  <dcterms:created xsi:type="dcterms:W3CDTF">2022-10-29T18:44:00Z</dcterms:created>
  <dcterms:modified xsi:type="dcterms:W3CDTF">2022-11-05T01:04:00Z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id="m5ORBR1p"/&gt;&lt;style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