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4F3F" w14:textId="77777777" w:rsidR="003B78E7" w:rsidRDefault="003B78E7" w:rsidP="003B78E7">
      <w:pPr>
        <w:pStyle w:val="NormalWeb"/>
      </w:pPr>
      <w:r>
        <w:rPr>
          <w:rFonts w:ascii="Tahoma" w:hAnsi="Tahoma" w:cs="Tahoma"/>
          <w:b/>
          <w:bCs/>
          <w:color w:val="002B70"/>
          <w:sz w:val="36"/>
          <w:szCs w:val="36"/>
        </w:rPr>
        <w:t xml:space="preserve">Assignment 11: Stem Cells </w:t>
      </w:r>
    </w:p>
    <w:p w14:paraId="1A99DA4A" w14:textId="77777777" w:rsidR="003B78E7" w:rsidRDefault="003B78E7" w:rsidP="003B78E7">
      <w:pPr>
        <w:pStyle w:val="NormalWeb"/>
      </w:pPr>
      <w:r>
        <w:rPr>
          <w:rFonts w:ascii="Tahoma" w:hAnsi="Tahoma" w:cs="Tahoma"/>
          <w:b/>
          <w:bCs/>
          <w:sz w:val="28"/>
          <w:szCs w:val="28"/>
        </w:rPr>
        <w:t xml:space="preserve">Cell and Tissue Engineering </w:t>
      </w:r>
    </w:p>
    <w:p w14:paraId="1B57F76A" w14:textId="77777777" w:rsidR="003B78E7" w:rsidRDefault="003B78E7" w:rsidP="003B78E7">
      <w:pPr>
        <w:pStyle w:val="NormalWeb"/>
      </w:pPr>
      <w:r>
        <w:rPr>
          <w:rFonts w:ascii="Tahoma" w:hAnsi="Tahoma" w:cs="Tahoma"/>
          <w:b/>
          <w:bCs/>
          <w:color w:val="004982"/>
          <w:sz w:val="28"/>
          <w:szCs w:val="28"/>
        </w:rPr>
        <w:t xml:space="preserve">Problems </w:t>
      </w:r>
    </w:p>
    <w:p w14:paraId="18BB6FA2" w14:textId="77777777" w:rsidR="003B78E7" w:rsidRDefault="003B78E7" w:rsidP="003B78E7">
      <w:pPr>
        <w:pStyle w:val="NormalWeb"/>
        <w:numPr>
          <w:ilvl w:val="0"/>
          <w:numId w:val="7"/>
        </w:numPr>
        <w:spacing w:before="0" w:beforeAutospacing="0" w:after="0" w:afterAutospacing="0"/>
        <w:rPr>
          <w:rFonts w:ascii="Tahoma" w:hAnsi="Tahoma" w:cs="Tahoma"/>
        </w:rPr>
      </w:pPr>
      <w:r>
        <w:rPr>
          <w:rFonts w:ascii="Tahoma" w:hAnsi="Tahoma" w:cs="Tahoma"/>
        </w:rPr>
        <w:t xml:space="preserve">Please identify which stem cell type or types (embryonic, somatic, or </w:t>
      </w:r>
      <w:proofErr w:type="spellStart"/>
      <w:r>
        <w:rPr>
          <w:rFonts w:ascii="Tahoma" w:hAnsi="Tahoma" w:cs="Tahoma"/>
        </w:rPr>
        <w:t>iPS</w:t>
      </w:r>
      <w:proofErr w:type="spellEnd"/>
      <w:r>
        <w:rPr>
          <w:rFonts w:ascii="Tahoma" w:hAnsi="Tahoma" w:cs="Tahoma"/>
        </w:rPr>
        <w:t xml:space="preserve">) fit each of the following descriptions. Some have 1 answer, some have more than 1 answer. </w:t>
      </w:r>
    </w:p>
    <w:p w14:paraId="59566C8A" w14:textId="638EC5C5" w:rsidR="00BF7297" w:rsidRDefault="003B78E7" w:rsidP="00BF7297">
      <w:pPr>
        <w:pStyle w:val="NormalWeb"/>
        <w:numPr>
          <w:ilvl w:val="1"/>
          <w:numId w:val="7"/>
        </w:numPr>
        <w:spacing w:before="0" w:beforeAutospacing="0" w:after="0" w:afterAutospacing="0"/>
        <w:ind w:left="1080"/>
        <w:rPr>
          <w:rFonts w:ascii="Tahoma" w:hAnsi="Tahoma" w:cs="Tahoma"/>
        </w:rPr>
      </w:pPr>
      <w:r>
        <w:rPr>
          <w:rFonts w:ascii="Tahoma" w:hAnsi="Tahoma" w:cs="Tahoma"/>
        </w:rPr>
        <w:t>Derivation requires informed consent</w:t>
      </w:r>
      <w:r w:rsidR="00BF7297">
        <w:rPr>
          <w:rFonts w:ascii="Tahoma" w:hAnsi="Tahoma" w:cs="Tahoma"/>
        </w:rPr>
        <w:t xml:space="preserve"> </w:t>
      </w:r>
    </w:p>
    <w:p w14:paraId="35FA2C94" w14:textId="393FB34D" w:rsidR="00BF7297" w:rsidRPr="00FA2ECC" w:rsidRDefault="00BF7297" w:rsidP="00BF7297">
      <w:pPr>
        <w:pStyle w:val="NormalWeb"/>
        <w:spacing w:before="0" w:beforeAutospacing="0" w:after="0" w:afterAutospacing="0"/>
        <w:ind w:left="1080"/>
        <w:rPr>
          <w:rFonts w:ascii="Tahoma" w:hAnsi="Tahoma" w:cs="Tahoma"/>
          <w:color w:val="2F5496" w:themeColor="accent1" w:themeShade="BF"/>
        </w:rPr>
      </w:pPr>
      <w:r w:rsidRPr="00FA2ECC">
        <w:rPr>
          <w:rFonts w:ascii="Tahoma" w:hAnsi="Tahoma" w:cs="Tahoma"/>
          <w:color w:val="2F5496" w:themeColor="accent1" w:themeShade="BF"/>
        </w:rPr>
        <w:t>embryonic</w:t>
      </w:r>
    </w:p>
    <w:p w14:paraId="16676B3E" w14:textId="5C957248" w:rsidR="003B78E7" w:rsidRDefault="003B78E7" w:rsidP="00BF7297">
      <w:pPr>
        <w:pStyle w:val="NormalWeb"/>
        <w:spacing w:before="0" w:beforeAutospacing="0" w:after="0" w:afterAutospacing="0"/>
        <w:ind w:left="720"/>
        <w:rPr>
          <w:rFonts w:ascii="Tahoma" w:hAnsi="Tahoma" w:cs="Tahoma"/>
        </w:rPr>
      </w:pPr>
      <w:r>
        <w:rPr>
          <w:rFonts w:ascii="Tahoma" w:hAnsi="Tahoma" w:cs="Tahoma"/>
        </w:rPr>
        <w:br/>
        <w:t>b. Has forced expression of several transcription factors</w:t>
      </w:r>
    </w:p>
    <w:p w14:paraId="6C4E1CE7" w14:textId="698BF237"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r w:rsidR="00347703">
        <w:rPr>
          <w:rFonts w:ascii="Tahoma" w:hAnsi="Tahoma" w:cs="Tahoma"/>
        </w:rPr>
        <w:t xml:space="preserve"> </w:t>
      </w:r>
      <w:proofErr w:type="spellStart"/>
      <w:r w:rsidR="00BF7297" w:rsidRPr="00FA2ECC">
        <w:rPr>
          <w:rFonts w:ascii="Tahoma" w:hAnsi="Tahoma" w:cs="Tahoma"/>
          <w:color w:val="2F5496" w:themeColor="accent1" w:themeShade="BF"/>
        </w:rPr>
        <w:t>iP</w:t>
      </w:r>
      <w:r w:rsidR="00FA2ECC">
        <w:rPr>
          <w:rFonts w:ascii="Tahoma" w:hAnsi="Tahoma" w:cs="Tahoma"/>
          <w:color w:val="2F5496" w:themeColor="accent1" w:themeShade="BF"/>
        </w:rPr>
        <w:t>S</w:t>
      </w:r>
      <w:proofErr w:type="spellEnd"/>
    </w:p>
    <w:p w14:paraId="2509DDCC" w14:textId="77777777" w:rsidR="00BF7297" w:rsidRDefault="00BF7297" w:rsidP="003B78E7">
      <w:pPr>
        <w:pStyle w:val="NormalWeb"/>
        <w:spacing w:before="0" w:beforeAutospacing="0" w:after="0" w:afterAutospacing="0"/>
        <w:ind w:left="720"/>
        <w:rPr>
          <w:rFonts w:ascii="Tahoma" w:hAnsi="Tahoma" w:cs="Tahoma"/>
        </w:rPr>
      </w:pPr>
    </w:p>
    <w:p w14:paraId="26E11814" w14:textId="737ACCCA" w:rsidR="00BF7297" w:rsidRDefault="003B78E7" w:rsidP="0039404F">
      <w:pPr>
        <w:pStyle w:val="NormalWeb"/>
        <w:spacing w:before="0" w:beforeAutospacing="0" w:after="0" w:afterAutospacing="0"/>
        <w:ind w:left="720"/>
        <w:rPr>
          <w:rFonts w:ascii="Tahoma" w:hAnsi="Tahoma" w:cs="Tahoma"/>
        </w:rPr>
      </w:pPr>
      <w:r>
        <w:rPr>
          <w:rFonts w:ascii="Tahoma" w:hAnsi="Tahoma" w:cs="Tahoma"/>
        </w:rPr>
        <w:t>c. Includes mesenchymal stem cells</w:t>
      </w:r>
      <w:r>
        <w:rPr>
          <w:rFonts w:ascii="Tahoma" w:hAnsi="Tahoma" w:cs="Tahoma"/>
        </w:rPr>
        <w:br/>
      </w:r>
      <w:r w:rsidR="0039404F">
        <w:rPr>
          <w:rFonts w:ascii="Tahoma" w:hAnsi="Tahoma" w:cs="Tahoma"/>
        </w:rPr>
        <w:t xml:space="preserve">   </w:t>
      </w:r>
      <w:r w:rsidR="00FA2ECC">
        <w:rPr>
          <w:rFonts w:ascii="Tahoma" w:hAnsi="Tahoma" w:cs="Tahoma"/>
        </w:rPr>
        <w:t xml:space="preserve"> </w:t>
      </w:r>
      <w:r w:rsidR="00C91677" w:rsidRPr="00FA2ECC">
        <w:rPr>
          <w:rFonts w:ascii="Tahoma" w:hAnsi="Tahoma" w:cs="Tahoma"/>
          <w:color w:val="2F5496" w:themeColor="accent1" w:themeShade="BF"/>
        </w:rPr>
        <w:t>somatic</w:t>
      </w:r>
    </w:p>
    <w:p w14:paraId="194F7743" w14:textId="144E3CD7" w:rsidR="00C91677" w:rsidRDefault="00C91677" w:rsidP="003B78E7">
      <w:pPr>
        <w:pStyle w:val="NormalWeb"/>
        <w:spacing w:before="0" w:beforeAutospacing="0" w:after="0" w:afterAutospacing="0"/>
        <w:ind w:left="720"/>
        <w:rPr>
          <w:rFonts w:ascii="Tahoma" w:hAnsi="Tahoma" w:cs="Tahoma"/>
        </w:rPr>
      </w:pPr>
    </w:p>
    <w:p w14:paraId="6784521F" w14:textId="77777777" w:rsidR="00C91677" w:rsidRDefault="003B78E7" w:rsidP="003B78E7">
      <w:pPr>
        <w:pStyle w:val="NormalWeb"/>
        <w:spacing w:before="0" w:beforeAutospacing="0" w:after="0" w:afterAutospacing="0"/>
        <w:ind w:left="720"/>
        <w:rPr>
          <w:rFonts w:ascii="Tahoma" w:hAnsi="Tahoma" w:cs="Tahoma"/>
        </w:rPr>
      </w:pPr>
      <w:r>
        <w:rPr>
          <w:rFonts w:ascii="Tahoma" w:hAnsi="Tahoma" w:cs="Tahoma"/>
        </w:rPr>
        <w:t>d. Totipotent</w:t>
      </w:r>
    </w:p>
    <w:p w14:paraId="653DA458" w14:textId="6D125604" w:rsidR="00BF7297" w:rsidRDefault="00347703" w:rsidP="00347703">
      <w:pPr>
        <w:pStyle w:val="NormalWeb"/>
        <w:spacing w:before="0" w:beforeAutospacing="0" w:after="0" w:afterAutospacing="0"/>
        <w:rPr>
          <w:rFonts w:ascii="Tahoma" w:hAnsi="Tahoma" w:cs="Tahoma"/>
        </w:rPr>
      </w:pPr>
      <w:r>
        <w:rPr>
          <w:rFonts w:ascii="Tahoma" w:hAnsi="Tahoma" w:cs="Tahoma"/>
        </w:rPr>
        <w:t xml:space="preserve">             </w:t>
      </w:r>
      <w:r w:rsidR="00FA2ECC">
        <w:rPr>
          <w:rFonts w:ascii="Tahoma" w:hAnsi="Tahoma" w:cs="Tahoma"/>
        </w:rPr>
        <w:t xml:space="preserve"> </w:t>
      </w:r>
      <w:r w:rsidR="00C91677" w:rsidRPr="00FA2ECC">
        <w:rPr>
          <w:rFonts w:ascii="Tahoma" w:hAnsi="Tahoma" w:cs="Tahoma"/>
          <w:color w:val="2F5496" w:themeColor="accent1" w:themeShade="BF"/>
        </w:rPr>
        <w:t>embryonic</w:t>
      </w:r>
      <w:r w:rsidR="003B78E7">
        <w:rPr>
          <w:rFonts w:ascii="Tahoma" w:hAnsi="Tahoma" w:cs="Tahoma"/>
        </w:rPr>
        <w:br/>
      </w:r>
    </w:p>
    <w:p w14:paraId="101CB0E3" w14:textId="77777777" w:rsidR="004B3199" w:rsidRDefault="003B78E7" w:rsidP="003B78E7">
      <w:pPr>
        <w:pStyle w:val="NormalWeb"/>
        <w:spacing w:before="0" w:beforeAutospacing="0" w:after="0" w:afterAutospacing="0"/>
        <w:ind w:left="720"/>
        <w:rPr>
          <w:rFonts w:ascii="Tahoma" w:hAnsi="Tahoma" w:cs="Tahoma"/>
        </w:rPr>
      </w:pPr>
      <w:r>
        <w:rPr>
          <w:rFonts w:ascii="Tahoma" w:hAnsi="Tahoma" w:cs="Tahoma"/>
        </w:rPr>
        <w:t>e. Low efficiency in creation</w:t>
      </w:r>
    </w:p>
    <w:p w14:paraId="2F288093" w14:textId="112804CD"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proofErr w:type="spellStart"/>
      <w:r w:rsidR="004B3199" w:rsidRPr="00FA2ECC">
        <w:rPr>
          <w:rFonts w:ascii="Tahoma" w:hAnsi="Tahoma" w:cs="Tahoma"/>
          <w:color w:val="2F5496" w:themeColor="accent1" w:themeShade="BF"/>
        </w:rPr>
        <w:t>iP</w:t>
      </w:r>
      <w:r w:rsidR="00FA2ECC" w:rsidRPr="00FA2ECC">
        <w:rPr>
          <w:rFonts w:ascii="Tahoma" w:hAnsi="Tahoma" w:cs="Tahoma"/>
          <w:color w:val="2F5496" w:themeColor="accent1" w:themeShade="BF"/>
        </w:rPr>
        <w:t>S</w:t>
      </w:r>
      <w:proofErr w:type="spellEnd"/>
      <w:r w:rsidR="003B78E7">
        <w:rPr>
          <w:rFonts w:ascii="Tahoma" w:hAnsi="Tahoma" w:cs="Tahoma"/>
        </w:rPr>
        <w:br/>
      </w:r>
    </w:p>
    <w:p w14:paraId="1D435E7A" w14:textId="77777777" w:rsidR="004B3199" w:rsidRDefault="003B78E7" w:rsidP="003B78E7">
      <w:pPr>
        <w:pStyle w:val="NormalWeb"/>
        <w:spacing w:before="0" w:beforeAutospacing="0" w:after="0" w:afterAutospacing="0"/>
        <w:ind w:left="720"/>
        <w:rPr>
          <w:rFonts w:ascii="Tahoma" w:hAnsi="Tahoma" w:cs="Tahoma"/>
        </w:rPr>
      </w:pPr>
      <w:r>
        <w:rPr>
          <w:rFonts w:ascii="Tahoma" w:hAnsi="Tahoma" w:cs="Tahoma"/>
        </w:rPr>
        <w:t>f. Limited quantities in the body</w:t>
      </w:r>
    </w:p>
    <w:p w14:paraId="1168D9B7" w14:textId="4FF3FF9A"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r w:rsidR="004B3199" w:rsidRPr="00FA2ECC">
        <w:rPr>
          <w:rFonts w:ascii="Tahoma" w:hAnsi="Tahoma" w:cs="Tahoma"/>
          <w:color w:val="2F5496" w:themeColor="accent1" w:themeShade="BF"/>
        </w:rPr>
        <w:t>somatic</w:t>
      </w:r>
      <w:r w:rsidR="003B78E7">
        <w:rPr>
          <w:rFonts w:ascii="Tahoma" w:hAnsi="Tahoma" w:cs="Tahoma"/>
        </w:rPr>
        <w:br/>
      </w:r>
    </w:p>
    <w:p w14:paraId="4457F229" w14:textId="77777777" w:rsidR="00775544" w:rsidRDefault="003B78E7" w:rsidP="003B78E7">
      <w:pPr>
        <w:pStyle w:val="NormalWeb"/>
        <w:spacing w:before="0" w:beforeAutospacing="0" w:after="0" w:afterAutospacing="0"/>
        <w:ind w:left="720"/>
        <w:rPr>
          <w:rFonts w:ascii="Tahoma" w:hAnsi="Tahoma" w:cs="Tahoma"/>
        </w:rPr>
      </w:pPr>
      <w:r>
        <w:rPr>
          <w:rFonts w:ascii="Tahoma" w:hAnsi="Tahoma" w:cs="Tahoma"/>
        </w:rPr>
        <w:t>g. Used in the Advanced Cell Technology clinical trial</w:t>
      </w:r>
    </w:p>
    <w:p w14:paraId="6A4D50FF" w14:textId="04704A91"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r w:rsidR="00775544" w:rsidRPr="00FA2ECC">
        <w:rPr>
          <w:rFonts w:ascii="Tahoma" w:hAnsi="Tahoma" w:cs="Tahoma"/>
          <w:color w:val="2F5496" w:themeColor="accent1" w:themeShade="BF"/>
        </w:rPr>
        <w:t>embryonic</w:t>
      </w:r>
      <w:r w:rsidR="009A6755" w:rsidRPr="00FA2ECC">
        <w:rPr>
          <w:rFonts w:ascii="Tahoma" w:hAnsi="Tahoma" w:cs="Tahoma"/>
          <w:color w:val="2F5496" w:themeColor="accent1" w:themeShade="BF"/>
        </w:rPr>
        <w:t xml:space="preserve">, somatic, </w:t>
      </w:r>
      <w:proofErr w:type="spellStart"/>
      <w:r w:rsidR="009A6755" w:rsidRPr="00FA2ECC">
        <w:rPr>
          <w:rFonts w:ascii="Tahoma" w:hAnsi="Tahoma" w:cs="Tahoma"/>
          <w:color w:val="2F5496" w:themeColor="accent1" w:themeShade="BF"/>
        </w:rPr>
        <w:t>iPS</w:t>
      </w:r>
      <w:proofErr w:type="spellEnd"/>
      <w:r w:rsidR="003B78E7">
        <w:rPr>
          <w:rFonts w:ascii="Tahoma" w:hAnsi="Tahoma" w:cs="Tahoma"/>
        </w:rPr>
        <w:br/>
      </w:r>
    </w:p>
    <w:p w14:paraId="69B65052" w14:textId="332946D7" w:rsidR="003B78E7" w:rsidRDefault="003B78E7" w:rsidP="003B78E7">
      <w:pPr>
        <w:pStyle w:val="NormalWeb"/>
        <w:spacing w:before="0" w:beforeAutospacing="0" w:after="0" w:afterAutospacing="0"/>
        <w:ind w:left="720"/>
        <w:rPr>
          <w:rFonts w:ascii="Tahoma" w:hAnsi="Tahoma" w:cs="Tahoma"/>
        </w:rPr>
      </w:pPr>
      <w:r>
        <w:rPr>
          <w:rFonts w:ascii="Tahoma" w:hAnsi="Tahoma" w:cs="Tahoma"/>
        </w:rPr>
        <w:t xml:space="preserve">h. </w:t>
      </w:r>
      <w:proofErr w:type="spellStart"/>
      <w:r>
        <w:rPr>
          <w:rFonts w:ascii="Tahoma" w:hAnsi="Tahoma" w:cs="Tahoma"/>
        </w:rPr>
        <w:t>Self renews</w:t>
      </w:r>
      <w:proofErr w:type="spellEnd"/>
      <w:r>
        <w:rPr>
          <w:rFonts w:ascii="Tahoma" w:hAnsi="Tahoma" w:cs="Tahoma"/>
        </w:rPr>
        <w:t xml:space="preserve"> and differentiates </w:t>
      </w:r>
    </w:p>
    <w:p w14:paraId="518F77C7" w14:textId="1AD175D7" w:rsidR="00BF7297" w:rsidRDefault="0039404F" w:rsidP="0039404F">
      <w:pPr>
        <w:pStyle w:val="NormalWeb"/>
        <w:spacing w:before="0" w:beforeAutospacing="0" w:after="0" w:afterAutospacing="0"/>
        <w:rPr>
          <w:rFonts w:ascii="Tahoma" w:hAnsi="Tahoma" w:cs="Tahoma"/>
        </w:rPr>
      </w:pPr>
      <w:r>
        <w:rPr>
          <w:rFonts w:ascii="Tahoma" w:hAnsi="Tahoma" w:cs="Tahoma"/>
        </w:rPr>
        <w:t xml:space="preserve">             </w:t>
      </w:r>
      <w:r w:rsidR="004B3199" w:rsidRPr="00FA2ECC">
        <w:rPr>
          <w:rFonts w:ascii="Tahoma" w:hAnsi="Tahoma" w:cs="Tahoma"/>
          <w:color w:val="2F5496" w:themeColor="accent1" w:themeShade="BF"/>
        </w:rPr>
        <w:t xml:space="preserve">embryonic, somatic, </w:t>
      </w:r>
      <w:proofErr w:type="spellStart"/>
      <w:r w:rsidR="004B3199" w:rsidRPr="00FA2ECC">
        <w:rPr>
          <w:rFonts w:ascii="Tahoma" w:hAnsi="Tahoma" w:cs="Tahoma"/>
          <w:color w:val="2F5496" w:themeColor="accent1" w:themeShade="BF"/>
        </w:rPr>
        <w:t>iPS</w:t>
      </w:r>
      <w:proofErr w:type="spellEnd"/>
    </w:p>
    <w:p w14:paraId="0C8895CE" w14:textId="77777777" w:rsidR="00BF7297" w:rsidRDefault="00BF7297" w:rsidP="003B78E7">
      <w:pPr>
        <w:pStyle w:val="NormalWeb"/>
        <w:spacing w:before="0" w:beforeAutospacing="0" w:after="0" w:afterAutospacing="0"/>
        <w:ind w:left="720"/>
        <w:rPr>
          <w:rFonts w:ascii="Tahoma" w:hAnsi="Tahoma" w:cs="Tahoma"/>
        </w:rPr>
      </w:pPr>
    </w:p>
    <w:p w14:paraId="18AD9159" w14:textId="46C36FEE" w:rsidR="00A034C4" w:rsidRDefault="003B78E7" w:rsidP="004E5A60">
      <w:pPr>
        <w:pStyle w:val="NormalWeb"/>
        <w:numPr>
          <w:ilvl w:val="0"/>
          <w:numId w:val="7"/>
        </w:numPr>
        <w:spacing w:before="0" w:beforeAutospacing="0" w:after="0" w:afterAutospacing="0"/>
        <w:rPr>
          <w:rFonts w:ascii="Tahoma" w:hAnsi="Tahoma" w:cs="Tahoma"/>
        </w:rPr>
      </w:pPr>
      <w:r>
        <w:rPr>
          <w:rFonts w:ascii="Tahoma" w:hAnsi="Tahoma" w:cs="Tahoma"/>
        </w:rPr>
        <w:t xml:space="preserve">Understanding the three models of stem cell proliferation please discuss which model a tissue engineer would hope is correct and why? </w:t>
      </w:r>
    </w:p>
    <w:p w14:paraId="52A9C7CA" w14:textId="359186A5" w:rsidR="006D5E77" w:rsidRDefault="006D5E77" w:rsidP="00A53F11">
      <w:pPr>
        <w:pStyle w:val="NormalWeb"/>
        <w:spacing w:before="0" w:beforeAutospacing="0" w:after="0" w:afterAutospacing="0"/>
        <w:ind w:left="720"/>
        <w:rPr>
          <w:rFonts w:ascii="Tahoma" w:hAnsi="Tahoma" w:cs="Tahoma"/>
        </w:rPr>
      </w:pPr>
      <w:r w:rsidRPr="004E5A60">
        <w:rPr>
          <w:rFonts w:ascii="Tahoma" w:hAnsi="Tahoma" w:cs="Tahoma"/>
          <w:b/>
          <w:bCs/>
        </w:rPr>
        <w:t>Clonal succession</w:t>
      </w:r>
      <w:r w:rsidR="00513ACF">
        <w:rPr>
          <w:rFonts w:ascii="Tahoma" w:hAnsi="Tahoma" w:cs="Tahoma"/>
          <w:b/>
          <w:bCs/>
        </w:rPr>
        <w:t xml:space="preserve"> model</w:t>
      </w:r>
      <w:r>
        <w:rPr>
          <w:rFonts w:ascii="Tahoma" w:hAnsi="Tahoma" w:cs="Tahoma"/>
        </w:rPr>
        <w:t>:</w:t>
      </w:r>
      <w:r w:rsidR="00FE57DB">
        <w:rPr>
          <w:rFonts w:ascii="Tahoma" w:hAnsi="Tahoma" w:cs="Tahoma"/>
        </w:rPr>
        <w:t xml:space="preserve"> in this model, </w:t>
      </w:r>
      <w:r w:rsidR="004E5A60">
        <w:rPr>
          <w:rFonts w:ascii="Tahoma" w:hAnsi="Tahoma" w:cs="Tahoma"/>
        </w:rPr>
        <w:t>stem cells are in a dormant state waiting</w:t>
      </w:r>
      <w:r w:rsidR="00B5436D">
        <w:rPr>
          <w:rFonts w:ascii="Tahoma" w:hAnsi="Tahoma" w:cs="Tahoma"/>
        </w:rPr>
        <w:t xml:space="preserve"> to be activated </w:t>
      </w:r>
      <w:r w:rsidR="004E5A60">
        <w:rPr>
          <w:rFonts w:ascii="Tahoma" w:hAnsi="Tahoma" w:cs="Tahoma"/>
        </w:rPr>
        <w:t>and once triggered any of these stem cells could differentiate and proliferate into a large population of mature cells. These stem cells are available for the lifetime of the organism</w:t>
      </w:r>
      <w:r w:rsidR="00280C6C">
        <w:rPr>
          <w:rFonts w:ascii="Tahoma" w:hAnsi="Tahoma" w:cs="Tahoma"/>
        </w:rPr>
        <w:t xml:space="preserve"> and have a limited lifespan</w:t>
      </w:r>
      <w:r w:rsidR="004E5A60">
        <w:rPr>
          <w:rFonts w:ascii="Tahoma" w:hAnsi="Tahoma" w:cs="Tahoma"/>
        </w:rPr>
        <w:t xml:space="preserve">. The mature clone eventually </w:t>
      </w:r>
      <w:r w:rsidR="00513ACF">
        <w:rPr>
          <w:rFonts w:ascii="Tahoma" w:hAnsi="Tahoma" w:cs="Tahoma"/>
        </w:rPr>
        <w:t>burns</w:t>
      </w:r>
      <w:r w:rsidR="004E5A60">
        <w:rPr>
          <w:rFonts w:ascii="Tahoma" w:hAnsi="Tahoma" w:cs="Tahoma"/>
        </w:rPr>
        <w:t xml:space="preserve"> out and a new stem-cell </w:t>
      </w:r>
      <w:r w:rsidR="003B3B19">
        <w:rPr>
          <w:rFonts w:ascii="Tahoma" w:hAnsi="Tahoma" w:cs="Tahoma"/>
        </w:rPr>
        <w:t xml:space="preserve">clone </w:t>
      </w:r>
      <w:r w:rsidR="004E5A60">
        <w:rPr>
          <w:rFonts w:ascii="Tahoma" w:hAnsi="Tahoma" w:cs="Tahoma"/>
        </w:rPr>
        <w:t>take over for cell production.</w:t>
      </w:r>
    </w:p>
    <w:p w14:paraId="7AD51D5E" w14:textId="372A3E9D" w:rsidR="006D5E77" w:rsidRDefault="00513ACF" w:rsidP="00A53F11">
      <w:pPr>
        <w:pStyle w:val="NormalWeb"/>
        <w:spacing w:before="0" w:beforeAutospacing="0" w:after="0" w:afterAutospacing="0"/>
        <w:ind w:left="720"/>
        <w:rPr>
          <w:rFonts w:ascii="Tahoma" w:hAnsi="Tahoma" w:cs="Tahoma"/>
        </w:rPr>
      </w:pPr>
      <w:r w:rsidRPr="00A53F11">
        <w:rPr>
          <w:rFonts w:ascii="Tahoma" w:hAnsi="Tahoma" w:cs="Tahoma"/>
          <w:b/>
          <w:bCs/>
        </w:rPr>
        <w:t>Deterministic model</w:t>
      </w:r>
      <w:r>
        <w:rPr>
          <w:rFonts w:ascii="Tahoma" w:hAnsi="Tahoma" w:cs="Tahoma"/>
        </w:rPr>
        <w:t xml:space="preserve">: this model assumes that the stem cells can self-renew and differentiate into a mature cell </w:t>
      </w:r>
      <w:r w:rsidR="00C17379">
        <w:rPr>
          <w:rFonts w:ascii="Tahoma" w:hAnsi="Tahoma" w:cs="Tahoma"/>
        </w:rPr>
        <w:t>and</w:t>
      </w:r>
      <w:r>
        <w:rPr>
          <w:rFonts w:ascii="Tahoma" w:hAnsi="Tahoma" w:cs="Tahoma"/>
        </w:rPr>
        <w:t xml:space="preserve"> </w:t>
      </w:r>
      <w:r w:rsidR="00C17379">
        <w:rPr>
          <w:rFonts w:ascii="Tahoma" w:hAnsi="Tahoma" w:cs="Tahoma"/>
        </w:rPr>
        <w:t>a</w:t>
      </w:r>
      <w:r>
        <w:rPr>
          <w:rFonts w:ascii="Tahoma" w:hAnsi="Tahoma" w:cs="Tahoma"/>
        </w:rPr>
        <w:t xml:space="preserve"> stem-cell daughter</w:t>
      </w:r>
      <w:r w:rsidR="00FE4B7E">
        <w:rPr>
          <w:rFonts w:ascii="Tahoma" w:hAnsi="Tahoma" w:cs="Tahoma"/>
        </w:rPr>
        <w:t xml:space="preserve">. The probability of </w:t>
      </w:r>
      <w:r w:rsidR="00FE4B7E">
        <w:rPr>
          <w:rFonts w:ascii="Tahoma" w:hAnsi="Tahoma" w:cs="Tahoma"/>
        </w:rPr>
        <w:lastRenderedPageBreak/>
        <w:t>self-renewal may not be exactly 50% depending on tissue environment and may be subject to telomere length.</w:t>
      </w:r>
    </w:p>
    <w:p w14:paraId="00A81BBD" w14:textId="234264AF" w:rsidR="0045357A" w:rsidRDefault="0045357A" w:rsidP="00A53F11">
      <w:pPr>
        <w:pStyle w:val="NormalWeb"/>
        <w:spacing w:before="0" w:beforeAutospacing="0" w:after="0" w:afterAutospacing="0"/>
        <w:ind w:left="720"/>
        <w:rPr>
          <w:rFonts w:ascii="Tahoma" w:hAnsi="Tahoma" w:cs="Tahoma"/>
        </w:rPr>
      </w:pPr>
      <w:r w:rsidRPr="00A53F11">
        <w:rPr>
          <w:rFonts w:ascii="Tahoma" w:hAnsi="Tahoma" w:cs="Tahoma"/>
          <w:b/>
          <w:bCs/>
        </w:rPr>
        <w:t>Stochastic model</w:t>
      </w:r>
      <w:r>
        <w:rPr>
          <w:rFonts w:ascii="Tahoma" w:hAnsi="Tahoma" w:cs="Tahoma"/>
        </w:rPr>
        <w:t>: the behavior of the outcome of differentiation is random in nature; i.e., a stem cell can generate 0,</w:t>
      </w:r>
      <w:r w:rsidR="00034C5A">
        <w:rPr>
          <w:rFonts w:ascii="Tahoma" w:hAnsi="Tahoma" w:cs="Tahoma"/>
        </w:rPr>
        <w:t xml:space="preserve"> </w:t>
      </w:r>
      <w:r>
        <w:rPr>
          <w:rFonts w:ascii="Tahoma" w:hAnsi="Tahoma" w:cs="Tahoma"/>
        </w:rPr>
        <w:t>1 or 2 stem cells as daughter cells</w:t>
      </w:r>
      <w:r w:rsidR="00DE7DC3">
        <w:rPr>
          <w:rFonts w:ascii="Tahoma" w:hAnsi="Tahoma" w:cs="Tahoma"/>
        </w:rPr>
        <w:t>; and ca</w:t>
      </w:r>
      <w:r w:rsidR="00034C5A">
        <w:rPr>
          <w:rFonts w:ascii="Tahoma" w:hAnsi="Tahoma" w:cs="Tahoma"/>
        </w:rPr>
        <w:t>n</w:t>
      </w:r>
      <w:r w:rsidR="00DE7DC3">
        <w:rPr>
          <w:rFonts w:ascii="Tahoma" w:hAnsi="Tahoma" w:cs="Tahoma"/>
        </w:rPr>
        <w:t xml:space="preserve"> be regulated like the deterministic model by </w:t>
      </w:r>
      <w:r w:rsidR="00034C5A">
        <w:rPr>
          <w:rFonts w:ascii="Tahoma" w:hAnsi="Tahoma" w:cs="Tahoma"/>
        </w:rPr>
        <w:t>factors external to the dividing cell.</w:t>
      </w:r>
    </w:p>
    <w:p w14:paraId="51A424EF" w14:textId="0F7A1AC4" w:rsidR="00F8673E" w:rsidRDefault="00F56F59" w:rsidP="00F97D92">
      <w:pPr>
        <w:pStyle w:val="NormalWeb"/>
        <w:spacing w:before="0" w:beforeAutospacing="0" w:after="0" w:afterAutospacing="0"/>
        <w:ind w:left="720"/>
        <w:rPr>
          <w:rFonts w:ascii="Tahoma" w:hAnsi="Tahoma" w:cs="Tahoma"/>
        </w:rPr>
      </w:pPr>
      <w:r>
        <w:rPr>
          <w:rFonts w:ascii="Tahoma" w:hAnsi="Tahoma" w:cs="Tahoma"/>
        </w:rPr>
        <w:t>A tissue engineer, would like to rely on the deterministic model, which</w:t>
      </w:r>
      <w:r w:rsidR="00DA2458">
        <w:rPr>
          <w:rFonts w:ascii="Tahoma" w:hAnsi="Tahoma" w:cs="Tahoma"/>
        </w:rPr>
        <w:t>,</w:t>
      </w:r>
      <w:r>
        <w:rPr>
          <w:rFonts w:ascii="Tahoma" w:hAnsi="Tahoma" w:cs="Tahoma"/>
        </w:rPr>
        <w:t xml:space="preserve"> </w:t>
      </w:r>
      <w:r w:rsidR="00F8673E">
        <w:rPr>
          <w:rFonts w:ascii="Tahoma" w:hAnsi="Tahoma" w:cs="Tahoma"/>
        </w:rPr>
        <w:t xml:space="preserve">is based. </w:t>
      </w:r>
      <w:r w:rsidR="00303FAE">
        <w:rPr>
          <w:rFonts w:ascii="Tahoma" w:hAnsi="Tahoma" w:cs="Tahoma"/>
        </w:rPr>
        <w:t>o</w:t>
      </w:r>
      <w:r w:rsidR="00F8673E">
        <w:rPr>
          <w:rFonts w:ascii="Tahoma" w:hAnsi="Tahoma" w:cs="Tahoma"/>
        </w:rPr>
        <w:t>n the notion that stem cells exhibit a deterministic behavior given their response to differentiation stimuli</w:t>
      </w:r>
      <w:r w:rsidR="00FF76D0">
        <w:rPr>
          <w:rFonts w:ascii="Tahoma" w:hAnsi="Tahoma" w:cs="Tahoma"/>
        </w:rPr>
        <w:t xml:space="preserve"> and generate </w:t>
      </w:r>
      <w:r w:rsidR="00D65CC8">
        <w:rPr>
          <w:rFonts w:ascii="Tahoma" w:hAnsi="Tahoma" w:cs="Tahoma"/>
        </w:rPr>
        <w:t>mature</w:t>
      </w:r>
      <w:r w:rsidR="00FF76D0">
        <w:rPr>
          <w:rFonts w:ascii="Tahoma" w:hAnsi="Tahoma" w:cs="Tahoma"/>
        </w:rPr>
        <w:t xml:space="preserve"> cell</w:t>
      </w:r>
      <w:r w:rsidR="00943121">
        <w:rPr>
          <w:rFonts w:ascii="Tahoma" w:hAnsi="Tahoma" w:cs="Tahoma"/>
        </w:rPr>
        <w:t>s</w:t>
      </w:r>
      <w:r w:rsidR="00FF76D0">
        <w:rPr>
          <w:rFonts w:ascii="Tahoma" w:hAnsi="Tahoma" w:cs="Tahoma"/>
        </w:rPr>
        <w:t xml:space="preserve"> for tissue engineering and stem cell</w:t>
      </w:r>
      <w:r w:rsidR="00943121">
        <w:rPr>
          <w:rFonts w:ascii="Tahoma" w:hAnsi="Tahoma" w:cs="Tahoma"/>
        </w:rPr>
        <w:t>s</w:t>
      </w:r>
      <w:r w:rsidR="00FF76D0">
        <w:rPr>
          <w:rFonts w:ascii="Tahoma" w:hAnsi="Tahoma" w:cs="Tahoma"/>
        </w:rPr>
        <w:t xml:space="preserve"> for </w:t>
      </w:r>
      <w:r w:rsidR="0073476A">
        <w:rPr>
          <w:rFonts w:ascii="Tahoma" w:hAnsi="Tahoma" w:cs="Tahoma"/>
        </w:rPr>
        <w:t>self-renewal and population growth</w:t>
      </w:r>
      <w:r w:rsidR="00F8673E">
        <w:rPr>
          <w:rFonts w:ascii="Tahoma" w:hAnsi="Tahoma" w:cs="Tahoma"/>
        </w:rPr>
        <w:t>.</w:t>
      </w:r>
    </w:p>
    <w:p w14:paraId="275130CD" w14:textId="77777777" w:rsidR="00F97D92" w:rsidRPr="00A034C4" w:rsidRDefault="00F97D92" w:rsidP="00F97D92">
      <w:pPr>
        <w:pStyle w:val="NormalWeb"/>
        <w:spacing w:before="0" w:beforeAutospacing="0" w:after="0" w:afterAutospacing="0"/>
        <w:ind w:left="720"/>
        <w:rPr>
          <w:rFonts w:ascii="Tahoma" w:hAnsi="Tahoma" w:cs="Tahoma"/>
        </w:rPr>
      </w:pPr>
    </w:p>
    <w:p w14:paraId="03791E51" w14:textId="50C8E168" w:rsidR="00A034C4" w:rsidRDefault="003B78E7" w:rsidP="00A034C4">
      <w:pPr>
        <w:pStyle w:val="NormalWeb"/>
        <w:numPr>
          <w:ilvl w:val="0"/>
          <w:numId w:val="7"/>
        </w:numPr>
        <w:spacing w:before="120" w:beforeAutospacing="0" w:after="120" w:afterAutospacing="0"/>
        <w:rPr>
          <w:rFonts w:ascii="Tahoma" w:hAnsi="Tahoma" w:cs="Tahoma"/>
        </w:rPr>
      </w:pPr>
      <w:r>
        <w:rPr>
          <w:rFonts w:ascii="Tahoma" w:hAnsi="Tahoma" w:cs="Tahoma"/>
        </w:rPr>
        <w:t xml:space="preserve">As we saw this week in lecture, there are a limited number of clinical trials using embryonic stem cells. One company, </w:t>
      </w:r>
      <w:proofErr w:type="spellStart"/>
      <w:r>
        <w:rPr>
          <w:rFonts w:ascii="Tahoma" w:hAnsi="Tahoma" w:cs="Tahoma"/>
        </w:rPr>
        <w:t>Geron</w:t>
      </w:r>
      <w:proofErr w:type="spellEnd"/>
      <w:r>
        <w:rPr>
          <w:rFonts w:ascii="Tahoma" w:hAnsi="Tahoma" w:cs="Tahoma"/>
        </w:rPr>
        <w:t xml:space="preserve">, which pioneered clinical use of </w:t>
      </w:r>
      <w:proofErr w:type="spellStart"/>
      <w:r>
        <w:rPr>
          <w:rFonts w:ascii="Tahoma" w:hAnsi="Tahoma" w:cs="Tahoma"/>
        </w:rPr>
        <w:t>hESCs</w:t>
      </w:r>
      <w:proofErr w:type="spellEnd"/>
      <w:r>
        <w:rPr>
          <w:rFonts w:ascii="Tahoma" w:hAnsi="Tahoma" w:cs="Tahoma"/>
        </w:rPr>
        <w:t xml:space="preserve"> stopped their trial. Begin by reading the article from </w:t>
      </w:r>
      <w:proofErr w:type="spellStart"/>
      <w:r>
        <w:rPr>
          <w:rFonts w:ascii="Tahoma" w:hAnsi="Tahoma" w:cs="Tahoma"/>
        </w:rPr>
        <w:t>ScienceMag</w:t>
      </w:r>
      <w:proofErr w:type="spellEnd"/>
      <w:r>
        <w:rPr>
          <w:rFonts w:ascii="Tahoma" w:hAnsi="Tahoma" w:cs="Tahoma"/>
        </w:rPr>
        <w:t xml:space="preserve"> about </w:t>
      </w:r>
      <w:proofErr w:type="spellStart"/>
      <w:r>
        <w:rPr>
          <w:rFonts w:ascii="Tahoma" w:hAnsi="Tahoma" w:cs="Tahoma"/>
        </w:rPr>
        <w:t>Geron</w:t>
      </w:r>
      <w:proofErr w:type="spellEnd"/>
      <w:r>
        <w:rPr>
          <w:rFonts w:ascii="Tahoma" w:hAnsi="Tahoma" w:cs="Tahoma"/>
        </w:rPr>
        <w:t xml:space="preserve">. Please explain why </w:t>
      </w:r>
      <w:proofErr w:type="spellStart"/>
      <w:r>
        <w:rPr>
          <w:rFonts w:ascii="Tahoma" w:hAnsi="Tahoma" w:cs="Tahoma"/>
        </w:rPr>
        <w:t>Geron</w:t>
      </w:r>
      <w:proofErr w:type="spellEnd"/>
      <w:r>
        <w:rPr>
          <w:rFonts w:ascii="Tahoma" w:hAnsi="Tahoma" w:cs="Tahoma"/>
        </w:rPr>
        <w:t xml:space="preserve"> halted their clinical trial utilizing </w:t>
      </w:r>
      <w:proofErr w:type="spellStart"/>
      <w:r>
        <w:rPr>
          <w:rFonts w:ascii="Tahoma" w:hAnsi="Tahoma" w:cs="Tahoma"/>
        </w:rPr>
        <w:t>hESC</w:t>
      </w:r>
      <w:proofErr w:type="spellEnd"/>
      <w:r>
        <w:rPr>
          <w:rFonts w:ascii="Tahoma" w:hAnsi="Tahoma" w:cs="Tahoma"/>
        </w:rPr>
        <w:t xml:space="preserve">-derived oligodendrocytes to treat spinal cord injuries? And second, explain why they stopped pursuits of stem cell research entirely? Does this surprise you? </w:t>
      </w:r>
    </w:p>
    <w:p w14:paraId="2CFE843E" w14:textId="3A2EB495" w:rsidR="006A3445" w:rsidRDefault="007B1CAB" w:rsidP="00325D13">
      <w:pPr>
        <w:pStyle w:val="NormalWeb"/>
        <w:spacing w:before="120" w:beforeAutospacing="0" w:after="120" w:afterAutospacing="0"/>
        <w:ind w:left="360"/>
        <w:rPr>
          <w:rFonts w:ascii="Tahoma" w:hAnsi="Tahoma" w:cs="Tahoma"/>
        </w:rPr>
      </w:pPr>
      <w:r>
        <w:rPr>
          <w:rFonts w:ascii="Tahoma" w:hAnsi="Tahoma" w:cs="Tahoma"/>
        </w:rPr>
        <w:t>After a year</w:t>
      </w:r>
      <w:r w:rsidR="00441338">
        <w:rPr>
          <w:rFonts w:ascii="Tahoma" w:hAnsi="Tahoma" w:cs="Tahoma"/>
        </w:rPr>
        <w:t>,</w:t>
      </w:r>
      <w:r w:rsidR="006A3445">
        <w:rPr>
          <w:rFonts w:ascii="Tahoma" w:hAnsi="Tahoma" w:cs="Tahoma"/>
        </w:rPr>
        <w:t xml:space="preserve"> </w:t>
      </w:r>
      <w:proofErr w:type="spellStart"/>
      <w:r w:rsidR="006A3445">
        <w:rPr>
          <w:rFonts w:ascii="Tahoma" w:hAnsi="Tahoma" w:cs="Tahoma"/>
        </w:rPr>
        <w:t>Geron</w:t>
      </w:r>
      <w:proofErr w:type="spellEnd"/>
      <w:r w:rsidR="006A3445">
        <w:rPr>
          <w:rFonts w:ascii="Tahoma" w:hAnsi="Tahoma" w:cs="Tahoma"/>
        </w:rPr>
        <w:t xml:space="preserve"> decided to stop </w:t>
      </w:r>
      <w:r w:rsidR="00441338">
        <w:rPr>
          <w:rFonts w:ascii="Tahoma" w:hAnsi="Tahoma" w:cs="Tahoma"/>
        </w:rPr>
        <w:t>a trial to treat 8 patients with spinal cord injury, inject</w:t>
      </w:r>
      <w:r w:rsidR="003157DB">
        <w:rPr>
          <w:rFonts w:ascii="Tahoma" w:hAnsi="Tahoma" w:cs="Tahoma"/>
        </w:rPr>
        <w:t>ed</w:t>
      </w:r>
      <w:r w:rsidR="00441338">
        <w:rPr>
          <w:rFonts w:ascii="Tahoma" w:hAnsi="Tahoma" w:cs="Tahoma"/>
        </w:rPr>
        <w:t xml:space="preserve"> with</w:t>
      </w:r>
      <w:r w:rsidR="006A3445">
        <w:rPr>
          <w:rFonts w:ascii="Tahoma" w:hAnsi="Tahoma" w:cs="Tahoma"/>
        </w:rPr>
        <w:t xml:space="preserve"> </w:t>
      </w:r>
      <w:proofErr w:type="spellStart"/>
      <w:r w:rsidR="006A3445">
        <w:rPr>
          <w:rFonts w:ascii="Tahoma" w:hAnsi="Tahoma" w:cs="Tahoma"/>
        </w:rPr>
        <w:t>hESC</w:t>
      </w:r>
      <w:proofErr w:type="spellEnd"/>
      <w:r w:rsidR="006A3445">
        <w:rPr>
          <w:rFonts w:ascii="Tahoma" w:hAnsi="Tahoma" w:cs="Tahoma"/>
        </w:rPr>
        <w:t xml:space="preserve">-derived oligodendrocytes </w:t>
      </w:r>
      <w:r w:rsidR="00441338">
        <w:rPr>
          <w:rFonts w:ascii="Tahoma" w:hAnsi="Tahoma" w:cs="Tahoma"/>
        </w:rPr>
        <w:t>stem cells</w:t>
      </w:r>
      <w:r>
        <w:rPr>
          <w:rFonts w:ascii="Tahoma" w:hAnsi="Tahoma" w:cs="Tahoma"/>
        </w:rPr>
        <w:t>. At that time,</w:t>
      </w:r>
      <w:r w:rsidR="00441338">
        <w:rPr>
          <w:rFonts w:ascii="Tahoma" w:hAnsi="Tahoma" w:cs="Tahoma"/>
        </w:rPr>
        <w:t xml:space="preserve"> </w:t>
      </w:r>
      <w:r w:rsidR="006A3445">
        <w:rPr>
          <w:rFonts w:ascii="Tahoma" w:hAnsi="Tahoma" w:cs="Tahoma"/>
        </w:rPr>
        <w:t xml:space="preserve">it has already spent $170 million </w:t>
      </w:r>
      <w:r w:rsidR="00F53586">
        <w:rPr>
          <w:rFonts w:ascii="Tahoma" w:hAnsi="Tahoma" w:cs="Tahoma"/>
        </w:rPr>
        <w:t>from which</w:t>
      </w:r>
      <w:r w:rsidR="006A3445">
        <w:rPr>
          <w:rFonts w:ascii="Tahoma" w:hAnsi="Tahoma" w:cs="Tahoma"/>
        </w:rPr>
        <w:t xml:space="preserve"> $25 million</w:t>
      </w:r>
      <w:r w:rsidR="00F35BE2">
        <w:rPr>
          <w:rFonts w:ascii="Tahoma" w:hAnsi="Tahoma" w:cs="Tahoma"/>
        </w:rPr>
        <w:t xml:space="preserve"> </w:t>
      </w:r>
      <w:r w:rsidR="00F53586">
        <w:rPr>
          <w:rFonts w:ascii="Tahoma" w:hAnsi="Tahoma" w:cs="Tahoma"/>
        </w:rPr>
        <w:t>was</w:t>
      </w:r>
      <w:r w:rsidR="00F35BE2">
        <w:rPr>
          <w:rFonts w:ascii="Tahoma" w:hAnsi="Tahoma" w:cs="Tahoma"/>
        </w:rPr>
        <w:t xml:space="preserve"> a </w:t>
      </w:r>
      <w:r w:rsidR="00441338">
        <w:rPr>
          <w:rFonts w:ascii="Tahoma" w:hAnsi="Tahoma" w:cs="Tahoma"/>
        </w:rPr>
        <w:t xml:space="preserve">loan from the </w:t>
      </w:r>
      <w:r w:rsidR="006A3445">
        <w:rPr>
          <w:rFonts w:ascii="Tahoma" w:hAnsi="Tahoma" w:cs="Tahoma"/>
        </w:rPr>
        <w:t>California Institute for Regenerative Medicine, a government funded institution</w:t>
      </w:r>
      <w:r w:rsidR="005A2446">
        <w:rPr>
          <w:rFonts w:ascii="Tahoma" w:hAnsi="Tahoma" w:cs="Tahoma"/>
        </w:rPr>
        <w:t xml:space="preserve"> </w:t>
      </w:r>
      <w:r w:rsidR="005A2446">
        <w:rPr>
          <w:rFonts w:ascii="Tahoma" w:hAnsi="Tahoma" w:cs="Tahoma"/>
        </w:rPr>
        <w:fldChar w:fldCharType="begin"/>
      </w:r>
      <w:r w:rsidR="005A2446">
        <w:rPr>
          <w:rFonts w:ascii="Tahoma" w:hAnsi="Tahoma" w:cs="Tahoma"/>
        </w:rPr>
        <w:instrText xml:space="preserve"> ADDIN ZOTERO_ITEM CSL_CITATION {"citationID":"dNs9Mp07","properties":{"formattedCitation":"(Lukovic et al.)","plainCitation":"(Lukovic et al.)","noteIndex":0},"citationItems":[{"id":5391,"uris":["http://zotero.org/users/7286058/items/MLYX8UVY"],"itemData":{"id":5391,"type":"article-journal","container-title":"Stem Cells and Development","DOI":"10.1089/scd.2013.0266","ISSN":"1547-3287, 1557-8534","issue":"1","journalAbbreviation":"Stem Cells and Development","language":"en","page":"1-4","source":"DOI.org (Crossref)","title":"Perspectives and Future Directions of Human Pluripotent Stem Cell-Based Therapies: Lessons from Geron's Clinical Trial for Spinal Cord Injury","title-short":"Perspectives and Future Directions of Human Pluripotent Stem Cell-Based Therapies","URL":"https://www.liebertpub.com/doi/10.1089/scd.2013.0266","volume":"23","author":[{"family":"Lukovic","given":"Dunja"},{"family":"Stojkovic","given":"Miodrag"},{"family":"Moreno-Manzano","given":"Victoria"},{"family":"Bhattacharya","given":"Shomi Shanker"},{"family":"Erceg","given":"Slaven"}],"accessed":{"date-parts":[["2022",11,10]]},"issued":{"date-parts":[["2014",1]]}}}],"schema":"https://github.com/citation-style-language/schema/raw/master/csl-citation.json"} </w:instrText>
      </w:r>
      <w:r w:rsidR="005A2446">
        <w:rPr>
          <w:rFonts w:ascii="Tahoma" w:hAnsi="Tahoma" w:cs="Tahoma"/>
        </w:rPr>
        <w:fldChar w:fldCharType="separate"/>
      </w:r>
      <w:r w:rsidR="005A2446">
        <w:rPr>
          <w:rFonts w:ascii="Tahoma" w:hAnsi="Tahoma" w:cs="Tahoma"/>
          <w:noProof/>
        </w:rPr>
        <w:t>(Lukovic et al.)</w:t>
      </w:r>
      <w:r w:rsidR="005A2446">
        <w:rPr>
          <w:rFonts w:ascii="Tahoma" w:hAnsi="Tahoma" w:cs="Tahoma"/>
        </w:rPr>
        <w:fldChar w:fldCharType="end"/>
      </w:r>
      <w:r w:rsidR="00F35BE2">
        <w:rPr>
          <w:rFonts w:ascii="Tahoma" w:hAnsi="Tahoma" w:cs="Tahoma"/>
        </w:rPr>
        <w:t>. It is reasonable to assume that the cost would have</w:t>
      </w:r>
      <w:r w:rsidR="000E7DB4">
        <w:rPr>
          <w:rFonts w:ascii="Tahoma" w:hAnsi="Tahoma" w:cs="Tahoma"/>
        </w:rPr>
        <w:t xml:space="preserve"> at least</w:t>
      </w:r>
      <w:r w:rsidR="00F35BE2">
        <w:rPr>
          <w:rFonts w:ascii="Tahoma" w:hAnsi="Tahoma" w:cs="Tahoma"/>
        </w:rPr>
        <w:t xml:space="preserve"> doubled as such study </w:t>
      </w:r>
      <w:r w:rsidR="002C7EAB">
        <w:rPr>
          <w:rFonts w:ascii="Tahoma" w:hAnsi="Tahoma" w:cs="Tahoma"/>
        </w:rPr>
        <w:t xml:space="preserve">to be approved by the FDA, requires a </w:t>
      </w:r>
      <w:r w:rsidR="00F35BE2">
        <w:rPr>
          <w:rFonts w:ascii="Tahoma" w:hAnsi="Tahoma" w:cs="Tahoma"/>
        </w:rPr>
        <w:t>continuous monitoring of the patients for injury improvements, adverse events, or comorbidities issues</w:t>
      </w:r>
      <w:r w:rsidR="000E7DB4">
        <w:rPr>
          <w:rFonts w:ascii="Tahoma" w:hAnsi="Tahoma" w:cs="Tahoma"/>
        </w:rPr>
        <w:t xml:space="preserve"> for many years</w:t>
      </w:r>
      <w:r w:rsidR="00F35BE2">
        <w:rPr>
          <w:rFonts w:ascii="Tahoma" w:hAnsi="Tahoma" w:cs="Tahoma"/>
        </w:rPr>
        <w:t xml:space="preserve">. </w:t>
      </w:r>
      <w:r w:rsidR="003D54F7">
        <w:rPr>
          <w:rFonts w:ascii="Tahoma" w:hAnsi="Tahoma" w:cs="Tahoma"/>
        </w:rPr>
        <w:t xml:space="preserve">At the same time, </w:t>
      </w:r>
      <w:proofErr w:type="spellStart"/>
      <w:r w:rsidR="003D54F7">
        <w:rPr>
          <w:rFonts w:ascii="Tahoma" w:hAnsi="Tahoma" w:cs="Tahoma"/>
        </w:rPr>
        <w:t>Geron</w:t>
      </w:r>
      <w:proofErr w:type="spellEnd"/>
      <w:r w:rsidR="003D54F7">
        <w:rPr>
          <w:rFonts w:ascii="Tahoma" w:hAnsi="Tahoma" w:cs="Tahoma"/>
        </w:rPr>
        <w:t xml:space="preserve"> probably anticipated that their funding through Regenerative </w:t>
      </w:r>
      <w:r w:rsidR="00132617">
        <w:rPr>
          <w:rFonts w:ascii="Tahoma" w:hAnsi="Tahoma" w:cs="Tahoma"/>
        </w:rPr>
        <w:t>Medicine, will</w:t>
      </w:r>
      <w:r w:rsidR="003D54F7">
        <w:rPr>
          <w:rFonts w:ascii="Tahoma" w:hAnsi="Tahoma" w:cs="Tahoma"/>
        </w:rPr>
        <w:t xml:space="preserve"> be cut: f</w:t>
      </w:r>
      <w:r w:rsidR="00320C7A">
        <w:rPr>
          <w:rFonts w:ascii="Tahoma" w:hAnsi="Tahoma" w:cs="Tahoma"/>
        </w:rPr>
        <w:t xml:space="preserve">rom 2011 until today (slide </w:t>
      </w:r>
      <w:r w:rsidR="00067A4C">
        <w:rPr>
          <w:rFonts w:ascii="Tahoma" w:hAnsi="Tahoma" w:cs="Tahoma"/>
        </w:rPr>
        <w:t>10-</w:t>
      </w:r>
      <w:r w:rsidR="00320C7A">
        <w:rPr>
          <w:rFonts w:ascii="Tahoma" w:hAnsi="Tahoma" w:cs="Tahoma"/>
        </w:rPr>
        <w:t xml:space="preserve">11D), </w:t>
      </w:r>
      <w:r w:rsidR="002C7EAB">
        <w:rPr>
          <w:rFonts w:ascii="Tahoma" w:hAnsi="Tahoma" w:cs="Tahoma"/>
        </w:rPr>
        <w:t xml:space="preserve">there </w:t>
      </w:r>
      <w:r w:rsidR="006F5C5F">
        <w:rPr>
          <w:rFonts w:ascii="Tahoma" w:hAnsi="Tahoma" w:cs="Tahoma"/>
        </w:rPr>
        <w:t>has</w:t>
      </w:r>
      <w:r w:rsidR="002C7EAB">
        <w:rPr>
          <w:rFonts w:ascii="Tahoma" w:hAnsi="Tahoma" w:cs="Tahoma"/>
        </w:rPr>
        <w:t xml:space="preserve"> been </w:t>
      </w:r>
      <w:r w:rsidR="00EC6491">
        <w:rPr>
          <w:rFonts w:ascii="Tahoma" w:hAnsi="Tahoma" w:cs="Tahoma"/>
        </w:rPr>
        <w:t xml:space="preserve">much </w:t>
      </w:r>
      <w:r w:rsidR="00A65539">
        <w:rPr>
          <w:rFonts w:ascii="Tahoma" w:hAnsi="Tahoma" w:cs="Tahoma"/>
        </w:rPr>
        <w:t xml:space="preserve">more </w:t>
      </w:r>
      <w:r w:rsidR="002C7EAB">
        <w:rPr>
          <w:rFonts w:ascii="Tahoma" w:hAnsi="Tahoma" w:cs="Tahoma"/>
        </w:rPr>
        <w:t>NIH funding</w:t>
      </w:r>
      <w:r w:rsidR="00EC6491">
        <w:rPr>
          <w:rFonts w:ascii="Tahoma" w:hAnsi="Tahoma" w:cs="Tahoma"/>
        </w:rPr>
        <w:t xml:space="preserve"> in </w:t>
      </w:r>
      <w:r w:rsidR="002C7EAB">
        <w:rPr>
          <w:rFonts w:ascii="Tahoma" w:hAnsi="Tahoma" w:cs="Tahoma"/>
        </w:rPr>
        <w:t xml:space="preserve">non-embryonic and iPSC </w:t>
      </w:r>
      <w:r w:rsidR="00EC6491">
        <w:rPr>
          <w:rFonts w:ascii="Tahoma" w:hAnsi="Tahoma" w:cs="Tahoma"/>
        </w:rPr>
        <w:t xml:space="preserve">research </w:t>
      </w:r>
      <w:r w:rsidR="00A65539">
        <w:rPr>
          <w:rFonts w:ascii="Tahoma" w:hAnsi="Tahoma" w:cs="Tahoma"/>
        </w:rPr>
        <w:t>compared to human embryonic research</w:t>
      </w:r>
      <w:r w:rsidR="002C7EAB">
        <w:rPr>
          <w:rFonts w:ascii="Tahoma" w:hAnsi="Tahoma" w:cs="Tahoma"/>
        </w:rPr>
        <w:t xml:space="preserve">. </w:t>
      </w:r>
      <w:r w:rsidR="00DB70CD">
        <w:rPr>
          <w:rFonts w:ascii="Tahoma" w:hAnsi="Tahoma" w:cs="Tahoma"/>
        </w:rPr>
        <w:t xml:space="preserve">In addition, </w:t>
      </w:r>
      <w:proofErr w:type="spellStart"/>
      <w:r w:rsidR="00DB70CD">
        <w:rPr>
          <w:rFonts w:ascii="Tahoma" w:hAnsi="Tahoma" w:cs="Tahoma"/>
        </w:rPr>
        <w:t>Geron</w:t>
      </w:r>
      <w:proofErr w:type="spellEnd"/>
      <w:r w:rsidR="00DB70CD">
        <w:rPr>
          <w:rFonts w:ascii="Tahoma" w:hAnsi="Tahoma" w:cs="Tahoma"/>
        </w:rPr>
        <w:t xml:space="preserve"> fund</w:t>
      </w:r>
      <w:r w:rsidR="001D2E08">
        <w:rPr>
          <w:rFonts w:ascii="Tahoma" w:hAnsi="Tahoma" w:cs="Tahoma"/>
        </w:rPr>
        <w:t>ed</w:t>
      </w:r>
      <w:r w:rsidR="00DB70CD">
        <w:rPr>
          <w:rFonts w:ascii="Tahoma" w:hAnsi="Tahoma" w:cs="Tahoma"/>
        </w:rPr>
        <w:t xml:space="preserve"> Dr Thomson research in 1998. </w:t>
      </w:r>
      <w:r w:rsidR="00CC152B">
        <w:rPr>
          <w:rFonts w:ascii="Tahoma" w:hAnsi="Tahoma" w:cs="Tahoma"/>
        </w:rPr>
        <w:t>I</w:t>
      </w:r>
      <w:r w:rsidR="001D2E08">
        <w:rPr>
          <w:rFonts w:ascii="Tahoma" w:hAnsi="Tahoma" w:cs="Tahoma"/>
        </w:rPr>
        <w:t xml:space="preserve">n </w:t>
      </w:r>
      <w:r w:rsidR="00DB70CD">
        <w:rPr>
          <w:rFonts w:ascii="Tahoma" w:hAnsi="Tahoma" w:cs="Tahoma"/>
        </w:rPr>
        <w:t xml:space="preserve">2011, </w:t>
      </w:r>
      <w:r w:rsidR="00F16886">
        <w:rPr>
          <w:rFonts w:ascii="Tahoma" w:hAnsi="Tahoma" w:cs="Tahoma"/>
        </w:rPr>
        <w:t xml:space="preserve">3 years after, </w:t>
      </w:r>
      <w:proofErr w:type="spellStart"/>
      <w:r w:rsidR="001D2E08">
        <w:rPr>
          <w:rFonts w:ascii="Tahoma" w:hAnsi="Tahoma" w:cs="Tahoma"/>
        </w:rPr>
        <w:t>Geron</w:t>
      </w:r>
      <w:proofErr w:type="spellEnd"/>
      <w:r w:rsidR="001D2E08">
        <w:rPr>
          <w:rFonts w:ascii="Tahoma" w:hAnsi="Tahoma" w:cs="Tahoma"/>
        </w:rPr>
        <w:t xml:space="preserve"> did not yet </w:t>
      </w:r>
      <w:r w:rsidR="00791CE6">
        <w:rPr>
          <w:rFonts w:ascii="Tahoma" w:hAnsi="Tahoma" w:cs="Tahoma"/>
        </w:rPr>
        <w:t xml:space="preserve">have </w:t>
      </w:r>
      <w:r w:rsidR="001D2E08">
        <w:rPr>
          <w:rFonts w:ascii="Tahoma" w:hAnsi="Tahoma" w:cs="Tahoma"/>
        </w:rPr>
        <w:t xml:space="preserve">any </w:t>
      </w:r>
      <w:r w:rsidR="00F16886">
        <w:rPr>
          <w:rFonts w:ascii="Tahoma" w:hAnsi="Tahoma" w:cs="Tahoma"/>
        </w:rPr>
        <w:t xml:space="preserve">FDA </w:t>
      </w:r>
      <w:r w:rsidR="001D2E08">
        <w:rPr>
          <w:rFonts w:ascii="Tahoma" w:hAnsi="Tahoma" w:cs="Tahoma"/>
        </w:rPr>
        <w:t xml:space="preserve">approved stem cell therapy. </w:t>
      </w:r>
      <w:proofErr w:type="spellStart"/>
      <w:r w:rsidR="002C7EAB">
        <w:rPr>
          <w:rFonts w:ascii="Tahoma" w:hAnsi="Tahoma" w:cs="Tahoma"/>
        </w:rPr>
        <w:t>Geron</w:t>
      </w:r>
      <w:proofErr w:type="spellEnd"/>
      <w:r w:rsidR="002C7EAB">
        <w:rPr>
          <w:rFonts w:ascii="Tahoma" w:hAnsi="Tahoma" w:cs="Tahoma"/>
        </w:rPr>
        <w:t xml:space="preserve"> executive </w:t>
      </w:r>
      <w:r w:rsidR="000E7DB4">
        <w:rPr>
          <w:rFonts w:ascii="Tahoma" w:hAnsi="Tahoma" w:cs="Tahoma"/>
        </w:rPr>
        <w:t xml:space="preserve">committee, </w:t>
      </w:r>
      <w:r w:rsidR="00DB70CD">
        <w:rPr>
          <w:rFonts w:ascii="Tahoma" w:hAnsi="Tahoma" w:cs="Tahoma"/>
        </w:rPr>
        <w:t xml:space="preserve">probably </w:t>
      </w:r>
      <w:r w:rsidR="00CC152B">
        <w:rPr>
          <w:rFonts w:ascii="Tahoma" w:hAnsi="Tahoma" w:cs="Tahoma"/>
        </w:rPr>
        <w:t>then</w:t>
      </w:r>
      <w:r w:rsidR="00282321">
        <w:rPr>
          <w:rFonts w:ascii="Tahoma" w:hAnsi="Tahoma" w:cs="Tahoma"/>
        </w:rPr>
        <w:t>,</w:t>
      </w:r>
      <w:r w:rsidR="00CC152B">
        <w:rPr>
          <w:rFonts w:ascii="Tahoma" w:hAnsi="Tahoma" w:cs="Tahoma"/>
        </w:rPr>
        <w:t xml:space="preserve"> </w:t>
      </w:r>
      <w:r w:rsidR="00DB70CD">
        <w:rPr>
          <w:rFonts w:ascii="Tahoma" w:hAnsi="Tahoma" w:cs="Tahoma"/>
        </w:rPr>
        <w:t xml:space="preserve">realized that the </w:t>
      </w:r>
      <w:r w:rsidR="00992E78">
        <w:rPr>
          <w:rFonts w:ascii="Tahoma" w:hAnsi="Tahoma" w:cs="Tahoma"/>
        </w:rPr>
        <w:t xml:space="preserve">amount of </w:t>
      </w:r>
      <w:r w:rsidR="00DB70CD">
        <w:rPr>
          <w:rFonts w:ascii="Tahoma" w:hAnsi="Tahoma" w:cs="Tahoma"/>
        </w:rPr>
        <w:t xml:space="preserve">investment needed to continue </w:t>
      </w:r>
      <w:r w:rsidR="000E7DB4">
        <w:rPr>
          <w:rFonts w:ascii="Tahoma" w:hAnsi="Tahoma" w:cs="Tahoma"/>
        </w:rPr>
        <w:t xml:space="preserve">the trial but also </w:t>
      </w:r>
      <w:r w:rsidR="00DB70CD">
        <w:rPr>
          <w:rFonts w:ascii="Tahoma" w:hAnsi="Tahoma" w:cs="Tahoma"/>
        </w:rPr>
        <w:t xml:space="preserve">their </w:t>
      </w:r>
      <w:r w:rsidR="000E7DB4">
        <w:rPr>
          <w:rFonts w:ascii="Tahoma" w:hAnsi="Tahoma" w:cs="Tahoma"/>
        </w:rPr>
        <w:t>stem cell research</w:t>
      </w:r>
      <w:r w:rsidR="00DB70CD">
        <w:rPr>
          <w:rFonts w:ascii="Tahoma" w:hAnsi="Tahoma" w:cs="Tahoma"/>
        </w:rPr>
        <w:t xml:space="preserve">; </w:t>
      </w:r>
      <w:r w:rsidR="00992E78">
        <w:rPr>
          <w:rFonts w:ascii="Tahoma" w:hAnsi="Tahoma" w:cs="Tahoma"/>
        </w:rPr>
        <w:t>will be</w:t>
      </w:r>
      <w:r w:rsidR="00DB70CD">
        <w:rPr>
          <w:rFonts w:ascii="Tahoma" w:hAnsi="Tahoma" w:cs="Tahoma"/>
        </w:rPr>
        <w:t xml:space="preserve"> too </w:t>
      </w:r>
      <w:r w:rsidR="00992E78">
        <w:rPr>
          <w:rFonts w:ascii="Tahoma" w:hAnsi="Tahoma" w:cs="Tahoma"/>
        </w:rPr>
        <w:t>important</w:t>
      </w:r>
      <w:r w:rsidR="00DB70CD">
        <w:rPr>
          <w:rFonts w:ascii="Tahoma" w:hAnsi="Tahoma" w:cs="Tahoma"/>
        </w:rPr>
        <w:t xml:space="preserve">, </w:t>
      </w:r>
      <w:r w:rsidR="00F11B8C">
        <w:rPr>
          <w:rFonts w:ascii="Tahoma" w:hAnsi="Tahoma" w:cs="Tahoma"/>
        </w:rPr>
        <w:t>and could jeopardize</w:t>
      </w:r>
      <w:r w:rsidR="00327E82">
        <w:rPr>
          <w:rFonts w:ascii="Tahoma" w:hAnsi="Tahoma" w:cs="Tahoma"/>
        </w:rPr>
        <w:t>;</w:t>
      </w:r>
      <w:r w:rsidR="00F11B8C">
        <w:rPr>
          <w:rFonts w:ascii="Tahoma" w:hAnsi="Tahoma" w:cs="Tahoma"/>
        </w:rPr>
        <w:t xml:space="preserve"> maybe</w:t>
      </w:r>
      <w:r w:rsidR="000C5FA2">
        <w:rPr>
          <w:rFonts w:ascii="Tahoma" w:hAnsi="Tahoma" w:cs="Tahoma"/>
        </w:rPr>
        <w:t>;</w:t>
      </w:r>
      <w:r w:rsidR="00F11B8C">
        <w:rPr>
          <w:rFonts w:ascii="Tahoma" w:hAnsi="Tahoma" w:cs="Tahoma"/>
        </w:rPr>
        <w:t xml:space="preserve"> other </w:t>
      </w:r>
      <w:r w:rsidR="00327E82">
        <w:rPr>
          <w:rFonts w:ascii="Tahoma" w:hAnsi="Tahoma" w:cs="Tahoma"/>
        </w:rPr>
        <w:t xml:space="preserve">more </w:t>
      </w:r>
      <w:r w:rsidR="00F11B8C">
        <w:rPr>
          <w:rFonts w:ascii="Tahoma" w:hAnsi="Tahoma" w:cs="Tahoma"/>
        </w:rPr>
        <w:t xml:space="preserve">promising research. </w:t>
      </w:r>
      <w:r w:rsidR="00CE0C35">
        <w:rPr>
          <w:rFonts w:ascii="Tahoma" w:hAnsi="Tahoma" w:cs="Tahoma"/>
        </w:rPr>
        <w:t>With</w:t>
      </w:r>
      <w:r w:rsidR="00500940">
        <w:rPr>
          <w:rFonts w:ascii="Tahoma" w:hAnsi="Tahoma" w:cs="Tahoma"/>
        </w:rPr>
        <w:t xml:space="preserve"> this context; it seems expected that </w:t>
      </w:r>
      <w:proofErr w:type="spellStart"/>
      <w:r w:rsidR="00500940">
        <w:rPr>
          <w:rFonts w:ascii="Tahoma" w:hAnsi="Tahoma" w:cs="Tahoma"/>
        </w:rPr>
        <w:t>Geron</w:t>
      </w:r>
      <w:proofErr w:type="spellEnd"/>
      <w:r w:rsidR="00CE0C35">
        <w:rPr>
          <w:rFonts w:ascii="Tahoma" w:hAnsi="Tahoma" w:cs="Tahoma"/>
        </w:rPr>
        <w:t>;</w:t>
      </w:r>
      <w:r w:rsidR="00500940">
        <w:rPr>
          <w:rFonts w:ascii="Tahoma" w:hAnsi="Tahoma" w:cs="Tahoma"/>
        </w:rPr>
        <w:t xml:space="preserve"> as a public company under the pressure of investors, took the only decision they could </w:t>
      </w:r>
      <w:r w:rsidR="00B70299">
        <w:rPr>
          <w:rFonts w:ascii="Tahoma" w:hAnsi="Tahoma" w:cs="Tahoma"/>
        </w:rPr>
        <w:t xml:space="preserve">have financially </w:t>
      </w:r>
      <w:r w:rsidR="00500940">
        <w:rPr>
          <w:rFonts w:ascii="Tahoma" w:hAnsi="Tahoma" w:cs="Tahoma"/>
        </w:rPr>
        <w:t>made</w:t>
      </w:r>
      <w:r w:rsidR="001B13F5">
        <w:rPr>
          <w:rFonts w:ascii="Tahoma" w:hAnsi="Tahoma" w:cs="Tahoma"/>
        </w:rPr>
        <w:t xml:space="preserve"> and </w:t>
      </w:r>
      <w:r w:rsidR="000C5FA2">
        <w:rPr>
          <w:rFonts w:ascii="Tahoma" w:hAnsi="Tahoma" w:cs="Tahoma"/>
        </w:rPr>
        <w:t xml:space="preserve">decided to </w:t>
      </w:r>
      <w:r w:rsidR="001B13F5">
        <w:rPr>
          <w:rFonts w:ascii="Tahoma" w:hAnsi="Tahoma" w:cs="Tahoma"/>
        </w:rPr>
        <w:t>st</w:t>
      </w:r>
      <w:r w:rsidR="000C5FA2">
        <w:rPr>
          <w:rFonts w:ascii="Tahoma" w:hAnsi="Tahoma" w:cs="Tahoma"/>
        </w:rPr>
        <w:t>o</w:t>
      </w:r>
      <w:r w:rsidR="001B13F5">
        <w:rPr>
          <w:rFonts w:ascii="Tahoma" w:hAnsi="Tahoma" w:cs="Tahoma"/>
        </w:rPr>
        <w:t xml:space="preserve">p </w:t>
      </w:r>
      <w:r w:rsidR="00B978BA">
        <w:rPr>
          <w:rFonts w:ascii="Tahoma" w:hAnsi="Tahoma" w:cs="Tahoma"/>
        </w:rPr>
        <w:t xml:space="preserve">the trial and </w:t>
      </w:r>
      <w:r w:rsidR="001B13F5">
        <w:rPr>
          <w:rFonts w:ascii="Tahoma" w:hAnsi="Tahoma" w:cs="Tahoma"/>
        </w:rPr>
        <w:t>pursu</w:t>
      </w:r>
      <w:r w:rsidR="00B70299">
        <w:rPr>
          <w:rFonts w:ascii="Tahoma" w:hAnsi="Tahoma" w:cs="Tahoma"/>
        </w:rPr>
        <w:t xml:space="preserve">ing </w:t>
      </w:r>
      <w:r w:rsidR="001B13F5">
        <w:rPr>
          <w:rFonts w:ascii="Tahoma" w:hAnsi="Tahoma" w:cs="Tahoma"/>
        </w:rPr>
        <w:t>stem cell research altogether.</w:t>
      </w:r>
    </w:p>
    <w:p w14:paraId="50F056E5" w14:textId="4540ECA2" w:rsidR="00CA1B72" w:rsidRPr="00A034C4" w:rsidRDefault="006A3445" w:rsidP="00CA1B72">
      <w:pPr>
        <w:pStyle w:val="NormalWeb"/>
        <w:spacing w:before="120" w:beforeAutospacing="0" w:after="120" w:afterAutospacing="0"/>
        <w:rPr>
          <w:rFonts w:ascii="Tahoma" w:hAnsi="Tahoma" w:cs="Tahoma"/>
        </w:rPr>
      </w:pPr>
      <w:r>
        <w:rPr>
          <w:rFonts w:ascii="Tahoma" w:hAnsi="Tahoma" w:cs="Tahoma"/>
        </w:rPr>
        <w:t xml:space="preserve"> </w:t>
      </w:r>
    </w:p>
    <w:p w14:paraId="5F671AF1" w14:textId="77777777" w:rsidR="00A034C4" w:rsidRDefault="003B78E7" w:rsidP="00A034C4">
      <w:pPr>
        <w:pStyle w:val="NormalWeb"/>
        <w:numPr>
          <w:ilvl w:val="0"/>
          <w:numId w:val="7"/>
        </w:numPr>
        <w:spacing w:before="0" w:beforeAutospacing="0" w:after="0" w:afterAutospacing="0"/>
        <w:rPr>
          <w:rFonts w:ascii="Tahoma" w:hAnsi="Tahoma" w:cs="Tahoma"/>
        </w:rPr>
      </w:pPr>
      <w:r>
        <w:rPr>
          <w:rFonts w:ascii="Tahoma" w:hAnsi="Tahoma" w:cs="Tahoma"/>
        </w:rPr>
        <w:t xml:space="preserve">The following review article discusses how chromatic regulation and structure is involved in stem cell creation (iPSCs), pluripotency and differentiation. At the beginning of this semester, we started a discussion on epigenetics - how chromatin compaction can regulate protein expression. In reading this article, you will continue that discussion. After reading, please provide a critical review of no more than 400 words. </w:t>
      </w:r>
    </w:p>
    <w:p w14:paraId="034EE65B" w14:textId="3278CD42" w:rsidR="003B78E7" w:rsidRPr="00A034C4" w:rsidRDefault="003B78E7" w:rsidP="00A034C4">
      <w:pPr>
        <w:pStyle w:val="NormalWeb"/>
        <w:spacing w:before="0" w:beforeAutospacing="0" w:after="0" w:afterAutospacing="0"/>
        <w:ind w:left="720"/>
        <w:rPr>
          <w:rFonts w:ascii="Tahoma" w:hAnsi="Tahoma" w:cs="Tahoma"/>
        </w:rPr>
      </w:pPr>
      <w:r w:rsidRPr="00A034C4">
        <w:rPr>
          <w:rFonts w:ascii="Tahoma" w:hAnsi="Tahoma" w:cs="Tahoma"/>
        </w:rPr>
        <w:t xml:space="preserve">This review should include the following points: </w:t>
      </w:r>
    </w:p>
    <w:p w14:paraId="352211D8" w14:textId="77777777" w:rsidR="00A034C4" w:rsidRDefault="003B78E7" w:rsidP="00D278EB">
      <w:pPr>
        <w:pStyle w:val="NormalWeb"/>
        <w:spacing w:before="0" w:beforeAutospacing="0" w:after="0" w:afterAutospacing="0"/>
        <w:ind w:left="720"/>
        <w:rPr>
          <w:rFonts w:ascii="Tahoma" w:hAnsi="Tahoma" w:cs="Tahoma"/>
        </w:rPr>
      </w:pPr>
      <w:r>
        <w:rPr>
          <w:rFonts w:ascii="Calibri" w:hAnsi="Calibri" w:cs="Calibri"/>
        </w:rPr>
        <w:lastRenderedPageBreak/>
        <w:t xml:space="preserve">- </w:t>
      </w:r>
      <w:r>
        <w:rPr>
          <w:rFonts w:ascii="Tahoma" w:hAnsi="Tahoma" w:cs="Tahoma"/>
        </w:rPr>
        <w:t>how histone acetylation and methylation regulate gene expression</w:t>
      </w:r>
      <w:r>
        <w:rPr>
          <w:rFonts w:ascii="Tahoma" w:hAnsi="Tahoma" w:cs="Tahoma"/>
        </w:rPr>
        <w:br/>
      </w:r>
      <w:r>
        <w:rPr>
          <w:rFonts w:ascii="Calibri" w:hAnsi="Calibri" w:cs="Calibri"/>
        </w:rPr>
        <w:t xml:space="preserve">- </w:t>
      </w:r>
      <w:r>
        <w:rPr>
          <w:rFonts w:ascii="Tahoma" w:hAnsi="Tahoma" w:cs="Tahoma"/>
        </w:rPr>
        <w:t xml:space="preserve">the differences in chromatin structure between stem and differentiated cells </w:t>
      </w:r>
    </w:p>
    <w:p w14:paraId="07D60EE8" w14:textId="77777777" w:rsidR="000E0E1B" w:rsidRDefault="003B78E7" w:rsidP="000E0E1B">
      <w:pPr>
        <w:pStyle w:val="NormalWeb"/>
        <w:spacing w:before="0" w:beforeAutospacing="0" w:after="0" w:afterAutospacing="0"/>
        <w:ind w:left="720"/>
        <w:rPr>
          <w:rFonts w:ascii="Tahoma" w:hAnsi="Tahoma" w:cs="Tahoma"/>
        </w:rPr>
      </w:pPr>
      <w:r>
        <w:rPr>
          <w:rFonts w:ascii="Calibri" w:hAnsi="Calibri" w:cs="Calibri"/>
        </w:rPr>
        <w:t xml:space="preserve">- </w:t>
      </w:r>
      <w:r>
        <w:rPr>
          <w:rFonts w:ascii="Tahoma" w:hAnsi="Tahoma" w:cs="Tahoma"/>
        </w:rPr>
        <w:t xml:space="preserve">the model of nuclear compartmentalization </w:t>
      </w:r>
    </w:p>
    <w:p w14:paraId="4EFDB008" w14:textId="61642B9D" w:rsidR="003B78E7" w:rsidRDefault="003B78E7" w:rsidP="000E0E1B">
      <w:pPr>
        <w:pStyle w:val="NormalWeb"/>
        <w:spacing w:before="0" w:beforeAutospacing="0" w:after="0" w:afterAutospacing="0"/>
        <w:ind w:left="720"/>
        <w:rPr>
          <w:rFonts w:ascii="Tahoma" w:hAnsi="Tahoma" w:cs="Tahoma"/>
        </w:rPr>
      </w:pPr>
      <w:r>
        <w:rPr>
          <w:rFonts w:ascii="Tahoma" w:hAnsi="Tahoma" w:cs="Tahoma"/>
        </w:rPr>
        <w:t xml:space="preserve">Article: Serrano, L., Vazquez, B.D., and </w:t>
      </w:r>
      <w:proofErr w:type="spellStart"/>
      <w:r>
        <w:rPr>
          <w:rFonts w:ascii="Tahoma" w:hAnsi="Tahoma" w:cs="Tahoma"/>
        </w:rPr>
        <w:t>Tischfield</w:t>
      </w:r>
      <w:proofErr w:type="spellEnd"/>
      <w:r>
        <w:rPr>
          <w:rFonts w:ascii="Tahoma" w:hAnsi="Tahoma" w:cs="Tahoma"/>
        </w:rPr>
        <w:t xml:space="preserve">, J. Chromatin Structure, pluripotency and differentiation. Experimental Biology and Medicine. 238: 259-270. 2013. </w:t>
      </w:r>
    </w:p>
    <w:p w14:paraId="5AEA159A" w14:textId="614BA08A" w:rsidR="001D0017" w:rsidRDefault="001D0017" w:rsidP="000E0E1B">
      <w:pPr>
        <w:pStyle w:val="NormalWeb"/>
        <w:spacing w:before="0" w:beforeAutospacing="0" w:after="0" w:afterAutospacing="0"/>
        <w:ind w:left="720"/>
        <w:rPr>
          <w:rFonts w:ascii="Tahoma" w:hAnsi="Tahoma" w:cs="Tahoma"/>
        </w:rPr>
      </w:pPr>
    </w:p>
    <w:p w14:paraId="16EB69C4" w14:textId="77777777" w:rsidR="00D306C4" w:rsidRDefault="00D306C4" w:rsidP="00D306C4">
      <w:pPr>
        <w:spacing w:line="480" w:lineRule="auto"/>
        <w:rPr>
          <w:rFonts w:ascii="Tahoma" w:hAnsi="Tahoma" w:cs="Tahoma"/>
        </w:rPr>
      </w:pPr>
      <w:r>
        <w:rPr>
          <w:rFonts w:ascii="Tahoma" w:hAnsi="Tahoma" w:cs="Tahoma"/>
        </w:rPr>
        <w:t>Acetylation or methylation of lysine residues of histones, are among histones post-translational modifications causing chromatin conformational changes; which then regulate the recruitment of transcriptional factors and other chromatin binding proteins to DNA. Histone ace</w:t>
      </w:r>
      <w:r w:rsidRPr="009341B7">
        <w:rPr>
          <w:rFonts w:ascii="Tahoma" w:hAnsi="Tahoma" w:cs="Tahoma"/>
        </w:rPr>
        <w:t>t</w:t>
      </w:r>
      <w:r>
        <w:rPr>
          <w:rFonts w:ascii="Tahoma" w:hAnsi="Tahoma" w:cs="Tahoma"/>
        </w:rPr>
        <w:t xml:space="preserve">ylation is modulated by two sets of enzymes HATs and HDACs, both involved in the regulation of gene transcriptional programs. Inhibition of HDACS promote cell proliferation and reprogramming. Class I, II, III HDACs including </w:t>
      </w:r>
      <w:proofErr w:type="spellStart"/>
      <w:r>
        <w:rPr>
          <w:rFonts w:ascii="Tahoma" w:hAnsi="Tahoma" w:cs="Tahoma"/>
        </w:rPr>
        <w:t>Sirtuins</w:t>
      </w:r>
      <w:proofErr w:type="spellEnd"/>
      <w:r>
        <w:rPr>
          <w:rFonts w:ascii="Tahoma" w:hAnsi="Tahoma" w:cs="Tahoma"/>
        </w:rPr>
        <w:t xml:space="preserve"> play a role in limiting the reprogramming process induced by the transcription factors Nanog, Sox, Oct4; and HDAC inhibitors such as VPA or TSA significantly enhance differentiation by down-regulating pluripotency genes. Histone methylation marks of histone H3 are often involved in regulation of gene expression (H3K4me1), transcriptional elongation (H3K36me3) and gene silencing (H3K9me3, H3K27me3).  In ESC, bi-valent domains are defined by the simultaneous presence of both H3K27me3 and H3K4me3 marks; genes which have only H3K27me3 or none of these marks are not involved in cell differentiation; and genes involved in cell differentiation present only H3K4me3 mark, and become active.</w:t>
      </w:r>
      <w:r w:rsidRPr="000E0ED3">
        <w:rPr>
          <w:rFonts w:ascii="Tahoma" w:hAnsi="Tahoma" w:cs="Tahoma"/>
        </w:rPr>
        <w:t xml:space="preserve"> </w:t>
      </w:r>
      <w:r>
        <w:rPr>
          <w:rFonts w:ascii="Tahoma" w:hAnsi="Tahoma" w:cs="Tahoma"/>
        </w:rPr>
        <w:t xml:space="preserve">In ESC and iPSC; H3, H4 </w:t>
      </w:r>
      <w:proofErr w:type="spellStart"/>
      <w:r>
        <w:rPr>
          <w:rFonts w:ascii="Tahoma" w:hAnsi="Tahoma" w:cs="Tahoma"/>
        </w:rPr>
        <w:t>acetylations</w:t>
      </w:r>
      <w:proofErr w:type="spellEnd"/>
      <w:r>
        <w:rPr>
          <w:rFonts w:ascii="Tahoma" w:hAnsi="Tahoma" w:cs="Tahoma"/>
        </w:rPr>
        <w:t xml:space="preserve">; and H4K36me2, H3K4me3 levels are increased whereas heterochromatin is reduced which correlates to a more open chromatin organization important for pluripotency. Chromosomes in the nucleus, are organized in ~1Mb non-overlapping territories (CT) of open and closed chromatin domains. Pluripotency genes activation correlates with gene </w:t>
      </w:r>
      <w:r>
        <w:rPr>
          <w:rFonts w:ascii="Tahoma" w:hAnsi="Tahoma" w:cs="Tahoma"/>
        </w:rPr>
        <w:lastRenderedPageBreak/>
        <w:t xml:space="preserve">positioning within CTs. Chromatin </w:t>
      </w:r>
      <w:proofErr w:type="spellStart"/>
      <w:r>
        <w:rPr>
          <w:rFonts w:ascii="Tahoma" w:hAnsi="Tahoma" w:cs="Tahoma"/>
        </w:rPr>
        <w:t>decondensation</w:t>
      </w:r>
      <w:proofErr w:type="spellEnd"/>
      <w:r>
        <w:rPr>
          <w:rFonts w:ascii="Tahoma" w:hAnsi="Tahoma" w:cs="Tahoma"/>
        </w:rPr>
        <w:t xml:space="preserve"> and chromatin looping out of the CT increase this transcriptional activation, and also, enable long-range regulatory gene interactions. Nuclear domains act as barrier against the spreading of heterochromatin and partition chromatin into transcriptionally active and </w:t>
      </w:r>
      <w:r w:rsidRPr="00A621F6">
        <w:rPr>
          <w:rFonts w:ascii="Tahoma" w:hAnsi="Tahoma" w:cs="Tahoma"/>
        </w:rPr>
        <w:t>inactive</w:t>
      </w:r>
      <w:r>
        <w:rPr>
          <w:rFonts w:ascii="Tahoma" w:hAnsi="Tahoma" w:cs="Tahoma"/>
        </w:rPr>
        <w:t xml:space="preserve"> chromatin regions, and include:</w:t>
      </w:r>
    </w:p>
    <w:p w14:paraId="60453188" w14:textId="77777777" w:rsidR="00D306C4" w:rsidRPr="000A4F91" w:rsidRDefault="00D306C4" w:rsidP="00D306C4">
      <w:pPr>
        <w:pStyle w:val="ListParagraph"/>
        <w:numPr>
          <w:ilvl w:val="0"/>
          <w:numId w:val="8"/>
        </w:numPr>
        <w:spacing w:line="480" w:lineRule="auto"/>
        <w:rPr>
          <w:rFonts w:ascii="Tahoma" w:hAnsi="Tahoma" w:cs="Tahoma"/>
        </w:rPr>
      </w:pPr>
      <w:r w:rsidRPr="000A4F91">
        <w:rPr>
          <w:rFonts w:ascii="Tahoma" w:hAnsi="Tahoma" w:cs="Tahoma"/>
          <w:b/>
          <w:bCs/>
        </w:rPr>
        <w:t>Replication domains</w:t>
      </w:r>
      <w:r w:rsidRPr="000A4F91">
        <w:rPr>
          <w:rFonts w:ascii="Tahoma" w:hAnsi="Tahoma" w:cs="Tahoma"/>
        </w:rPr>
        <w:t>: large chromosome domains where replication timing is regulated. Upon differentiation of ESCs to NPCs, chromatin domains reorganize switching from early to late and late to early replication timing. Concentration of active histone marks is found at domain boundaries: making these domains part of the pluripotency signature.</w:t>
      </w:r>
    </w:p>
    <w:p w14:paraId="598A2A7C" w14:textId="77777777" w:rsidR="00D306C4" w:rsidRPr="008E5689" w:rsidRDefault="00D306C4" w:rsidP="00D306C4">
      <w:pPr>
        <w:pStyle w:val="ListParagraph"/>
        <w:numPr>
          <w:ilvl w:val="0"/>
          <w:numId w:val="8"/>
        </w:numPr>
        <w:spacing w:line="480" w:lineRule="auto"/>
        <w:rPr>
          <w:rFonts w:ascii="Tahoma" w:hAnsi="Tahoma" w:cs="Tahoma"/>
        </w:rPr>
      </w:pPr>
      <w:r w:rsidRPr="008E5689">
        <w:rPr>
          <w:rFonts w:ascii="Tahoma" w:hAnsi="Tahoma" w:cs="Tahoma"/>
          <w:b/>
          <w:bCs/>
        </w:rPr>
        <w:t>Lamina-associated-domain (LADs) and LOCKS domains</w:t>
      </w:r>
      <w:r w:rsidRPr="008E5689">
        <w:rPr>
          <w:rFonts w:ascii="Tahoma" w:hAnsi="Tahoma" w:cs="Tahoma"/>
        </w:rPr>
        <w:t xml:space="preserve">: </w:t>
      </w:r>
      <w:r>
        <w:rPr>
          <w:rFonts w:ascii="Tahoma" w:hAnsi="Tahoma" w:cs="Tahoma"/>
        </w:rPr>
        <w:t>i</w:t>
      </w:r>
      <w:r w:rsidRPr="008E5689">
        <w:rPr>
          <w:rFonts w:ascii="Tahoma" w:hAnsi="Tahoma" w:cs="Tahoma"/>
        </w:rPr>
        <w:t>n differentiated cells, LOCKs overlap with LADs, and presence of inactive chromatin</w:t>
      </w:r>
    </w:p>
    <w:p w14:paraId="248CCF75" w14:textId="77777777" w:rsidR="00D306C4" w:rsidRDefault="00D306C4" w:rsidP="00D306C4">
      <w:pPr>
        <w:spacing w:line="480" w:lineRule="auto"/>
        <w:ind w:left="360"/>
        <w:rPr>
          <w:rFonts w:ascii="Tahoma" w:hAnsi="Tahoma" w:cs="Tahoma"/>
        </w:rPr>
      </w:pPr>
      <w:r>
        <w:rPr>
          <w:rFonts w:ascii="Tahoma" w:hAnsi="Tahoma" w:cs="Tahoma"/>
        </w:rPr>
        <w:t>domains are important in silencing non-lineage-specific genes by facilitating their association with the nuclear lamina. Both types of domains are enriched in CTF binding sites. Contrary to LADs,</w:t>
      </w:r>
      <w:r w:rsidRPr="00313831">
        <w:rPr>
          <w:rFonts w:ascii="Tahoma" w:hAnsi="Tahoma" w:cs="Tahoma"/>
        </w:rPr>
        <w:t xml:space="preserve"> </w:t>
      </w:r>
      <w:r>
        <w:rPr>
          <w:rFonts w:ascii="Tahoma" w:hAnsi="Tahoma" w:cs="Tahoma"/>
        </w:rPr>
        <w:t>LOCK distribution and abundance; change upon differentiation.</w:t>
      </w:r>
    </w:p>
    <w:p w14:paraId="48FF915F" w14:textId="77777777" w:rsidR="00D306C4" w:rsidRDefault="00D306C4" w:rsidP="00D306C4">
      <w:pPr>
        <w:pStyle w:val="ListParagraph"/>
        <w:numPr>
          <w:ilvl w:val="0"/>
          <w:numId w:val="8"/>
        </w:numPr>
        <w:spacing w:line="480" w:lineRule="auto"/>
        <w:rPr>
          <w:rFonts w:ascii="Tahoma" w:hAnsi="Tahoma" w:cs="Tahoma"/>
        </w:rPr>
      </w:pPr>
      <w:r w:rsidRPr="005958AF">
        <w:rPr>
          <w:rFonts w:ascii="Tahoma" w:hAnsi="Tahoma" w:cs="Tahoma"/>
          <w:b/>
          <w:bCs/>
        </w:rPr>
        <w:t>Topological domains</w:t>
      </w:r>
      <w:r w:rsidRPr="005958AF">
        <w:rPr>
          <w:rFonts w:ascii="Tahoma" w:hAnsi="Tahoma" w:cs="Tahoma"/>
        </w:rPr>
        <w:t xml:space="preserve">: are local chromatin interaction domains enriched with SINE elements, housekeeping and tRNA genes. </w:t>
      </w:r>
    </w:p>
    <w:p w14:paraId="13EDC917" w14:textId="3A584A7B" w:rsidR="000D314C" w:rsidRPr="00D306C4" w:rsidRDefault="00D306C4" w:rsidP="00D306C4">
      <w:pPr>
        <w:spacing w:line="480" w:lineRule="auto"/>
        <w:rPr>
          <w:rFonts w:ascii="Tahoma" w:hAnsi="Tahoma" w:cs="Tahoma"/>
        </w:rPr>
      </w:pPr>
      <w:r w:rsidRPr="004E5A3B">
        <w:rPr>
          <w:rFonts w:ascii="Tahoma" w:hAnsi="Tahoma" w:cs="Tahoma"/>
        </w:rPr>
        <w:t xml:space="preserve">Upon cellular reprogramming, these </w:t>
      </w:r>
      <w:r>
        <w:rPr>
          <w:rFonts w:ascii="Tahoma" w:hAnsi="Tahoma" w:cs="Tahoma"/>
        </w:rPr>
        <w:t xml:space="preserve">different types of </w:t>
      </w:r>
      <w:r w:rsidRPr="004E5A3B">
        <w:rPr>
          <w:rFonts w:ascii="Tahoma" w:hAnsi="Tahoma" w:cs="Tahoma"/>
        </w:rPr>
        <w:t>nuclear domains revert to the undifferentiated state to the exception of early to late replicating</w:t>
      </w:r>
      <w:r>
        <w:rPr>
          <w:rFonts w:ascii="Tahoma" w:hAnsi="Tahoma" w:cs="Tahoma"/>
        </w:rPr>
        <w:t xml:space="preserve"> domain</w:t>
      </w:r>
      <w:r>
        <w:rPr>
          <w:rFonts w:ascii="Tahoma" w:hAnsi="Tahoma" w:cs="Tahoma"/>
        </w:rPr>
        <w:t>s</w:t>
      </w:r>
      <w:r w:rsidRPr="004E5A3B">
        <w:rPr>
          <w:rFonts w:ascii="Tahoma" w:hAnsi="Tahoma" w:cs="Tahoma"/>
        </w:rPr>
        <w:t>.</w:t>
      </w:r>
    </w:p>
    <w:p w14:paraId="32998628" w14:textId="77777777" w:rsidR="0097631A" w:rsidRDefault="0097631A" w:rsidP="00F41547">
      <w:pPr>
        <w:pStyle w:val="ListParagraph"/>
        <w:ind w:left="360"/>
        <w:rPr>
          <w:rFonts w:ascii="Tahoma" w:hAnsi="Tahoma" w:cs="Tahoma"/>
        </w:rPr>
      </w:pPr>
    </w:p>
    <w:p w14:paraId="480EAC9C" w14:textId="5AA52B98" w:rsidR="0097631A" w:rsidRPr="0097631A" w:rsidRDefault="0097631A" w:rsidP="0097631A">
      <w:pPr>
        <w:rPr>
          <w:rFonts w:ascii="Tahoma" w:hAnsi="Tahoma" w:cs="Tahoma"/>
          <w:b/>
          <w:bCs/>
        </w:rPr>
      </w:pPr>
      <w:r w:rsidRPr="0097631A">
        <w:rPr>
          <w:rFonts w:ascii="Tahoma" w:hAnsi="Tahoma" w:cs="Tahoma"/>
          <w:b/>
          <w:bCs/>
        </w:rPr>
        <w:t>Sources:</w:t>
      </w:r>
    </w:p>
    <w:p w14:paraId="08A3C3C6" w14:textId="46BC7CDB" w:rsidR="007F1B9C" w:rsidRPr="002B36A4" w:rsidRDefault="001D0017" w:rsidP="001D0017">
      <w:pPr>
        <w:pStyle w:val="ListParagraph"/>
        <w:numPr>
          <w:ilvl w:val="0"/>
          <w:numId w:val="8"/>
        </w:numPr>
        <w:rPr>
          <w:rFonts w:ascii="Tahoma" w:hAnsi="Tahoma" w:cs="Tahoma"/>
        </w:rPr>
      </w:pPr>
      <w:proofErr w:type="spellStart"/>
      <w:r w:rsidRPr="002B36A4">
        <w:rPr>
          <w:rFonts w:ascii="Tahoma" w:hAnsi="Tahoma" w:cs="Tahoma"/>
        </w:rPr>
        <w:t>Geron</w:t>
      </w:r>
      <w:proofErr w:type="spellEnd"/>
      <w:r w:rsidRPr="002B36A4">
        <w:rPr>
          <w:rFonts w:ascii="Tahoma" w:hAnsi="Tahoma" w:cs="Tahoma"/>
        </w:rPr>
        <w:t xml:space="preserve"> Bails Out of Stem Cells: </w:t>
      </w:r>
      <w:hyperlink r:id="rId8" w:history="1">
        <w:r w:rsidRPr="002B36A4">
          <w:rPr>
            <w:rStyle w:val="Hyperlink"/>
            <w:rFonts w:ascii="Tahoma" w:hAnsi="Tahoma" w:cs="Tahoma"/>
          </w:rPr>
          <w:t>https://www-science-org.proxy1.library.jhu.edu/content/article/geron-bails-out-stem-cells</w:t>
        </w:r>
      </w:hyperlink>
    </w:p>
    <w:p w14:paraId="4B4B71F8" w14:textId="77777777" w:rsidR="007F1B9C" w:rsidRPr="002B36A4" w:rsidRDefault="007F1B9C" w:rsidP="003B78E7">
      <w:pPr>
        <w:rPr>
          <w:rFonts w:ascii="Tahoma" w:hAnsi="Tahoma" w:cs="Tahoma"/>
        </w:rPr>
      </w:pPr>
    </w:p>
    <w:p w14:paraId="6400DA00" w14:textId="77777777" w:rsidR="00F4225B" w:rsidRPr="002B36A4" w:rsidRDefault="007F1B9C" w:rsidP="00F4225B">
      <w:pPr>
        <w:pStyle w:val="Bibliography"/>
        <w:numPr>
          <w:ilvl w:val="0"/>
          <w:numId w:val="8"/>
        </w:numPr>
        <w:rPr>
          <w:rFonts w:ascii="Tahoma" w:hAnsi="Tahoma" w:cs="Tahoma"/>
        </w:rPr>
      </w:pPr>
      <w:r w:rsidRPr="002B36A4">
        <w:rPr>
          <w:rFonts w:ascii="Tahoma" w:hAnsi="Tahoma" w:cs="Tahoma"/>
        </w:rPr>
        <w:fldChar w:fldCharType="begin"/>
      </w:r>
      <w:r w:rsidR="001D0017" w:rsidRPr="002B36A4">
        <w:rPr>
          <w:rFonts w:ascii="Tahoma" w:hAnsi="Tahoma" w:cs="Tahoma"/>
        </w:rPr>
        <w:instrText xml:space="preserve"> ADDIN ZOTERO_BIBL {"uncited":[],"omitted":[],"custom":[]} CSL_BIBLIOGRAPHY </w:instrText>
      </w:r>
      <w:r w:rsidRPr="002B36A4">
        <w:rPr>
          <w:rFonts w:ascii="Tahoma" w:hAnsi="Tahoma" w:cs="Tahoma"/>
        </w:rPr>
        <w:fldChar w:fldCharType="separate"/>
      </w:r>
      <w:r w:rsidR="00F4225B" w:rsidRPr="002B36A4">
        <w:rPr>
          <w:rFonts w:ascii="Tahoma" w:hAnsi="Tahoma" w:cs="Tahoma"/>
        </w:rPr>
        <w:t xml:space="preserve">Lukovic, Dunja, et al. “Perspectives and Future Directions of Human Pluripotent Stem Cell-Based Therapies: Lessons from Geron’s Clinical Trial for Spinal Cord Injury.” </w:t>
      </w:r>
      <w:r w:rsidR="00F4225B" w:rsidRPr="002B36A4">
        <w:rPr>
          <w:rFonts w:ascii="Tahoma" w:hAnsi="Tahoma" w:cs="Tahoma"/>
          <w:i/>
          <w:iCs/>
        </w:rPr>
        <w:t>Stem Cells and Development</w:t>
      </w:r>
      <w:r w:rsidR="00F4225B" w:rsidRPr="002B36A4">
        <w:rPr>
          <w:rFonts w:ascii="Tahoma" w:hAnsi="Tahoma" w:cs="Tahoma"/>
        </w:rPr>
        <w:t xml:space="preserve">, vol. 23, no. 1, Jan. 2014, pp. 1–4. </w:t>
      </w:r>
      <w:r w:rsidR="00F4225B" w:rsidRPr="002B36A4">
        <w:rPr>
          <w:rFonts w:ascii="Tahoma" w:hAnsi="Tahoma" w:cs="Tahoma"/>
          <w:i/>
          <w:iCs/>
        </w:rPr>
        <w:t>DOI.org (Crossref)</w:t>
      </w:r>
      <w:r w:rsidR="00F4225B" w:rsidRPr="002B36A4">
        <w:rPr>
          <w:rFonts w:ascii="Tahoma" w:hAnsi="Tahoma" w:cs="Tahoma"/>
        </w:rPr>
        <w:t>, https://doi.org/10.1089/scd.2013.0266.</w:t>
      </w:r>
    </w:p>
    <w:p w14:paraId="0FB82851" w14:textId="77777777" w:rsidR="00F4225B" w:rsidRPr="002B36A4" w:rsidRDefault="00F4225B" w:rsidP="00F4225B">
      <w:pPr>
        <w:pStyle w:val="Bibliography"/>
        <w:numPr>
          <w:ilvl w:val="0"/>
          <w:numId w:val="8"/>
        </w:numPr>
        <w:rPr>
          <w:rFonts w:ascii="Tahoma" w:hAnsi="Tahoma" w:cs="Tahoma"/>
        </w:rPr>
      </w:pPr>
      <w:r w:rsidRPr="002B36A4">
        <w:rPr>
          <w:rFonts w:ascii="Tahoma" w:hAnsi="Tahoma" w:cs="Tahoma"/>
        </w:rPr>
        <w:t xml:space="preserve">Serrano, Lourdes, et al. “Chromatin Structure, Pluripotency and Differentiation.” </w:t>
      </w:r>
      <w:r w:rsidRPr="002B36A4">
        <w:rPr>
          <w:rFonts w:ascii="Tahoma" w:hAnsi="Tahoma" w:cs="Tahoma"/>
          <w:i/>
          <w:iCs/>
        </w:rPr>
        <w:t>Experimental Biology and Medicine</w:t>
      </w:r>
      <w:r w:rsidRPr="002B36A4">
        <w:rPr>
          <w:rFonts w:ascii="Tahoma" w:hAnsi="Tahoma" w:cs="Tahoma"/>
        </w:rPr>
        <w:t xml:space="preserve">, vol. 238, no. 3, Mar. 2013, pp. 259–70. </w:t>
      </w:r>
      <w:r w:rsidRPr="002B36A4">
        <w:rPr>
          <w:rFonts w:ascii="Tahoma" w:hAnsi="Tahoma" w:cs="Tahoma"/>
          <w:i/>
          <w:iCs/>
        </w:rPr>
        <w:t>DOI.org (Crossref)</w:t>
      </w:r>
      <w:r w:rsidRPr="002B36A4">
        <w:rPr>
          <w:rFonts w:ascii="Tahoma" w:hAnsi="Tahoma" w:cs="Tahoma"/>
        </w:rPr>
        <w:t>, https://doi.org/10.1177/1535370213480718.</w:t>
      </w:r>
    </w:p>
    <w:p w14:paraId="25A3E89A" w14:textId="6BEB1AEF" w:rsidR="00EC1CB9" w:rsidRDefault="007F1B9C" w:rsidP="003B78E7">
      <w:r w:rsidRPr="002B36A4">
        <w:rPr>
          <w:rFonts w:ascii="Tahoma" w:hAnsi="Tahoma" w:cs="Tahoma"/>
        </w:rPr>
        <w:fldChar w:fldCharType="end"/>
      </w:r>
    </w:p>
    <w:p w14:paraId="70ECB964" w14:textId="690DED3D" w:rsidR="00EC1CB9" w:rsidRDefault="00EC1CB9" w:rsidP="003B78E7">
      <w:r>
        <w:rPr>
          <w:noProof/>
        </w:rPr>
        <w:drawing>
          <wp:inline distT="0" distB="0" distL="0" distR="0" wp14:anchorId="565321B6" wp14:editId="1C436377">
            <wp:extent cx="5943600" cy="3537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10F5226E" w14:textId="77777777" w:rsidR="00EC1CB9" w:rsidRPr="003B78E7" w:rsidRDefault="00EC1CB9" w:rsidP="003B78E7"/>
    <w:sectPr w:rsidR="00EC1CB9" w:rsidRPr="003B78E7"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6320" w14:textId="77777777" w:rsidR="00067EEF" w:rsidRDefault="00067EEF" w:rsidP="002E070F">
      <w:r>
        <w:separator/>
      </w:r>
    </w:p>
  </w:endnote>
  <w:endnote w:type="continuationSeparator" w:id="0">
    <w:p w14:paraId="4CB91CFD" w14:textId="77777777" w:rsidR="00067EEF" w:rsidRDefault="00067EEF"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9754" w14:textId="77777777" w:rsidR="00067EEF" w:rsidRDefault="00067EEF" w:rsidP="002E070F">
      <w:r>
        <w:separator/>
      </w:r>
    </w:p>
  </w:footnote>
  <w:footnote w:type="continuationSeparator" w:id="0">
    <w:p w14:paraId="30ABD0D0" w14:textId="77777777" w:rsidR="00067EEF" w:rsidRDefault="00067EEF"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5B2C73"/>
    <w:multiLevelType w:val="hybridMultilevel"/>
    <w:tmpl w:val="2DE053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101493">
    <w:abstractNumId w:val="7"/>
  </w:num>
  <w:num w:numId="2" w16cid:durableId="880021419">
    <w:abstractNumId w:val="5"/>
  </w:num>
  <w:num w:numId="3" w16cid:durableId="1477333763">
    <w:abstractNumId w:val="6"/>
  </w:num>
  <w:num w:numId="4" w16cid:durableId="614799014">
    <w:abstractNumId w:val="4"/>
  </w:num>
  <w:num w:numId="5" w16cid:durableId="1499078273">
    <w:abstractNumId w:val="0"/>
  </w:num>
  <w:num w:numId="6" w16cid:durableId="409736330">
    <w:abstractNumId w:val="2"/>
  </w:num>
  <w:num w:numId="7" w16cid:durableId="1946696052">
    <w:abstractNumId w:val="3"/>
  </w:num>
  <w:num w:numId="8" w16cid:durableId="181190140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13E0C"/>
    <w:rsid w:val="000146F7"/>
    <w:rsid w:val="0002148A"/>
    <w:rsid w:val="00022025"/>
    <w:rsid w:val="00025213"/>
    <w:rsid w:val="000262A1"/>
    <w:rsid w:val="00027CC8"/>
    <w:rsid w:val="00030CEC"/>
    <w:rsid w:val="00032BB2"/>
    <w:rsid w:val="00034C5A"/>
    <w:rsid w:val="000358C5"/>
    <w:rsid w:val="00040441"/>
    <w:rsid w:val="0004406D"/>
    <w:rsid w:val="000452E3"/>
    <w:rsid w:val="00046382"/>
    <w:rsid w:val="000551E9"/>
    <w:rsid w:val="00056471"/>
    <w:rsid w:val="00065E1A"/>
    <w:rsid w:val="00067A4C"/>
    <w:rsid w:val="00067EEF"/>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22BE"/>
    <w:rsid w:val="00094045"/>
    <w:rsid w:val="000943F5"/>
    <w:rsid w:val="00094CA9"/>
    <w:rsid w:val="000959D7"/>
    <w:rsid w:val="000A3896"/>
    <w:rsid w:val="000A4465"/>
    <w:rsid w:val="000A4A4A"/>
    <w:rsid w:val="000A52E2"/>
    <w:rsid w:val="000C06F6"/>
    <w:rsid w:val="000C13BC"/>
    <w:rsid w:val="000C3BE4"/>
    <w:rsid w:val="000C476B"/>
    <w:rsid w:val="000C5FA2"/>
    <w:rsid w:val="000C7EBD"/>
    <w:rsid w:val="000D314C"/>
    <w:rsid w:val="000E00DE"/>
    <w:rsid w:val="000E0A1F"/>
    <w:rsid w:val="000E0E1B"/>
    <w:rsid w:val="000E11C1"/>
    <w:rsid w:val="000E1514"/>
    <w:rsid w:val="000E45AA"/>
    <w:rsid w:val="000E69AF"/>
    <w:rsid w:val="000E7DB4"/>
    <w:rsid w:val="000F08CE"/>
    <w:rsid w:val="000F5E33"/>
    <w:rsid w:val="00103108"/>
    <w:rsid w:val="00113460"/>
    <w:rsid w:val="00120768"/>
    <w:rsid w:val="00120D4F"/>
    <w:rsid w:val="0012117B"/>
    <w:rsid w:val="001216FC"/>
    <w:rsid w:val="00124878"/>
    <w:rsid w:val="00130402"/>
    <w:rsid w:val="00130CAE"/>
    <w:rsid w:val="00131693"/>
    <w:rsid w:val="00132617"/>
    <w:rsid w:val="00132916"/>
    <w:rsid w:val="00133871"/>
    <w:rsid w:val="00133CA8"/>
    <w:rsid w:val="001349F0"/>
    <w:rsid w:val="001433F3"/>
    <w:rsid w:val="00145665"/>
    <w:rsid w:val="001467DC"/>
    <w:rsid w:val="001532A6"/>
    <w:rsid w:val="00157F07"/>
    <w:rsid w:val="001639B7"/>
    <w:rsid w:val="00164B30"/>
    <w:rsid w:val="00164E84"/>
    <w:rsid w:val="001710F0"/>
    <w:rsid w:val="00171CB9"/>
    <w:rsid w:val="00171DEE"/>
    <w:rsid w:val="001721AD"/>
    <w:rsid w:val="00173222"/>
    <w:rsid w:val="00173AFC"/>
    <w:rsid w:val="00176408"/>
    <w:rsid w:val="001767B5"/>
    <w:rsid w:val="00182E7C"/>
    <w:rsid w:val="00182FA8"/>
    <w:rsid w:val="00183C3E"/>
    <w:rsid w:val="001849D6"/>
    <w:rsid w:val="00186354"/>
    <w:rsid w:val="00186AF1"/>
    <w:rsid w:val="001872DF"/>
    <w:rsid w:val="00191849"/>
    <w:rsid w:val="00193271"/>
    <w:rsid w:val="001A0D6F"/>
    <w:rsid w:val="001A13DD"/>
    <w:rsid w:val="001A5F29"/>
    <w:rsid w:val="001A7676"/>
    <w:rsid w:val="001B13F5"/>
    <w:rsid w:val="001B2DF8"/>
    <w:rsid w:val="001C09C4"/>
    <w:rsid w:val="001C2819"/>
    <w:rsid w:val="001C345F"/>
    <w:rsid w:val="001D0017"/>
    <w:rsid w:val="001D19A9"/>
    <w:rsid w:val="001D2AB5"/>
    <w:rsid w:val="001D2E08"/>
    <w:rsid w:val="001D4BEB"/>
    <w:rsid w:val="001D4CE5"/>
    <w:rsid w:val="001D63D7"/>
    <w:rsid w:val="001E328E"/>
    <w:rsid w:val="001F14CB"/>
    <w:rsid w:val="001F190C"/>
    <w:rsid w:val="001F462C"/>
    <w:rsid w:val="001F4D65"/>
    <w:rsid w:val="00211C07"/>
    <w:rsid w:val="00213154"/>
    <w:rsid w:val="00224A0F"/>
    <w:rsid w:val="00224B78"/>
    <w:rsid w:val="00226AEB"/>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FE5"/>
    <w:rsid w:val="00272519"/>
    <w:rsid w:val="002730A7"/>
    <w:rsid w:val="002745F9"/>
    <w:rsid w:val="00276F24"/>
    <w:rsid w:val="00280C6C"/>
    <w:rsid w:val="00281BFE"/>
    <w:rsid w:val="00282321"/>
    <w:rsid w:val="00283E7F"/>
    <w:rsid w:val="00284473"/>
    <w:rsid w:val="002903D2"/>
    <w:rsid w:val="00291F5B"/>
    <w:rsid w:val="0029639B"/>
    <w:rsid w:val="002964F2"/>
    <w:rsid w:val="002A0E23"/>
    <w:rsid w:val="002A22EA"/>
    <w:rsid w:val="002A248C"/>
    <w:rsid w:val="002A3E6C"/>
    <w:rsid w:val="002B27C4"/>
    <w:rsid w:val="002B2B83"/>
    <w:rsid w:val="002B2C33"/>
    <w:rsid w:val="002B36A4"/>
    <w:rsid w:val="002B4BA4"/>
    <w:rsid w:val="002C30A0"/>
    <w:rsid w:val="002C374E"/>
    <w:rsid w:val="002C4EF2"/>
    <w:rsid w:val="002C7126"/>
    <w:rsid w:val="002C7EAB"/>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3FAE"/>
    <w:rsid w:val="00305164"/>
    <w:rsid w:val="003157DB"/>
    <w:rsid w:val="00316CD2"/>
    <w:rsid w:val="00317718"/>
    <w:rsid w:val="00320C7A"/>
    <w:rsid w:val="00325D13"/>
    <w:rsid w:val="00327E82"/>
    <w:rsid w:val="0033041E"/>
    <w:rsid w:val="00337B60"/>
    <w:rsid w:val="00342AB7"/>
    <w:rsid w:val="0034372D"/>
    <w:rsid w:val="00343CA4"/>
    <w:rsid w:val="00347703"/>
    <w:rsid w:val="003507EF"/>
    <w:rsid w:val="00350F17"/>
    <w:rsid w:val="00352DD0"/>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90245"/>
    <w:rsid w:val="00392025"/>
    <w:rsid w:val="0039404F"/>
    <w:rsid w:val="003A0BAD"/>
    <w:rsid w:val="003B21CD"/>
    <w:rsid w:val="003B3B19"/>
    <w:rsid w:val="003B780C"/>
    <w:rsid w:val="003B78E7"/>
    <w:rsid w:val="003C0CC9"/>
    <w:rsid w:val="003C2A5D"/>
    <w:rsid w:val="003C6827"/>
    <w:rsid w:val="003C6BEC"/>
    <w:rsid w:val="003D3461"/>
    <w:rsid w:val="003D41F9"/>
    <w:rsid w:val="003D54F7"/>
    <w:rsid w:val="003D694C"/>
    <w:rsid w:val="003D7DB4"/>
    <w:rsid w:val="003D7E3F"/>
    <w:rsid w:val="003D7F0A"/>
    <w:rsid w:val="003E0400"/>
    <w:rsid w:val="003E1467"/>
    <w:rsid w:val="003E1A01"/>
    <w:rsid w:val="003E303F"/>
    <w:rsid w:val="003E3B30"/>
    <w:rsid w:val="003E7205"/>
    <w:rsid w:val="003F7C6D"/>
    <w:rsid w:val="00401212"/>
    <w:rsid w:val="00403F56"/>
    <w:rsid w:val="004051DB"/>
    <w:rsid w:val="0040799F"/>
    <w:rsid w:val="004108F0"/>
    <w:rsid w:val="00415849"/>
    <w:rsid w:val="004166DC"/>
    <w:rsid w:val="004258E0"/>
    <w:rsid w:val="004319C8"/>
    <w:rsid w:val="00431C7C"/>
    <w:rsid w:val="00436E2F"/>
    <w:rsid w:val="004377F0"/>
    <w:rsid w:val="00441338"/>
    <w:rsid w:val="004449FA"/>
    <w:rsid w:val="00444D37"/>
    <w:rsid w:val="004452A2"/>
    <w:rsid w:val="00446B2C"/>
    <w:rsid w:val="0045128B"/>
    <w:rsid w:val="0045357A"/>
    <w:rsid w:val="00456D81"/>
    <w:rsid w:val="004573B4"/>
    <w:rsid w:val="00457C58"/>
    <w:rsid w:val="004665CE"/>
    <w:rsid w:val="0047139E"/>
    <w:rsid w:val="004756CC"/>
    <w:rsid w:val="00475F47"/>
    <w:rsid w:val="004761B1"/>
    <w:rsid w:val="0047709F"/>
    <w:rsid w:val="00480775"/>
    <w:rsid w:val="00481492"/>
    <w:rsid w:val="00481CDD"/>
    <w:rsid w:val="00485623"/>
    <w:rsid w:val="00490B26"/>
    <w:rsid w:val="00493F25"/>
    <w:rsid w:val="004946F6"/>
    <w:rsid w:val="004967F6"/>
    <w:rsid w:val="004B1BA6"/>
    <w:rsid w:val="004B3199"/>
    <w:rsid w:val="004B3251"/>
    <w:rsid w:val="004B45B7"/>
    <w:rsid w:val="004B7319"/>
    <w:rsid w:val="004C24E3"/>
    <w:rsid w:val="004C2C97"/>
    <w:rsid w:val="004C3DB8"/>
    <w:rsid w:val="004C7AF0"/>
    <w:rsid w:val="004C7EF3"/>
    <w:rsid w:val="004D0207"/>
    <w:rsid w:val="004D0783"/>
    <w:rsid w:val="004D53F0"/>
    <w:rsid w:val="004E12B2"/>
    <w:rsid w:val="004E57C0"/>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FFD"/>
    <w:rsid w:val="005527A7"/>
    <w:rsid w:val="00556C54"/>
    <w:rsid w:val="0056699F"/>
    <w:rsid w:val="0057329E"/>
    <w:rsid w:val="0057440A"/>
    <w:rsid w:val="005767D9"/>
    <w:rsid w:val="00577543"/>
    <w:rsid w:val="00584742"/>
    <w:rsid w:val="00584C2D"/>
    <w:rsid w:val="0059090B"/>
    <w:rsid w:val="00590F2E"/>
    <w:rsid w:val="00592748"/>
    <w:rsid w:val="00593539"/>
    <w:rsid w:val="00594DA6"/>
    <w:rsid w:val="005A1DAD"/>
    <w:rsid w:val="005A2446"/>
    <w:rsid w:val="005A598C"/>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72F10"/>
    <w:rsid w:val="00684FFD"/>
    <w:rsid w:val="00685A1C"/>
    <w:rsid w:val="00686207"/>
    <w:rsid w:val="006874D2"/>
    <w:rsid w:val="006914CD"/>
    <w:rsid w:val="00692036"/>
    <w:rsid w:val="00693C78"/>
    <w:rsid w:val="006951B1"/>
    <w:rsid w:val="00696C06"/>
    <w:rsid w:val="00697225"/>
    <w:rsid w:val="006A1CCF"/>
    <w:rsid w:val="006A2925"/>
    <w:rsid w:val="006A2F19"/>
    <w:rsid w:val="006A3445"/>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D5E77"/>
    <w:rsid w:val="006E0111"/>
    <w:rsid w:val="006F0713"/>
    <w:rsid w:val="006F407F"/>
    <w:rsid w:val="006F542B"/>
    <w:rsid w:val="006F5C5F"/>
    <w:rsid w:val="006F64F5"/>
    <w:rsid w:val="00701AB1"/>
    <w:rsid w:val="00702D80"/>
    <w:rsid w:val="00703949"/>
    <w:rsid w:val="00703DF1"/>
    <w:rsid w:val="007043E8"/>
    <w:rsid w:val="00704935"/>
    <w:rsid w:val="00713184"/>
    <w:rsid w:val="0071620F"/>
    <w:rsid w:val="00717AD8"/>
    <w:rsid w:val="0072021E"/>
    <w:rsid w:val="00723A4D"/>
    <w:rsid w:val="00730D87"/>
    <w:rsid w:val="0073476A"/>
    <w:rsid w:val="00737893"/>
    <w:rsid w:val="00741701"/>
    <w:rsid w:val="00745A42"/>
    <w:rsid w:val="00746CFC"/>
    <w:rsid w:val="00747E52"/>
    <w:rsid w:val="00754C61"/>
    <w:rsid w:val="007614CB"/>
    <w:rsid w:val="00762754"/>
    <w:rsid w:val="00764E0A"/>
    <w:rsid w:val="0076777A"/>
    <w:rsid w:val="0077098A"/>
    <w:rsid w:val="00770A60"/>
    <w:rsid w:val="00775544"/>
    <w:rsid w:val="00780B0C"/>
    <w:rsid w:val="00782643"/>
    <w:rsid w:val="007833C4"/>
    <w:rsid w:val="00791017"/>
    <w:rsid w:val="00791CE6"/>
    <w:rsid w:val="00792EFD"/>
    <w:rsid w:val="00796BE5"/>
    <w:rsid w:val="00796F91"/>
    <w:rsid w:val="007977C8"/>
    <w:rsid w:val="007A5512"/>
    <w:rsid w:val="007A5B10"/>
    <w:rsid w:val="007A79DC"/>
    <w:rsid w:val="007B05FF"/>
    <w:rsid w:val="007B1CAB"/>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69D"/>
    <w:rsid w:val="007F50EE"/>
    <w:rsid w:val="008002AA"/>
    <w:rsid w:val="0080304B"/>
    <w:rsid w:val="00810748"/>
    <w:rsid w:val="00813CE4"/>
    <w:rsid w:val="00816933"/>
    <w:rsid w:val="008310FF"/>
    <w:rsid w:val="008362A9"/>
    <w:rsid w:val="008364C5"/>
    <w:rsid w:val="00837BC8"/>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E72"/>
    <w:rsid w:val="0087555E"/>
    <w:rsid w:val="00876A83"/>
    <w:rsid w:val="008831D7"/>
    <w:rsid w:val="00883334"/>
    <w:rsid w:val="00883E4F"/>
    <w:rsid w:val="00885628"/>
    <w:rsid w:val="00890CD0"/>
    <w:rsid w:val="00892376"/>
    <w:rsid w:val="008924EE"/>
    <w:rsid w:val="008929F6"/>
    <w:rsid w:val="00894E05"/>
    <w:rsid w:val="00896784"/>
    <w:rsid w:val="00897CBD"/>
    <w:rsid w:val="008A4289"/>
    <w:rsid w:val="008A50F6"/>
    <w:rsid w:val="008A5B73"/>
    <w:rsid w:val="008A7E7A"/>
    <w:rsid w:val="008B29A2"/>
    <w:rsid w:val="008B7ED7"/>
    <w:rsid w:val="008B7FC8"/>
    <w:rsid w:val="008C134D"/>
    <w:rsid w:val="008C41A9"/>
    <w:rsid w:val="008D481D"/>
    <w:rsid w:val="008D76F6"/>
    <w:rsid w:val="008E3800"/>
    <w:rsid w:val="008E4FB1"/>
    <w:rsid w:val="008E65DF"/>
    <w:rsid w:val="008E6B12"/>
    <w:rsid w:val="008F0EB7"/>
    <w:rsid w:val="008F1617"/>
    <w:rsid w:val="008F4046"/>
    <w:rsid w:val="008F4980"/>
    <w:rsid w:val="008F7908"/>
    <w:rsid w:val="009054F7"/>
    <w:rsid w:val="00911C3E"/>
    <w:rsid w:val="00912143"/>
    <w:rsid w:val="00913E6C"/>
    <w:rsid w:val="00916976"/>
    <w:rsid w:val="009169B0"/>
    <w:rsid w:val="00921C3E"/>
    <w:rsid w:val="00924313"/>
    <w:rsid w:val="00927981"/>
    <w:rsid w:val="00931656"/>
    <w:rsid w:val="00933046"/>
    <w:rsid w:val="009353C9"/>
    <w:rsid w:val="009359F7"/>
    <w:rsid w:val="00935D1E"/>
    <w:rsid w:val="0093764E"/>
    <w:rsid w:val="00937AF0"/>
    <w:rsid w:val="00937E05"/>
    <w:rsid w:val="00940E90"/>
    <w:rsid w:val="0094203E"/>
    <w:rsid w:val="00943121"/>
    <w:rsid w:val="00947316"/>
    <w:rsid w:val="00951F66"/>
    <w:rsid w:val="00954894"/>
    <w:rsid w:val="00954BC1"/>
    <w:rsid w:val="00955238"/>
    <w:rsid w:val="0095574C"/>
    <w:rsid w:val="009568FE"/>
    <w:rsid w:val="00960D3E"/>
    <w:rsid w:val="00962F6A"/>
    <w:rsid w:val="009654D0"/>
    <w:rsid w:val="00965663"/>
    <w:rsid w:val="009725B0"/>
    <w:rsid w:val="00972B2C"/>
    <w:rsid w:val="009747BB"/>
    <w:rsid w:val="0097631A"/>
    <w:rsid w:val="00981216"/>
    <w:rsid w:val="009816F9"/>
    <w:rsid w:val="00985496"/>
    <w:rsid w:val="00990BB1"/>
    <w:rsid w:val="00992E78"/>
    <w:rsid w:val="0099386F"/>
    <w:rsid w:val="009959AD"/>
    <w:rsid w:val="00997905"/>
    <w:rsid w:val="009A019C"/>
    <w:rsid w:val="009A063D"/>
    <w:rsid w:val="009A13C1"/>
    <w:rsid w:val="009A15A9"/>
    <w:rsid w:val="009A446B"/>
    <w:rsid w:val="009A53A5"/>
    <w:rsid w:val="009A6755"/>
    <w:rsid w:val="009B0866"/>
    <w:rsid w:val="009B355D"/>
    <w:rsid w:val="009B3ADF"/>
    <w:rsid w:val="009B3B89"/>
    <w:rsid w:val="009B3DBE"/>
    <w:rsid w:val="009B4032"/>
    <w:rsid w:val="009B4215"/>
    <w:rsid w:val="009B5C07"/>
    <w:rsid w:val="009B5C7C"/>
    <w:rsid w:val="009B68D9"/>
    <w:rsid w:val="009D0A48"/>
    <w:rsid w:val="009D4617"/>
    <w:rsid w:val="009D59C7"/>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697B"/>
    <w:rsid w:val="00A1315A"/>
    <w:rsid w:val="00A2327F"/>
    <w:rsid w:val="00A25E91"/>
    <w:rsid w:val="00A31654"/>
    <w:rsid w:val="00A3312F"/>
    <w:rsid w:val="00A403E8"/>
    <w:rsid w:val="00A43398"/>
    <w:rsid w:val="00A46CD1"/>
    <w:rsid w:val="00A53DCF"/>
    <w:rsid w:val="00A53EF2"/>
    <w:rsid w:val="00A53F11"/>
    <w:rsid w:val="00A64215"/>
    <w:rsid w:val="00A65539"/>
    <w:rsid w:val="00A81640"/>
    <w:rsid w:val="00A906D1"/>
    <w:rsid w:val="00A9254A"/>
    <w:rsid w:val="00A93073"/>
    <w:rsid w:val="00A9649F"/>
    <w:rsid w:val="00AA3202"/>
    <w:rsid w:val="00AA4CE6"/>
    <w:rsid w:val="00AA4E15"/>
    <w:rsid w:val="00AA6155"/>
    <w:rsid w:val="00AA6D43"/>
    <w:rsid w:val="00AB0343"/>
    <w:rsid w:val="00AB13F4"/>
    <w:rsid w:val="00AB50D4"/>
    <w:rsid w:val="00AB685E"/>
    <w:rsid w:val="00AB799E"/>
    <w:rsid w:val="00AC15EE"/>
    <w:rsid w:val="00AC26A0"/>
    <w:rsid w:val="00AC3801"/>
    <w:rsid w:val="00AC5723"/>
    <w:rsid w:val="00AC57A2"/>
    <w:rsid w:val="00AC6E92"/>
    <w:rsid w:val="00AC7C55"/>
    <w:rsid w:val="00AD1FEB"/>
    <w:rsid w:val="00AD4D92"/>
    <w:rsid w:val="00AD7F14"/>
    <w:rsid w:val="00AE2234"/>
    <w:rsid w:val="00AE53A1"/>
    <w:rsid w:val="00AE76B9"/>
    <w:rsid w:val="00AF01EE"/>
    <w:rsid w:val="00AF237C"/>
    <w:rsid w:val="00AF528D"/>
    <w:rsid w:val="00B07934"/>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3CD"/>
    <w:rsid w:val="00B605EB"/>
    <w:rsid w:val="00B61FC7"/>
    <w:rsid w:val="00B70299"/>
    <w:rsid w:val="00B71F75"/>
    <w:rsid w:val="00B72286"/>
    <w:rsid w:val="00B75C73"/>
    <w:rsid w:val="00B768E3"/>
    <w:rsid w:val="00B82019"/>
    <w:rsid w:val="00B824CC"/>
    <w:rsid w:val="00B83C75"/>
    <w:rsid w:val="00B847C1"/>
    <w:rsid w:val="00B851FC"/>
    <w:rsid w:val="00B86780"/>
    <w:rsid w:val="00B87240"/>
    <w:rsid w:val="00B875C2"/>
    <w:rsid w:val="00B9318A"/>
    <w:rsid w:val="00B9440D"/>
    <w:rsid w:val="00B94A92"/>
    <w:rsid w:val="00B978BA"/>
    <w:rsid w:val="00BA0B8B"/>
    <w:rsid w:val="00BA7004"/>
    <w:rsid w:val="00BB2519"/>
    <w:rsid w:val="00BB6BE5"/>
    <w:rsid w:val="00BC3CA8"/>
    <w:rsid w:val="00BC44F4"/>
    <w:rsid w:val="00BD074E"/>
    <w:rsid w:val="00BD1DCF"/>
    <w:rsid w:val="00BD2107"/>
    <w:rsid w:val="00BD34D7"/>
    <w:rsid w:val="00BD7820"/>
    <w:rsid w:val="00BE0200"/>
    <w:rsid w:val="00BE1CC9"/>
    <w:rsid w:val="00BE5100"/>
    <w:rsid w:val="00BE5EB4"/>
    <w:rsid w:val="00BF0180"/>
    <w:rsid w:val="00BF4485"/>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70B"/>
    <w:rsid w:val="00C4797A"/>
    <w:rsid w:val="00C53A24"/>
    <w:rsid w:val="00C612A3"/>
    <w:rsid w:val="00C7004D"/>
    <w:rsid w:val="00C74A6B"/>
    <w:rsid w:val="00C82FF9"/>
    <w:rsid w:val="00C834A3"/>
    <w:rsid w:val="00C85A9E"/>
    <w:rsid w:val="00C86923"/>
    <w:rsid w:val="00C86FBE"/>
    <w:rsid w:val="00C87976"/>
    <w:rsid w:val="00C91677"/>
    <w:rsid w:val="00C91FD7"/>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C152B"/>
    <w:rsid w:val="00CC55FC"/>
    <w:rsid w:val="00CC6570"/>
    <w:rsid w:val="00CC7E08"/>
    <w:rsid w:val="00CD0BD7"/>
    <w:rsid w:val="00CD1AF9"/>
    <w:rsid w:val="00CD51FD"/>
    <w:rsid w:val="00CD6F84"/>
    <w:rsid w:val="00CE0346"/>
    <w:rsid w:val="00CE0C35"/>
    <w:rsid w:val="00CE137A"/>
    <w:rsid w:val="00CE399C"/>
    <w:rsid w:val="00CF628D"/>
    <w:rsid w:val="00D01224"/>
    <w:rsid w:val="00D0581C"/>
    <w:rsid w:val="00D059A4"/>
    <w:rsid w:val="00D0623C"/>
    <w:rsid w:val="00D06593"/>
    <w:rsid w:val="00D068C1"/>
    <w:rsid w:val="00D06B04"/>
    <w:rsid w:val="00D1257F"/>
    <w:rsid w:val="00D13A2F"/>
    <w:rsid w:val="00D220A2"/>
    <w:rsid w:val="00D268FC"/>
    <w:rsid w:val="00D277E4"/>
    <w:rsid w:val="00D278EB"/>
    <w:rsid w:val="00D306C4"/>
    <w:rsid w:val="00D30E62"/>
    <w:rsid w:val="00D32106"/>
    <w:rsid w:val="00D3507D"/>
    <w:rsid w:val="00D41170"/>
    <w:rsid w:val="00D43F2A"/>
    <w:rsid w:val="00D4440A"/>
    <w:rsid w:val="00D45632"/>
    <w:rsid w:val="00D47DBF"/>
    <w:rsid w:val="00D47E80"/>
    <w:rsid w:val="00D51C57"/>
    <w:rsid w:val="00D560D2"/>
    <w:rsid w:val="00D568F0"/>
    <w:rsid w:val="00D56F80"/>
    <w:rsid w:val="00D619D5"/>
    <w:rsid w:val="00D64A1B"/>
    <w:rsid w:val="00D65210"/>
    <w:rsid w:val="00D65CC8"/>
    <w:rsid w:val="00D67FF3"/>
    <w:rsid w:val="00D70476"/>
    <w:rsid w:val="00D7138E"/>
    <w:rsid w:val="00D752B4"/>
    <w:rsid w:val="00D755DC"/>
    <w:rsid w:val="00D824A0"/>
    <w:rsid w:val="00D82744"/>
    <w:rsid w:val="00D8345B"/>
    <w:rsid w:val="00D8365B"/>
    <w:rsid w:val="00D84E91"/>
    <w:rsid w:val="00D853F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B2D"/>
    <w:rsid w:val="00DB3A54"/>
    <w:rsid w:val="00DB51BE"/>
    <w:rsid w:val="00DB70CD"/>
    <w:rsid w:val="00DB70DF"/>
    <w:rsid w:val="00DB74FE"/>
    <w:rsid w:val="00DC10ED"/>
    <w:rsid w:val="00DC3BD4"/>
    <w:rsid w:val="00DC43B7"/>
    <w:rsid w:val="00DC48F3"/>
    <w:rsid w:val="00DC62CA"/>
    <w:rsid w:val="00DC7AA8"/>
    <w:rsid w:val="00DD21F5"/>
    <w:rsid w:val="00DD7183"/>
    <w:rsid w:val="00DE19BF"/>
    <w:rsid w:val="00DE41F0"/>
    <w:rsid w:val="00DE581A"/>
    <w:rsid w:val="00DE7DC3"/>
    <w:rsid w:val="00DF4654"/>
    <w:rsid w:val="00DF6F9D"/>
    <w:rsid w:val="00E023FA"/>
    <w:rsid w:val="00E03BA9"/>
    <w:rsid w:val="00E03FBA"/>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32707"/>
    <w:rsid w:val="00E328AE"/>
    <w:rsid w:val="00E34D29"/>
    <w:rsid w:val="00E3798D"/>
    <w:rsid w:val="00E4256B"/>
    <w:rsid w:val="00E4316B"/>
    <w:rsid w:val="00E46083"/>
    <w:rsid w:val="00E50427"/>
    <w:rsid w:val="00E50D3B"/>
    <w:rsid w:val="00E515A8"/>
    <w:rsid w:val="00E540B6"/>
    <w:rsid w:val="00E54B83"/>
    <w:rsid w:val="00E56EE8"/>
    <w:rsid w:val="00E57640"/>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1CB9"/>
    <w:rsid w:val="00EC30E8"/>
    <w:rsid w:val="00EC3BBD"/>
    <w:rsid w:val="00EC3E79"/>
    <w:rsid w:val="00EC4E16"/>
    <w:rsid w:val="00EC6491"/>
    <w:rsid w:val="00ED0CF8"/>
    <w:rsid w:val="00ED0F69"/>
    <w:rsid w:val="00ED100F"/>
    <w:rsid w:val="00ED2024"/>
    <w:rsid w:val="00ED299C"/>
    <w:rsid w:val="00ED46CF"/>
    <w:rsid w:val="00EE3CB1"/>
    <w:rsid w:val="00EE5525"/>
    <w:rsid w:val="00EE569C"/>
    <w:rsid w:val="00EF017E"/>
    <w:rsid w:val="00EF123C"/>
    <w:rsid w:val="00EF1A9D"/>
    <w:rsid w:val="00F03F63"/>
    <w:rsid w:val="00F043E4"/>
    <w:rsid w:val="00F07552"/>
    <w:rsid w:val="00F11B8C"/>
    <w:rsid w:val="00F11BBF"/>
    <w:rsid w:val="00F133DC"/>
    <w:rsid w:val="00F14993"/>
    <w:rsid w:val="00F153F4"/>
    <w:rsid w:val="00F162F1"/>
    <w:rsid w:val="00F16886"/>
    <w:rsid w:val="00F20F79"/>
    <w:rsid w:val="00F21BDE"/>
    <w:rsid w:val="00F22FB9"/>
    <w:rsid w:val="00F24085"/>
    <w:rsid w:val="00F257E4"/>
    <w:rsid w:val="00F278DC"/>
    <w:rsid w:val="00F326CA"/>
    <w:rsid w:val="00F34F7E"/>
    <w:rsid w:val="00F3539F"/>
    <w:rsid w:val="00F35BE2"/>
    <w:rsid w:val="00F41547"/>
    <w:rsid w:val="00F4225B"/>
    <w:rsid w:val="00F429D3"/>
    <w:rsid w:val="00F43731"/>
    <w:rsid w:val="00F443F2"/>
    <w:rsid w:val="00F52D7D"/>
    <w:rsid w:val="00F53586"/>
    <w:rsid w:val="00F5423A"/>
    <w:rsid w:val="00F55C70"/>
    <w:rsid w:val="00F56F59"/>
    <w:rsid w:val="00F64A1F"/>
    <w:rsid w:val="00F64B98"/>
    <w:rsid w:val="00F65648"/>
    <w:rsid w:val="00F720AB"/>
    <w:rsid w:val="00F843AF"/>
    <w:rsid w:val="00F85EA7"/>
    <w:rsid w:val="00F85ECF"/>
    <w:rsid w:val="00F8673E"/>
    <w:rsid w:val="00F8774E"/>
    <w:rsid w:val="00F87A6D"/>
    <w:rsid w:val="00F966A2"/>
    <w:rsid w:val="00F97D92"/>
    <w:rsid w:val="00FA2ECC"/>
    <w:rsid w:val="00FA4D4A"/>
    <w:rsid w:val="00FA67FD"/>
    <w:rsid w:val="00FB0770"/>
    <w:rsid w:val="00FB0A48"/>
    <w:rsid w:val="00FB0FF1"/>
    <w:rsid w:val="00FB2D12"/>
    <w:rsid w:val="00FB641F"/>
    <w:rsid w:val="00FB78DE"/>
    <w:rsid w:val="00FC2314"/>
    <w:rsid w:val="00FC3334"/>
    <w:rsid w:val="00FC627C"/>
    <w:rsid w:val="00FD0B32"/>
    <w:rsid w:val="00FD711E"/>
    <w:rsid w:val="00FD75B3"/>
    <w:rsid w:val="00FE1AAA"/>
    <w:rsid w:val="00FE4B7E"/>
    <w:rsid w:val="00FE57DB"/>
    <w:rsid w:val="00FF19DC"/>
    <w:rsid w:val="00FF3149"/>
    <w:rsid w:val="00FF6001"/>
    <w:rsid w:val="00FF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proxy1.library.jhu.edu/content/article/geron-bails-out-stem-cel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3</cp:revision>
  <cp:lastPrinted>2022-11-15T18:51:00Z</cp:lastPrinted>
  <dcterms:created xsi:type="dcterms:W3CDTF">2022-11-15T18:51:00Z</dcterms:created>
  <dcterms:modified xsi:type="dcterms:W3CDTF">2022-11-15T18:51:00Z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id="D4p8CkUM"/&gt;&lt;style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