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3F08" w14:textId="77777777" w:rsidR="008E2EF8" w:rsidRDefault="008E2EF8" w:rsidP="008E2EF8">
      <w:pPr>
        <w:pStyle w:val="NormalWeb"/>
      </w:pPr>
      <w:r>
        <w:rPr>
          <w:rFonts w:ascii="Tahoma" w:hAnsi="Tahoma" w:cs="Tahoma"/>
          <w:b/>
          <w:bCs/>
          <w:color w:val="002B70"/>
          <w:sz w:val="36"/>
          <w:szCs w:val="36"/>
        </w:rPr>
        <w:t xml:space="preserve">Assignment 12: Tissue Engineered Products </w:t>
      </w:r>
    </w:p>
    <w:p w14:paraId="6BF7EC99" w14:textId="77777777" w:rsidR="008E2EF8" w:rsidRDefault="008E2EF8" w:rsidP="008E2EF8">
      <w:pPr>
        <w:pStyle w:val="NormalWeb"/>
      </w:pPr>
      <w:r>
        <w:rPr>
          <w:rFonts w:ascii="Tahoma" w:hAnsi="Tahoma" w:cs="Tahoma"/>
          <w:b/>
          <w:bCs/>
          <w:sz w:val="28"/>
          <w:szCs w:val="28"/>
        </w:rPr>
        <w:t xml:space="preserve">Cell and Tissue Engineering </w:t>
      </w:r>
    </w:p>
    <w:p w14:paraId="213C897E" w14:textId="77777777" w:rsidR="008E2EF8" w:rsidRDefault="008E2EF8" w:rsidP="008E2EF8">
      <w:pPr>
        <w:pStyle w:val="NormalWeb"/>
      </w:pPr>
      <w:r>
        <w:rPr>
          <w:rFonts w:ascii="Tahoma" w:hAnsi="Tahoma" w:cs="Tahoma"/>
          <w:b/>
          <w:bCs/>
          <w:color w:val="004982"/>
          <w:sz w:val="28"/>
          <w:szCs w:val="28"/>
        </w:rPr>
        <w:t xml:space="preserve">Problems </w:t>
      </w:r>
    </w:p>
    <w:p w14:paraId="2A736D6F" w14:textId="77777777" w:rsidR="008E2EF8" w:rsidRDefault="008E2EF8" w:rsidP="008E2EF8">
      <w:pPr>
        <w:pStyle w:val="NormalWeb"/>
        <w:numPr>
          <w:ilvl w:val="0"/>
          <w:numId w:val="9"/>
        </w:numPr>
        <w:rPr>
          <w:rFonts w:ascii="Tahoma" w:hAnsi="Tahoma" w:cs="Tahoma"/>
        </w:rPr>
      </w:pPr>
      <w:r>
        <w:rPr>
          <w:rFonts w:ascii="Tahoma" w:hAnsi="Tahoma" w:cs="Tahoma"/>
        </w:rPr>
        <w:t xml:space="preserve">Please answer the case study questions (a), (b) and (c) on page 436-437 in your textbook, Tissue Engineering by Saltzman. </w:t>
      </w:r>
    </w:p>
    <w:p w14:paraId="1A513E43" w14:textId="1D961F27" w:rsidR="00B67FEA" w:rsidRDefault="008E2EF8" w:rsidP="00B67FEA">
      <w:pPr>
        <w:pStyle w:val="NormalWeb"/>
        <w:numPr>
          <w:ilvl w:val="0"/>
          <w:numId w:val="10"/>
        </w:numPr>
        <w:rPr>
          <w:rFonts w:ascii="Tahoma" w:hAnsi="Tahoma" w:cs="Tahoma"/>
        </w:rPr>
      </w:pPr>
      <w:r>
        <w:rPr>
          <w:rFonts w:ascii="Tahoma" w:hAnsi="Tahoma" w:cs="Tahoma"/>
        </w:rPr>
        <w:t xml:space="preserve">Describe the differences between hyaline cartilage and fibrocartilage. Histologically, what do these two types of tissue look like (that is, describe the cellular and extracellular features of each)? </w:t>
      </w:r>
    </w:p>
    <w:p w14:paraId="2335D4B7" w14:textId="30336032" w:rsidR="00701BAF" w:rsidRPr="00C87E50" w:rsidRDefault="00701BAF" w:rsidP="00C87E50">
      <w:pPr>
        <w:pStyle w:val="NormalWeb"/>
        <w:rPr>
          <w:rFonts w:ascii="Tahoma" w:hAnsi="Tahoma" w:cs="Tahoma"/>
          <w:u w:val="single"/>
        </w:rPr>
      </w:pPr>
      <w:r w:rsidRPr="00C87E50">
        <w:rPr>
          <w:rFonts w:ascii="Tahoma" w:hAnsi="Tahoma" w:cs="Tahoma"/>
          <w:u w:val="single"/>
        </w:rPr>
        <w:t xml:space="preserve">Differences between hyaline </w:t>
      </w:r>
      <w:r w:rsidR="004A645C" w:rsidRPr="00C87E50">
        <w:rPr>
          <w:rFonts w:ascii="Tahoma" w:hAnsi="Tahoma" w:cs="Tahoma"/>
          <w:u w:val="single"/>
        </w:rPr>
        <w:t xml:space="preserve">cartilage </w:t>
      </w:r>
      <w:r w:rsidRPr="00C87E50">
        <w:rPr>
          <w:rFonts w:ascii="Tahoma" w:hAnsi="Tahoma" w:cs="Tahoma"/>
          <w:u w:val="single"/>
        </w:rPr>
        <w:t>and fibrocartilage</w:t>
      </w:r>
    </w:p>
    <w:tbl>
      <w:tblPr>
        <w:tblStyle w:val="TableGrid"/>
        <w:tblW w:w="10615" w:type="dxa"/>
        <w:tblLook w:val="04A0" w:firstRow="1" w:lastRow="0" w:firstColumn="1" w:lastColumn="0" w:noHBand="0" w:noVBand="1"/>
      </w:tblPr>
      <w:tblGrid>
        <w:gridCol w:w="2065"/>
        <w:gridCol w:w="3690"/>
        <w:gridCol w:w="4860"/>
      </w:tblGrid>
      <w:tr w:rsidR="00701BAF" w14:paraId="7F75CB33" w14:textId="77777777" w:rsidTr="00D702D5">
        <w:tc>
          <w:tcPr>
            <w:tcW w:w="2065" w:type="dxa"/>
            <w:tcBorders>
              <w:top w:val="nil"/>
              <w:left w:val="nil"/>
              <w:bottom w:val="single" w:sz="4" w:space="0" w:color="auto"/>
              <w:right w:val="single" w:sz="4" w:space="0" w:color="auto"/>
            </w:tcBorders>
          </w:tcPr>
          <w:p w14:paraId="63A1244C" w14:textId="77777777" w:rsidR="00701BAF" w:rsidRDefault="00701BAF" w:rsidP="0002429D">
            <w:pPr>
              <w:pStyle w:val="NormalWeb"/>
              <w:rPr>
                <w:rFonts w:ascii="Tahoma" w:hAnsi="Tahoma" w:cs="Tahoma"/>
              </w:rPr>
            </w:pPr>
          </w:p>
        </w:tc>
        <w:tc>
          <w:tcPr>
            <w:tcW w:w="3690" w:type="dxa"/>
            <w:tcBorders>
              <w:left w:val="single" w:sz="4" w:space="0" w:color="auto"/>
            </w:tcBorders>
            <w:shd w:val="clear" w:color="auto" w:fill="B4C6E7" w:themeFill="accent1" w:themeFillTint="66"/>
          </w:tcPr>
          <w:p w14:paraId="37FA5C64" w14:textId="239F0284" w:rsidR="00701BAF" w:rsidRPr="00D763C6" w:rsidRDefault="00701BAF" w:rsidP="00701BAF">
            <w:pPr>
              <w:pStyle w:val="NormalWeb"/>
              <w:jc w:val="center"/>
              <w:rPr>
                <w:rFonts w:ascii="Tahoma" w:hAnsi="Tahoma" w:cs="Tahoma"/>
                <w:b/>
                <w:bCs/>
                <w:color w:val="B4C6E7" w:themeColor="accent1" w:themeTint="66"/>
              </w:rPr>
            </w:pPr>
            <w:r w:rsidRPr="00D763C6">
              <w:rPr>
                <w:rFonts w:ascii="Tahoma" w:hAnsi="Tahoma" w:cs="Tahoma"/>
                <w:b/>
                <w:bCs/>
                <w:color w:val="1F3864" w:themeColor="accent1" w:themeShade="80"/>
              </w:rPr>
              <w:t>Hyaline cartilage</w:t>
            </w:r>
          </w:p>
        </w:tc>
        <w:tc>
          <w:tcPr>
            <w:tcW w:w="4860" w:type="dxa"/>
            <w:shd w:val="clear" w:color="auto" w:fill="B4C6E7" w:themeFill="accent1" w:themeFillTint="66"/>
          </w:tcPr>
          <w:p w14:paraId="1AB72792" w14:textId="0EC458FA" w:rsidR="00701BAF" w:rsidRPr="00D763C6" w:rsidRDefault="00701BAF" w:rsidP="00701BAF">
            <w:pPr>
              <w:pStyle w:val="NormalWeb"/>
              <w:jc w:val="center"/>
              <w:rPr>
                <w:rFonts w:ascii="Tahoma" w:hAnsi="Tahoma" w:cs="Tahoma"/>
                <w:b/>
                <w:bCs/>
                <w:color w:val="B4C6E7" w:themeColor="accent1" w:themeTint="66"/>
              </w:rPr>
            </w:pPr>
            <w:r w:rsidRPr="00D763C6">
              <w:rPr>
                <w:rFonts w:ascii="Tahoma" w:hAnsi="Tahoma" w:cs="Tahoma"/>
                <w:b/>
                <w:bCs/>
                <w:color w:val="1F3864" w:themeColor="accent1" w:themeShade="80"/>
              </w:rPr>
              <w:t>Fibrocartilage</w:t>
            </w:r>
          </w:p>
        </w:tc>
      </w:tr>
      <w:tr w:rsidR="00701BAF" w14:paraId="0893D6D0" w14:textId="77777777" w:rsidTr="00D702D5">
        <w:tc>
          <w:tcPr>
            <w:tcW w:w="2065" w:type="dxa"/>
            <w:tcBorders>
              <w:top w:val="single" w:sz="4" w:space="0" w:color="auto"/>
            </w:tcBorders>
            <w:shd w:val="clear" w:color="auto" w:fill="FFE599" w:themeFill="accent4" w:themeFillTint="66"/>
          </w:tcPr>
          <w:p w14:paraId="65016873" w14:textId="0BE21CA2" w:rsidR="00701BAF" w:rsidRPr="00D763C6" w:rsidRDefault="00DD23E8" w:rsidP="0002429D">
            <w:pPr>
              <w:pStyle w:val="NormalWeb"/>
              <w:rPr>
                <w:rFonts w:ascii="Tahoma" w:hAnsi="Tahoma" w:cs="Tahoma"/>
                <w:b/>
                <w:bCs/>
              </w:rPr>
            </w:pPr>
            <w:r w:rsidRPr="00D763C6">
              <w:rPr>
                <w:rFonts w:ascii="Tahoma" w:hAnsi="Tahoma" w:cs="Tahoma"/>
                <w:b/>
                <w:bCs/>
              </w:rPr>
              <w:t>Color</w:t>
            </w:r>
          </w:p>
        </w:tc>
        <w:tc>
          <w:tcPr>
            <w:tcW w:w="3690" w:type="dxa"/>
          </w:tcPr>
          <w:p w14:paraId="0210E69D" w14:textId="553B13F0" w:rsidR="00701BAF" w:rsidRDefault="00DD23E8" w:rsidP="00D763C6">
            <w:pPr>
              <w:pStyle w:val="NormalWeb"/>
              <w:jc w:val="center"/>
              <w:rPr>
                <w:rFonts w:ascii="Tahoma" w:hAnsi="Tahoma" w:cs="Tahoma"/>
              </w:rPr>
            </w:pPr>
            <w:r>
              <w:rPr>
                <w:rFonts w:ascii="Tahoma" w:hAnsi="Tahoma" w:cs="Tahoma"/>
              </w:rPr>
              <w:t>White</w:t>
            </w:r>
          </w:p>
        </w:tc>
        <w:tc>
          <w:tcPr>
            <w:tcW w:w="4860" w:type="dxa"/>
          </w:tcPr>
          <w:p w14:paraId="5D6BB88D" w14:textId="1AD66693" w:rsidR="00701BAF" w:rsidRDefault="00DD23E8" w:rsidP="0002429D">
            <w:pPr>
              <w:pStyle w:val="NormalWeb"/>
              <w:rPr>
                <w:rFonts w:ascii="Tahoma" w:hAnsi="Tahoma" w:cs="Tahoma"/>
              </w:rPr>
            </w:pPr>
            <w:r>
              <w:rPr>
                <w:rFonts w:ascii="Tahoma" w:hAnsi="Tahoma" w:cs="Tahoma"/>
              </w:rPr>
              <w:t>Glass-like, translucent, bluish-white color</w:t>
            </w:r>
          </w:p>
        </w:tc>
      </w:tr>
      <w:tr w:rsidR="00701BAF" w14:paraId="44DD4D76" w14:textId="77777777" w:rsidTr="00D763C6">
        <w:tc>
          <w:tcPr>
            <w:tcW w:w="2065" w:type="dxa"/>
            <w:shd w:val="clear" w:color="auto" w:fill="FFE599" w:themeFill="accent4" w:themeFillTint="66"/>
          </w:tcPr>
          <w:p w14:paraId="2AA4AF06" w14:textId="0A9544C7" w:rsidR="00701BAF" w:rsidRPr="00D763C6" w:rsidRDefault="00BF2870" w:rsidP="0002429D">
            <w:pPr>
              <w:pStyle w:val="NormalWeb"/>
              <w:rPr>
                <w:rFonts w:ascii="Tahoma" w:hAnsi="Tahoma" w:cs="Tahoma"/>
                <w:b/>
                <w:bCs/>
              </w:rPr>
            </w:pPr>
            <w:r w:rsidRPr="00D763C6">
              <w:rPr>
                <w:rFonts w:ascii="Tahoma" w:hAnsi="Tahoma" w:cs="Tahoma"/>
                <w:b/>
                <w:bCs/>
              </w:rPr>
              <w:t>Location</w:t>
            </w:r>
          </w:p>
        </w:tc>
        <w:tc>
          <w:tcPr>
            <w:tcW w:w="3690" w:type="dxa"/>
          </w:tcPr>
          <w:p w14:paraId="0ADB3B45" w14:textId="3DA46356" w:rsidR="00701BAF" w:rsidRDefault="00BF2870" w:rsidP="0002429D">
            <w:pPr>
              <w:pStyle w:val="NormalWeb"/>
              <w:rPr>
                <w:rFonts w:ascii="Tahoma" w:hAnsi="Tahoma" w:cs="Tahoma"/>
              </w:rPr>
            </w:pPr>
            <w:r>
              <w:rPr>
                <w:rFonts w:ascii="Tahoma" w:hAnsi="Tahoma" w:cs="Tahoma"/>
              </w:rPr>
              <w:t xml:space="preserve">Present at the connection between the ribs and the sternum, in the trachea and </w:t>
            </w:r>
            <w:r w:rsidR="0017511E">
              <w:rPr>
                <w:rFonts w:ascii="Tahoma" w:hAnsi="Tahoma" w:cs="Tahoma"/>
              </w:rPr>
              <w:t>on the articulating surfaces of the synovial joints (such as elbow and knee)</w:t>
            </w:r>
          </w:p>
        </w:tc>
        <w:tc>
          <w:tcPr>
            <w:tcW w:w="4860" w:type="dxa"/>
          </w:tcPr>
          <w:p w14:paraId="177D817D" w14:textId="6ADB57A9" w:rsidR="00BF2870" w:rsidRDefault="00BF2870" w:rsidP="0002429D">
            <w:pPr>
              <w:pStyle w:val="NormalWeb"/>
              <w:rPr>
                <w:rFonts w:ascii="Tahoma" w:hAnsi="Tahoma" w:cs="Tahoma"/>
              </w:rPr>
            </w:pPr>
            <w:r>
              <w:rPr>
                <w:rFonts w:ascii="Tahoma" w:hAnsi="Tahoma" w:cs="Tahoma"/>
              </w:rPr>
              <w:t>Occurs between vertebral bodies, in the pubic symphysis, menisci, the annulus fibrosis of the intervertebral discs, and at the tendon-bone interface.</w:t>
            </w:r>
          </w:p>
        </w:tc>
      </w:tr>
      <w:tr w:rsidR="001C32E9" w14:paraId="1E724A7B" w14:textId="77777777" w:rsidTr="00D763C6">
        <w:tc>
          <w:tcPr>
            <w:tcW w:w="2065" w:type="dxa"/>
            <w:shd w:val="clear" w:color="auto" w:fill="FFE599" w:themeFill="accent4" w:themeFillTint="66"/>
          </w:tcPr>
          <w:p w14:paraId="065223D2" w14:textId="69B3ABDD" w:rsidR="001C32E9" w:rsidRPr="00D763C6" w:rsidRDefault="001C32E9" w:rsidP="0002429D">
            <w:pPr>
              <w:pStyle w:val="NormalWeb"/>
              <w:rPr>
                <w:rFonts w:ascii="Tahoma" w:hAnsi="Tahoma" w:cs="Tahoma"/>
                <w:b/>
                <w:bCs/>
              </w:rPr>
            </w:pPr>
            <w:r w:rsidRPr="00D763C6">
              <w:rPr>
                <w:rFonts w:ascii="Tahoma" w:hAnsi="Tahoma" w:cs="Tahoma"/>
                <w:b/>
                <w:bCs/>
              </w:rPr>
              <w:t>Function</w:t>
            </w:r>
          </w:p>
        </w:tc>
        <w:tc>
          <w:tcPr>
            <w:tcW w:w="3690" w:type="dxa"/>
          </w:tcPr>
          <w:p w14:paraId="1834D6A1" w14:textId="30388799" w:rsidR="001C32E9" w:rsidRDefault="00C40AEB" w:rsidP="0002429D">
            <w:pPr>
              <w:pStyle w:val="NormalWeb"/>
              <w:rPr>
                <w:rFonts w:ascii="Tahoma" w:hAnsi="Tahoma" w:cs="Tahoma"/>
              </w:rPr>
            </w:pPr>
            <w:r>
              <w:rPr>
                <w:rFonts w:ascii="Tahoma" w:hAnsi="Tahoma" w:cs="Tahoma"/>
              </w:rPr>
              <w:t>Provides</w:t>
            </w:r>
            <w:r w:rsidR="004D6864">
              <w:rPr>
                <w:rFonts w:ascii="Tahoma" w:hAnsi="Tahoma" w:cs="Tahoma"/>
              </w:rPr>
              <w:t xml:space="preserve"> smoothness and lubrication of the bones at the joints.</w:t>
            </w:r>
          </w:p>
        </w:tc>
        <w:tc>
          <w:tcPr>
            <w:tcW w:w="4860" w:type="dxa"/>
          </w:tcPr>
          <w:p w14:paraId="3E1A9FD4" w14:textId="3690910F" w:rsidR="001C32E9" w:rsidRDefault="00DC24AE" w:rsidP="0002429D">
            <w:pPr>
              <w:pStyle w:val="NormalWeb"/>
              <w:rPr>
                <w:rFonts w:ascii="Tahoma" w:hAnsi="Tahoma" w:cs="Tahoma"/>
              </w:rPr>
            </w:pPr>
            <w:r>
              <w:rPr>
                <w:rFonts w:ascii="Tahoma" w:hAnsi="Tahoma" w:cs="Tahoma"/>
              </w:rPr>
              <w:t>Attaches bones to other bones and provides restricted mobility to the joints.</w:t>
            </w:r>
          </w:p>
        </w:tc>
      </w:tr>
      <w:tr w:rsidR="001C32E9" w14:paraId="2AEA0970" w14:textId="77777777" w:rsidTr="00D763C6">
        <w:tc>
          <w:tcPr>
            <w:tcW w:w="2065" w:type="dxa"/>
            <w:shd w:val="clear" w:color="auto" w:fill="FFE599" w:themeFill="accent4" w:themeFillTint="66"/>
          </w:tcPr>
          <w:p w14:paraId="1DEED45E" w14:textId="58FEB068" w:rsidR="001C32E9" w:rsidRPr="00D763C6" w:rsidRDefault="00DF7C32" w:rsidP="0002429D">
            <w:pPr>
              <w:pStyle w:val="NormalWeb"/>
              <w:rPr>
                <w:rFonts w:ascii="Tahoma" w:hAnsi="Tahoma" w:cs="Tahoma"/>
                <w:b/>
                <w:bCs/>
              </w:rPr>
            </w:pPr>
            <w:r w:rsidRPr="00D763C6">
              <w:rPr>
                <w:rFonts w:ascii="Tahoma" w:hAnsi="Tahoma" w:cs="Tahoma"/>
                <w:b/>
                <w:bCs/>
              </w:rPr>
              <w:t xml:space="preserve">Extracellular </w:t>
            </w:r>
            <w:r w:rsidR="00D763C6" w:rsidRPr="00D763C6">
              <w:rPr>
                <w:rFonts w:ascii="Tahoma" w:hAnsi="Tahoma" w:cs="Tahoma"/>
                <w:b/>
                <w:bCs/>
              </w:rPr>
              <w:t>F</w:t>
            </w:r>
            <w:r w:rsidRPr="00D763C6">
              <w:rPr>
                <w:rFonts w:ascii="Tahoma" w:hAnsi="Tahoma" w:cs="Tahoma"/>
                <w:b/>
                <w:bCs/>
              </w:rPr>
              <w:t>eatures</w:t>
            </w:r>
          </w:p>
        </w:tc>
        <w:tc>
          <w:tcPr>
            <w:tcW w:w="3690" w:type="dxa"/>
          </w:tcPr>
          <w:p w14:paraId="7C82AF98" w14:textId="77777777" w:rsidR="00551BB1" w:rsidRDefault="00FD5356" w:rsidP="002B5674">
            <w:pPr>
              <w:pStyle w:val="NormalWeb"/>
              <w:spacing w:before="0" w:beforeAutospacing="0" w:after="0" w:afterAutospacing="0"/>
              <w:rPr>
                <w:rFonts w:ascii="Tahoma" w:hAnsi="Tahoma" w:cs="Tahoma"/>
              </w:rPr>
            </w:pPr>
            <w:r>
              <w:rPr>
                <w:rFonts w:ascii="Tahoma" w:hAnsi="Tahoma" w:cs="Tahoma"/>
              </w:rPr>
              <w:t xml:space="preserve">Matrix rich in ground substance: glycosaminoglycans (CAGs) and collagen fibers (collagen II) in </w:t>
            </w:r>
            <w:r w:rsidR="00AF5FC2">
              <w:rPr>
                <w:rFonts w:ascii="Tahoma" w:hAnsi="Tahoma" w:cs="Tahoma"/>
              </w:rPr>
              <w:t>a fewer</w:t>
            </w:r>
            <w:r>
              <w:rPr>
                <w:rFonts w:ascii="Tahoma" w:hAnsi="Tahoma" w:cs="Tahoma"/>
              </w:rPr>
              <w:t xml:space="preserve"> numbe</w:t>
            </w:r>
            <w:r w:rsidR="00AF5FC2">
              <w:rPr>
                <w:rFonts w:ascii="Tahoma" w:hAnsi="Tahoma" w:cs="Tahoma"/>
              </w:rPr>
              <w:t>r compared to fibrocartilage, making it weaker.</w:t>
            </w:r>
          </w:p>
          <w:p w14:paraId="3C9755DA" w14:textId="77777777" w:rsidR="002B5674" w:rsidRDefault="002B5674" w:rsidP="002B5674">
            <w:pPr>
              <w:pStyle w:val="NormalWeb"/>
              <w:spacing w:before="0" w:beforeAutospacing="0" w:after="0" w:afterAutospacing="0"/>
              <w:rPr>
                <w:rFonts w:ascii="Tahoma" w:hAnsi="Tahoma" w:cs="Tahoma"/>
              </w:rPr>
            </w:pPr>
            <w:r>
              <w:rPr>
                <w:rFonts w:ascii="Tahoma" w:hAnsi="Tahoma" w:cs="Tahoma"/>
              </w:rPr>
              <w:t>Contains large chondrocytes in lacunae.</w:t>
            </w:r>
          </w:p>
          <w:p w14:paraId="6E55D5F0" w14:textId="5CAD3979" w:rsidR="002B5674" w:rsidRDefault="002B5674" w:rsidP="0002429D">
            <w:pPr>
              <w:pStyle w:val="NormalWeb"/>
              <w:rPr>
                <w:rFonts w:ascii="Tahoma" w:hAnsi="Tahoma" w:cs="Tahoma"/>
              </w:rPr>
            </w:pPr>
          </w:p>
        </w:tc>
        <w:tc>
          <w:tcPr>
            <w:tcW w:w="4860" w:type="dxa"/>
          </w:tcPr>
          <w:p w14:paraId="099C9915" w14:textId="77777777" w:rsidR="00D763C6" w:rsidRDefault="00DC74BA" w:rsidP="00D763C6">
            <w:pPr>
              <w:pStyle w:val="NormalWeb"/>
              <w:spacing w:before="0" w:beforeAutospacing="0" w:after="0" w:afterAutospacing="0"/>
              <w:rPr>
                <w:rFonts w:ascii="Tahoma" w:hAnsi="Tahoma" w:cs="Tahoma"/>
              </w:rPr>
            </w:pPr>
            <w:r>
              <w:rPr>
                <w:rFonts w:ascii="Tahoma" w:hAnsi="Tahoma" w:cs="Tahoma"/>
              </w:rPr>
              <w:t>Matrix rich in densely braided collagen fibers (collagen I and II) making the tissue highly resistant to compression.</w:t>
            </w:r>
          </w:p>
          <w:p w14:paraId="23A125E0" w14:textId="77777777" w:rsidR="002B5674" w:rsidRDefault="002B5674" w:rsidP="00D763C6">
            <w:pPr>
              <w:pStyle w:val="NormalWeb"/>
              <w:spacing w:before="0" w:beforeAutospacing="0" w:after="0" w:afterAutospacing="0"/>
              <w:rPr>
                <w:rFonts w:ascii="Tahoma" w:hAnsi="Tahoma" w:cs="Tahoma"/>
              </w:rPr>
            </w:pPr>
            <w:r>
              <w:rPr>
                <w:rFonts w:ascii="Tahoma" w:hAnsi="Tahoma" w:cs="Tahoma"/>
              </w:rPr>
              <w:t>Contains fibroblasts, fibrocytes, chondroblasts and a few chondrocytes in lacunae.</w:t>
            </w:r>
          </w:p>
          <w:p w14:paraId="6DFD5670" w14:textId="4A1D5005" w:rsidR="00B210F1" w:rsidRDefault="00B210F1" w:rsidP="00D763C6">
            <w:pPr>
              <w:pStyle w:val="NormalWeb"/>
              <w:spacing w:before="0" w:beforeAutospacing="0" w:after="0" w:afterAutospacing="0"/>
              <w:rPr>
                <w:rFonts w:ascii="Tahoma" w:hAnsi="Tahoma" w:cs="Tahoma"/>
              </w:rPr>
            </w:pPr>
            <w:r>
              <w:rPr>
                <w:rFonts w:ascii="Tahoma" w:hAnsi="Tahoma" w:cs="Tahoma"/>
              </w:rPr>
              <w:t>The ground substance contains equal amounts of dermatan and chondroitin sulfate.</w:t>
            </w:r>
          </w:p>
        </w:tc>
      </w:tr>
      <w:tr w:rsidR="00551BB1" w14:paraId="6E219F8B" w14:textId="77777777" w:rsidTr="00D763C6">
        <w:tc>
          <w:tcPr>
            <w:tcW w:w="2065" w:type="dxa"/>
            <w:shd w:val="clear" w:color="auto" w:fill="FFE599" w:themeFill="accent4" w:themeFillTint="66"/>
          </w:tcPr>
          <w:p w14:paraId="11CC3331" w14:textId="56F85EDF" w:rsidR="00551BB1" w:rsidRPr="00D763C6" w:rsidRDefault="00551BB1" w:rsidP="0002429D">
            <w:pPr>
              <w:pStyle w:val="NormalWeb"/>
              <w:rPr>
                <w:rFonts w:ascii="Tahoma" w:hAnsi="Tahoma" w:cs="Tahoma"/>
                <w:b/>
                <w:bCs/>
              </w:rPr>
            </w:pPr>
            <w:r w:rsidRPr="00D763C6">
              <w:rPr>
                <w:rFonts w:ascii="Tahoma" w:hAnsi="Tahoma" w:cs="Tahoma"/>
                <w:b/>
                <w:bCs/>
              </w:rPr>
              <w:t>Perichondrium</w:t>
            </w:r>
          </w:p>
        </w:tc>
        <w:tc>
          <w:tcPr>
            <w:tcW w:w="3690" w:type="dxa"/>
          </w:tcPr>
          <w:p w14:paraId="61D49D4A" w14:textId="4DA047F0" w:rsidR="00551BB1" w:rsidRDefault="00551BB1" w:rsidP="0002429D">
            <w:pPr>
              <w:pStyle w:val="NormalWeb"/>
              <w:rPr>
                <w:rFonts w:ascii="Tahoma" w:hAnsi="Tahoma" w:cs="Tahoma"/>
              </w:rPr>
            </w:pPr>
            <w:r>
              <w:rPr>
                <w:rFonts w:ascii="Tahoma" w:hAnsi="Tahoma" w:cs="Tahoma"/>
              </w:rPr>
              <w:t>Contains (except the hyaline cartilage at the end of the growing bones).</w:t>
            </w:r>
          </w:p>
        </w:tc>
        <w:tc>
          <w:tcPr>
            <w:tcW w:w="4860" w:type="dxa"/>
            <w:vAlign w:val="center"/>
          </w:tcPr>
          <w:p w14:paraId="34A30C74" w14:textId="3B785289" w:rsidR="00551BB1" w:rsidRDefault="00551BB1" w:rsidP="00D763C6">
            <w:pPr>
              <w:pStyle w:val="NormalWeb"/>
              <w:jc w:val="center"/>
              <w:rPr>
                <w:rFonts w:ascii="Tahoma" w:hAnsi="Tahoma" w:cs="Tahoma"/>
              </w:rPr>
            </w:pPr>
            <w:r>
              <w:rPr>
                <w:rFonts w:ascii="Tahoma" w:hAnsi="Tahoma" w:cs="Tahoma"/>
              </w:rPr>
              <w:t>Lacks</w:t>
            </w:r>
          </w:p>
        </w:tc>
      </w:tr>
    </w:tbl>
    <w:p w14:paraId="239BB77D" w14:textId="33383D16" w:rsidR="00701BAF" w:rsidRPr="00615C15" w:rsidRDefault="00B210F1" w:rsidP="00615C15">
      <w:pPr>
        <w:pStyle w:val="Bibliography"/>
        <w:spacing w:before="120" w:line="240" w:lineRule="auto"/>
        <w:ind w:firstLine="0"/>
        <w:rPr>
          <w:rFonts w:ascii="Tahoma" w:hAnsi="Tahoma" w:cs="Tahoma"/>
        </w:rPr>
      </w:pPr>
      <w:r w:rsidRPr="00615C15">
        <w:rPr>
          <w:rFonts w:ascii="Tahoma" w:hAnsi="Tahoma" w:cs="Tahoma"/>
        </w:rPr>
        <w:t xml:space="preserve">Hyaline </w:t>
      </w:r>
      <w:r w:rsidR="00DB1BE0" w:rsidRPr="00615C15">
        <w:rPr>
          <w:rFonts w:ascii="Tahoma" w:hAnsi="Tahoma" w:cs="Tahoma"/>
        </w:rPr>
        <w:t>cartilage</w:t>
      </w:r>
      <w:r w:rsidRPr="00615C15">
        <w:rPr>
          <w:rFonts w:ascii="Tahoma" w:hAnsi="Tahoma" w:cs="Tahoma"/>
        </w:rPr>
        <w:t xml:space="preserve"> is very uniform in appearance. It is surrounded by the perichondrium. It is mainly made of chondrocytes with one or two nuclei and clear protoplasm. Chondrocytes are found in the lacuna</w:t>
      </w:r>
      <w:r w:rsidR="009D1829" w:rsidRPr="00615C15">
        <w:rPr>
          <w:rFonts w:ascii="Tahoma" w:hAnsi="Tahoma" w:cs="Tahoma"/>
        </w:rPr>
        <w:t>e</w:t>
      </w:r>
      <w:r w:rsidRPr="00615C15">
        <w:rPr>
          <w:rFonts w:ascii="Tahoma" w:hAnsi="Tahoma" w:cs="Tahoma"/>
        </w:rPr>
        <w:t>.</w:t>
      </w:r>
    </w:p>
    <w:p w14:paraId="5620C1DD" w14:textId="2AF25E39" w:rsidR="00B67FEA" w:rsidRDefault="00CC509A" w:rsidP="00D702D5">
      <w:pPr>
        <w:pStyle w:val="NormalWeb"/>
        <w:ind w:left="720"/>
        <w:rPr>
          <w:rFonts w:ascii="Tahoma" w:hAnsi="Tahoma" w:cs="Tahoma"/>
        </w:rPr>
      </w:pPr>
      <w:r>
        <w:rPr>
          <w:rFonts w:ascii="Tahoma" w:hAnsi="Tahoma" w:cs="Tahoma"/>
        </w:rPr>
        <w:lastRenderedPageBreak/>
        <w:t xml:space="preserve">Fibrocartilage is </w:t>
      </w:r>
      <w:r w:rsidR="00A41B5D">
        <w:rPr>
          <w:rFonts w:ascii="Tahoma" w:hAnsi="Tahoma" w:cs="Tahoma"/>
        </w:rPr>
        <w:t xml:space="preserve">a </w:t>
      </w:r>
      <w:r>
        <w:rPr>
          <w:rFonts w:ascii="Tahoma" w:hAnsi="Tahoma" w:cs="Tahoma"/>
        </w:rPr>
        <w:t xml:space="preserve">densely arranged, </w:t>
      </w:r>
      <w:r w:rsidR="00841A52">
        <w:rPr>
          <w:rFonts w:ascii="Tahoma" w:hAnsi="Tahoma" w:cs="Tahoma"/>
        </w:rPr>
        <w:t xml:space="preserve">whitish, fibrous tissue </w:t>
      </w:r>
      <w:r>
        <w:rPr>
          <w:rFonts w:ascii="Tahoma" w:hAnsi="Tahoma" w:cs="Tahoma"/>
        </w:rPr>
        <w:t>with a mixture of both chondrocytes and fibroblasts.</w:t>
      </w:r>
      <w:r w:rsidR="00710EDA">
        <w:rPr>
          <w:rFonts w:ascii="Tahoma" w:hAnsi="Tahoma" w:cs="Tahoma"/>
        </w:rPr>
        <w:t xml:space="preserve"> It contains large bundles of collagen </w:t>
      </w:r>
      <w:r w:rsidR="000269C2">
        <w:rPr>
          <w:rFonts w:ascii="Tahoma" w:hAnsi="Tahoma" w:cs="Tahoma"/>
        </w:rPr>
        <w:t>fibers</w:t>
      </w:r>
      <w:r w:rsidR="00EF6623">
        <w:rPr>
          <w:rFonts w:ascii="Tahoma" w:hAnsi="Tahoma" w:cs="Tahoma"/>
        </w:rPr>
        <w:t xml:space="preserve"> r</w:t>
      </w:r>
      <w:r w:rsidR="00710EDA">
        <w:rPr>
          <w:rFonts w:ascii="Tahoma" w:hAnsi="Tahoma" w:cs="Tahoma"/>
        </w:rPr>
        <w:t>unning linearly through the tissue.</w:t>
      </w:r>
    </w:p>
    <w:p w14:paraId="514092E0" w14:textId="77777777" w:rsidR="00B67FEA" w:rsidRDefault="008E2EF8" w:rsidP="00D702D5">
      <w:pPr>
        <w:pStyle w:val="NormalWeb"/>
        <w:numPr>
          <w:ilvl w:val="0"/>
          <w:numId w:val="10"/>
        </w:numPr>
        <w:rPr>
          <w:rFonts w:ascii="Tahoma" w:hAnsi="Tahoma" w:cs="Tahoma"/>
        </w:rPr>
      </w:pPr>
      <w:r>
        <w:rPr>
          <w:rFonts w:ascii="Tahoma" w:hAnsi="Tahoma" w:cs="Tahoma"/>
        </w:rPr>
        <w:t xml:space="preserve">What features of the local site of repair would you expect to influence the outcome towards either of these endpoints? </w:t>
      </w:r>
    </w:p>
    <w:p w14:paraId="66DBCAC7" w14:textId="25D30826" w:rsidR="002D2EB4" w:rsidRDefault="0034726E" w:rsidP="00F34E12">
      <w:pPr>
        <w:pStyle w:val="ListParagraph"/>
        <w:ind w:left="1440"/>
        <w:rPr>
          <w:rFonts w:ascii="Tahoma" w:hAnsi="Tahoma" w:cs="Tahoma"/>
        </w:rPr>
      </w:pPr>
      <w:proofErr w:type="spellStart"/>
      <w:r>
        <w:rPr>
          <w:rFonts w:ascii="Tahoma" w:hAnsi="Tahoma" w:cs="Tahoma"/>
        </w:rPr>
        <w:t>Carticel</w:t>
      </w:r>
      <w:proofErr w:type="spellEnd"/>
      <w:r>
        <w:rPr>
          <w:rFonts w:ascii="Tahoma" w:hAnsi="Tahoma" w:cs="Tahoma"/>
        </w:rPr>
        <w:t xml:space="preserve"> is cultured autologous chondrocytes</w:t>
      </w:r>
      <w:r w:rsidR="004006B1">
        <w:rPr>
          <w:rFonts w:ascii="Tahoma" w:hAnsi="Tahoma" w:cs="Tahoma"/>
        </w:rPr>
        <w:t xml:space="preserve"> injected at the local site of repair</w:t>
      </w:r>
      <w:r w:rsidR="00E77142">
        <w:rPr>
          <w:rFonts w:ascii="Tahoma" w:hAnsi="Tahoma" w:cs="Tahoma"/>
        </w:rPr>
        <w:t xml:space="preserve">. Chondrocytes synthesize components such as collagen, glycoproteins, proteoglycans and hyaluronan. </w:t>
      </w:r>
      <w:r>
        <w:rPr>
          <w:rFonts w:ascii="Tahoma" w:hAnsi="Tahoma" w:cs="Tahoma"/>
        </w:rPr>
        <w:t xml:space="preserve"> </w:t>
      </w:r>
      <w:r w:rsidR="002D2EB4">
        <w:rPr>
          <w:rFonts w:ascii="Tahoma" w:hAnsi="Tahoma" w:cs="Tahoma"/>
        </w:rPr>
        <w:t xml:space="preserve">They are </w:t>
      </w:r>
      <w:r w:rsidR="008F786E">
        <w:rPr>
          <w:rFonts w:ascii="Tahoma" w:hAnsi="Tahoma" w:cs="Tahoma"/>
        </w:rPr>
        <w:t xml:space="preserve">also </w:t>
      </w:r>
      <w:r w:rsidR="002D2EB4">
        <w:rPr>
          <w:rFonts w:ascii="Tahoma" w:hAnsi="Tahoma" w:cs="Tahoma"/>
        </w:rPr>
        <w:t xml:space="preserve">mainly responsible for the production of the extracellular matrix that leads to </w:t>
      </w:r>
      <w:r w:rsidR="00D01F7D">
        <w:rPr>
          <w:rFonts w:ascii="Tahoma" w:hAnsi="Tahoma" w:cs="Tahoma"/>
        </w:rPr>
        <w:t xml:space="preserve">hyaline cartilage. Hyaline cartilage results from the combination of type II collagen and proteoglycans present in a specific composition and organization </w:t>
      </w:r>
      <w:r w:rsidR="00D01F7D">
        <w:rPr>
          <w:rFonts w:ascii="Tahoma" w:hAnsi="Tahoma" w:cs="Tahoma"/>
        </w:rPr>
        <w:fldChar w:fldCharType="begin"/>
      </w:r>
      <w:r w:rsidR="00D01F7D">
        <w:rPr>
          <w:rFonts w:ascii="Tahoma" w:hAnsi="Tahoma" w:cs="Tahoma"/>
        </w:rPr>
        <w:instrText xml:space="preserve"> ADDIN ZOTERO_ITEM CSL_CITATION {"citationID":"WBVDfi2c","properties":{"formattedCitation":"(Armiento et al.)","plainCitation":"(Armiento et al.)","noteIndex":0},"citationItems":[{"id":5464,"uris":["http://zotero.org/users/7286058/items/INS7QZUD"],"itemData":{"id":5464,"type":"article-journal","abstract":"Once damaged, articular cartilage has a limited potential to repair. Clinically, a repair tissue is formed, yet, it is often mechanically inferior ﬁbrocartilage. The use of monolayer expanded versus naïve cells may explain one of the biggest discrepancies in mesenchymal stromal/stem cell (MSC) based cartilage regeneration. Namely, studies utilizing monolayer expanded MSCs, as indicated by numerous in vitro studies, report as a main limitation the induction of type X collagen and hypertrophy, a phenotype associated with endochondral bone formation. However, marrow stimulation and transfer studies report a mechanically inferior collagen I/II ﬁbrocartilage as the main outcome. Therefore, this review will highlight the collagen species produced during the different therapeutic approaches. New developments in scaffold design and delivery of therapeutic molecules will be described. Potential future directions towards clinical translation will be discussed. New delivery mechanisms are being developed and they offer new hope in targeted therapeutic delivery.","container-title":"Advanced Drug Delivery Reviews","DOI":"10.1016/j.addr.2018.12.015","ISSN":"0169409X","journalAbbreviation":"Advanced Drug Delivery Reviews","language":"en","page":"289-305","source":"DOI.org (Crossref)","title":"Articular fibrocartilage - Why does hyaline cartilage fail to repair?","URL":"https://linkinghub.elsevier.com/retrieve/pii/S0169409X18303193","volume":"146","author":[{"family":"Armiento","given":"Angela R."},{"family":"Alini","given":"Mauro"},{"family":"Stoddart","given":"Martin J."}],"accessed":{"date-parts":[["2022",11,16]]},"issued":{"date-parts":[["2019",6]]}}}],"schema":"https://github.com/citation-style-language/schema/raw/master/csl-citation.json"} </w:instrText>
      </w:r>
      <w:r w:rsidR="00D01F7D">
        <w:rPr>
          <w:rFonts w:ascii="Tahoma" w:hAnsi="Tahoma" w:cs="Tahoma"/>
        </w:rPr>
        <w:fldChar w:fldCharType="separate"/>
      </w:r>
      <w:r w:rsidR="00D01F7D">
        <w:rPr>
          <w:rFonts w:ascii="Tahoma" w:hAnsi="Tahoma" w:cs="Tahoma"/>
          <w:noProof/>
        </w:rPr>
        <w:t>(Armiento et al.)</w:t>
      </w:r>
      <w:r w:rsidR="00D01F7D">
        <w:rPr>
          <w:rFonts w:ascii="Tahoma" w:hAnsi="Tahoma" w:cs="Tahoma"/>
        </w:rPr>
        <w:fldChar w:fldCharType="end"/>
      </w:r>
      <w:r w:rsidR="00D01F7D">
        <w:rPr>
          <w:rFonts w:ascii="Tahoma" w:hAnsi="Tahoma" w:cs="Tahoma"/>
        </w:rPr>
        <w:t>.</w:t>
      </w:r>
    </w:p>
    <w:p w14:paraId="555648CA" w14:textId="55CFDD68" w:rsidR="002D2EB4" w:rsidRPr="00D01F7D" w:rsidRDefault="002D2EB4" w:rsidP="00D01F7D">
      <w:pPr>
        <w:pStyle w:val="ListParagraph"/>
        <w:ind w:left="1440"/>
        <w:rPr>
          <w:rFonts w:ascii="Tahoma" w:hAnsi="Tahoma" w:cs="Tahoma"/>
        </w:rPr>
      </w:pPr>
      <w:r>
        <w:rPr>
          <w:rFonts w:ascii="Tahoma" w:hAnsi="Tahoma" w:cs="Tahoma"/>
        </w:rPr>
        <w:t xml:space="preserve">Fibrocartilage </w:t>
      </w:r>
      <w:r w:rsidR="00D01F7D">
        <w:rPr>
          <w:rFonts w:ascii="Tahoma" w:hAnsi="Tahoma" w:cs="Tahoma"/>
        </w:rPr>
        <w:t xml:space="preserve">can </w:t>
      </w:r>
      <w:r>
        <w:rPr>
          <w:rFonts w:ascii="Tahoma" w:hAnsi="Tahoma" w:cs="Tahoma"/>
        </w:rPr>
        <w:t>develop at sites</w:t>
      </w:r>
      <w:r w:rsidR="008F786E">
        <w:rPr>
          <w:rFonts w:ascii="Tahoma" w:hAnsi="Tahoma" w:cs="Tahoma"/>
        </w:rPr>
        <w:t xml:space="preserve"> </w:t>
      </w:r>
      <w:r>
        <w:rPr>
          <w:rFonts w:ascii="Tahoma" w:hAnsi="Tahoma" w:cs="Tahoma"/>
        </w:rPr>
        <w:t xml:space="preserve">where entheses are subject to both shear and compressive. </w:t>
      </w:r>
      <w:r w:rsidR="008F786E">
        <w:rPr>
          <w:rFonts w:ascii="Tahoma" w:hAnsi="Tahoma" w:cs="Tahoma"/>
        </w:rPr>
        <w:t xml:space="preserve">They are present when chondrocytes express a higher level of type I collagen down-regulating the expression of type II collagen. </w:t>
      </w:r>
    </w:p>
    <w:p w14:paraId="780032C1" w14:textId="2F158527" w:rsidR="008E2EF8" w:rsidRPr="00B67FEA" w:rsidRDefault="008E2EF8" w:rsidP="00B67FEA">
      <w:pPr>
        <w:pStyle w:val="NormalWeb"/>
        <w:numPr>
          <w:ilvl w:val="0"/>
          <w:numId w:val="10"/>
        </w:numPr>
        <w:rPr>
          <w:rFonts w:ascii="Tahoma" w:hAnsi="Tahoma" w:cs="Tahoma"/>
        </w:rPr>
      </w:pPr>
      <w:r w:rsidRPr="00B67FEA">
        <w:rPr>
          <w:rFonts w:ascii="Tahoma" w:hAnsi="Tahoma" w:cs="Tahoma"/>
        </w:rPr>
        <w:t>Are</w:t>
      </w:r>
      <w:r w:rsidR="00B67FEA" w:rsidRPr="00B67FEA">
        <w:rPr>
          <w:rFonts w:ascii="Tahoma" w:hAnsi="Tahoma" w:cs="Tahoma"/>
        </w:rPr>
        <w:t xml:space="preserve"> </w:t>
      </w:r>
      <w:r w:rsidRPr="00B67FEA">
        <w:rPr>
          <w:rFonts w:ascii="Tahoma" w:hAnsi="Tahoma" w:cs="Tahoma"/>
        </w:rPr>
        <w:t>there</w:t>
      </w:r>
      <w:r w:rsidR="00B67FEA" w:rsidRPr="00B67FEA">
        <w:rPr>
          <w:rFonts w:ascii="Tahoma" w:hAnsi="Tahoma" w:cs="Tahoma"/>
        </w:rPr>
        <w:t xml:space="preserve"> </w:t>
      </w:r>
      <w:r w:rsidRPr="00B67FEA">
        <w:rPr>
          <w:rFonts w:ascii="Tahoma" w:hAnsi="Tahoma" w:cs="Tahoma"/>
        </w:rPr>
        <w:t>any</w:t>
      </w:r>
      <w:r w:rsidR="00B67FEA" w:rsidRPr="00B67FEA">
        <w:rPr>
          <w:rFonts w:ascii="Tahoma" w:hAnsi="Tahoma" w:cs="Tahoma"/>
        </w:rPr>
        <w:t xml:space="preserve"> </w:t>
      </w:r>
      <w:r w:rsidRPr="00B67FEA">
        <w:rPr>
          <w:rFonts w:ascii="Tahoma" w:hAnsi="Tahoma" w:cs="Tahoma"/>
        </w:rPr>
        <w:t>elements</w:t>
      </w:r>
      <w:r w:rsidR="00B67FEA" w:rsidRPr="00B67FEA">
        <w:rPr>
          <w:rFonts w:ascii="Tahoma" w:hAnsi="Tahoma" w:cs="Tahoma"/>
        </w:rPr>
        <w:t xml:space="preserve"> </w:t>
      </w:r>
      <w:r w:rsidRPr="00B67FEA">
        <w:rPr>
          <w:rFonts w:ascii="Tahoma" w:hAnsi="Tahoma" w:cs="Tahoma"/>
        </w:rPr>
        <w:t>that</w:t>
      </w:r>
      <w:r w:rsidR="00B67FEA" w:rsidRPr="00B67FEA">
        <w:rPr>
          <w:rFonts w:ascii="Tahoma" w:hAnsi="Tahoma" w:cs="Tahoma"/>
        </w:rPr>
        <w:t xml:space="preserve"> </w:t>
      </w:r>
      <w:r w:rsidRPr="00B67FEA">
        <w:rPr>
          <w:rFonts w:ascii="Tahoma" w:hAnsi="Tahoma" w:cs="Tahoma"/>
        </w:rPr>
        <w:t>you</w:t>
      </w:r>
      <w:r w:rsidR="00B67FEA" w:rsidRPr="00B67FEA">
        <w:rPr>
          <w:rFonts w:ascii="Tahoma" w:hAnsi="Tahoma" w:cs="Tahoma"/>
        </w:rPr>
        <w:t xml:space="preserve"> </w:t>
      </w:r>
      <w:r w:rsidRPr="00B67FEA">
        <w:rPr>
          <w:rFonts w:ascii="Tahoma" w:hAnsi="Tahoma" w:cs="Tahoma"/>
        </w:rPr>
        <w:t>could</w:t>
      </w:r>
      <w:r w:rsidR="00B67FEA" w:rsidRPr="00B67FEA">
        <w:rPr>
          <w:rFonts w:ascii="Tahoma" w:hAnsi="Tahoma" w:cs="Tahoma"/>
        </w:rPr>
        <w:t xml:space="preserve"> </w:t>
      </w:r>
      <w:r w:rsidRPr="00B67FEA">
        <w:rPr>
          <w:rFonts w:ascii="Tahoma" w:hAnsi="Tahoma" w:cs="Tahoma"/>
        </w:rPr>
        <w:t>add</w:t>
      </w:r>
      <w:r w:rsidR="00B67FEA" w:rsidRPr="00B67FEA">
        <w:rPr>
          <w:rFonts w:ascii="Tahoma" w:hAnsi="Tahoma" w:cs="Tahoma"/>
        </w:rPr>
        <w:t xml:space="preserve"> </w:t>
      </w:r>
      <w:r w:rsidRPr="00B67FEA">
        <w:rPr>
          <w:rFonts w:ascii="Tahoma" w:hAnsi="Tahoma" w:cs="Tahoma"/>
        </w:rPr>
        <w:t>to</w:t>
      </w:r>
      <w:r w:rsidR="00B67FEA" w:rsidRPr="00B67FEA">
        <w:rPr>
          <w:rFonts w:ascii="Tahoma" w:hAnsi="Tahoma" w:cs="Tahoma"/>
        </w:rPr>
        <w:t xml:space="preserve"> </w:t>
      </w:r>
      <w:r w:rsidRPr="00B67FEA">
        <w:rPr>
          <w:rFonts w:ascii="Tahoma" w:hAnsi="Tahoma" w:cs="Tahoma"/>
        </w:rPr>
        <w:t>the</w:t>
      </w:r>
      <w:r w:rsidR="00B67FEA" w:rsidRPr="00B67FEA">
        <w:rPr>
          <w:rFonts w:ascii="Tahoma" w:hAnsi="Tahoma" w:cs="Tahoma"/>
        </w:rPr>
        <w:t xml:space="preserve"> </w:t>
      </w:r>
      <w:r w:rsidRPr="00B67FEA">
        <w:rPr>
          <w:rFonts w:ascii="Tahoma" w:hAnsi="Tahoma" w:cs="Tahoma"/>
        </w:rPr>
        <w:t>cell</w:t>
      </w:r>
      <w:r w:rsidR="00B67FEA" w:rsidRPr="00B67FEA">
        <w:rPr>
          <w:rFonts w:ascii="Tahoma" w:hAnsi="Tahoma" w:cs="Tahoma"/>
        </w:rPr>
        <w:t xml:space="preserve"> </w:t>
      </w:r>
      <w:r w:rsidRPr="00B67FEA">
        <w:rPr>
          <w:rFonts w:ascii="Tahoma" w:hAnsi="Tahoma" w:cs="Tahoma"/>
        </w:rPr>
        <w:t>suspension</w:t>
      </w:r>
      <w:r w:rsidR="00B67FEA" w:rsidRPr="00B67FEA">
        <w:rPr>
          <w:rFonts w:ascii="Tahoma" w:hAnsi="Tahoma" w:cs="Tahoma"/>
        </w:rPr>
        <w:t xml:space="preserve"> </w:t>
      </w:r>
      <w:r w:rsidRPr="00B67FEA">
        <w:rPr>
          <w:rFonts w:ascii="Tahoma" w:hAnsi="Tahoma" w:cs="Tahoma"/>
        </w:rPr>
        <w:t>that</w:t>
      </w:r>
      <w:r w:rsidR="00B67FEA" w:rsidRPr="00B67FEA">
        <w:rPr>
          <w:rFonts w:ascii="Tahoma" w:hAnsi="Tahoma" w:cs="Tahoma"/>
        </w:rPr>
        <w:t xml:space="preserve"> </w:t>
      </w:r>
      <w:r w:rsidRPr="00B67FEA">
        <w:rPr>
          <w:rFonts w:ascii="Tahoma" w:hAnsi="Tahoma" w:cs="Tahoma"/>
        </w:rPr>
        <w:t>is</w:t>
      </w:r>
      <w:r w:rsidR="00B67FEA" w:rsidRPr="00B67FEA">
        <w:rPr>
          <w:rFonts w:ascii="Tahoma" w:hAnsi="Tahoma" w:cs="Tahoma"/>
        </w:rPr>
        <w:t xml:space="preserve"> </w:t>
      </w:r>
      <w:r w:rsidRPr="00B67FEA">
        <w:rPr>
          <w:rFonts w:ascii="Tahoma" w:hAnsi="Tahoma" w:cs="Tahoma"/>
        </w:rPr>
        <w:t xml:space="preserve">injected into the defect site, or to the surgical procedure used to deploy the cells, to increase the probability of the most desirable outcome? </w:t>
      </w:r>
    </w:p>
    <w:p w14:paraId="3BFAD1E2" w14:textId="7A0C1E9A" w:rsidR="001E6583" w:rsidRDefault="00E77142" w:rsidP="00F34E12">
      <w:pPr>
        <w:pStyle w:val="NormalWeb"/>
        <w:ind w:left="1800"/>
        <w:rPr>
          <w:rFonts w:ascii="Tahoma" w:hAnsi="Tahoma" w:cs="Tahoma"/>
        </w:rPr>
      </w:pPr>
      <w:r>
        <w:rPr>
          <w:rFonts w:ascii="Tahoma" w:hAnsi="Tahoma" w:cs="Tahoma"/>
        </w:rPr>
        <w:t xml:space="preserve">Chondrocytes are altered by </w:t>
      </w:r>
      <w:r w:rsidR="008B4849">
        <w:rPr>
          <w:rFonts w:ascii="Tahoma" w:hAnsi="Tahoma" w:cs="Tahoma"/>
        </w:rPr>
        <w:t>growth factors</w:t>
      </w:r>
      <w:r w:rsidR="00E01AE0">
        <w:rPr>
          <w:rFonts w:ascii="Tahoma" w:hAnsi="Tahoma" w:cs="Tahoma"/>
        </w:rPr>
        <w:t xml:space="preserve"> such as TGF-beta which stimulate</w:t>
      </w:r>
      <w:r w:rsidR="003D5ACB">
        <w:rPr>
          <w:rFonts w:ascii="Tahoma" w:hAnsi="Tahoma" w:cs="Tahoma"/>
        </w:rPr>
        <w:t>s</w:t>
      </w:r>
      <w:r w:rsidR="00E01AE0">
        <w:rPr>
          <w:rFonts w:ascii="Tahoma" w:hAnsi="Tahoma" w:cs="Tahoma"/>
        </w:rPr>
        <w:t xml:space="preserve"> the production of new cells and chondrogenesis.</w:t>
      </w:r>
      <w:r w:rsidR="00EC20DE">
        <w:rPr>
          <w:rFonts w:ascii="Tahoma" w:hAnsi="Tahoma" w:cs="Tahoma"/>
        </w:rPr>
        <w:t xml:space="preserve"> </w:t>
      </w:r>
      <w:r w:rsidR="001E6583">
        <w:rPr>
          <w:rFonts w:ascii="Tahoma" w:hAnsi="Tahoma" w:cs="Tahoma"/>
        </w:rPr>
        <w:t xml:space="preserve">The effects of BMP-2 </w:t>
      </w:r>
      <w:r w:rsidR="00B14BE8">
        <w:rPr>
          <w:rFonts w:ascii="Tahoma" w:hAnsi="Tahoma" w:cs="Tahoma"/>
        </w:rPr>
        <w:t>are</w:t>
      </w:r>
      <w:r w:rsidR="001E6583">
        <w:rPr>
          <w:rFonts w:ascii="Tahoma" w:hAnsi="Tahoma" w:cs="Tahoma"/>
        </w:rPr>
        <w:t xml:space="preserve"> similar to that of TGF-beta1 with increased ECM production and decreased expression of collagen type 1.</w:t>
      </w:r>
      <w:r w:rsidR="00B6593F">
        <w:rPr>
          <w:rFonts w:ascii="Tahoma" w:hAnsi="Tahoma" w:cs="Tahoma"/>
        </w:rPr>
        <w:t xml:space="preserve"> Chondrogenic differentiation is enhanced when IGF-1 and TGF-beta1 are used in combination.</w:t>
      </w:r>
      <w:r w:rsidR="0037047F">
        <w:rPr>
          <w:rFonts w:ascii="Tahoma" w:hAnsi="Tahoma" w:cs="Tahoma"/>
        </w:rPr>
        <w:t xml:space="preserve"> Other growth factors have been identified to be important during cartilage repair (VEGF, BMP, FGF, </w:t>
      </w:r>
      <w:proofErr w:type="spellStart"/>
      <w:r w:rsidR="0037047F">
        <w:rPr>
          <w:rFonts w:ascii="Tahoma" w:hAnsi="Tahoma" w:cs="Tahoma"/>
        </w:rPr>
        <w:t>Wnt</w:t>
      </w:r>
      <w:proofErr w:type="spellEnd"/>
      <w:r w:rsidR="0037047F">
        <w:rPr>
          <w:rFonts w:ascii="Tahoma" w:hAnsi="Tahoma" w:cs="Tahoma"/>
        </w:rPr>
        <w:t>)</w:t>
      </w:r>
      <w:r w:rsidR="00AB7BD7">
        <w:rPr>
          <w:rFonts w:ascii="Tahoma" w:hAnsi="Tahoma" w:cs="Tahoma"/>
        </w:rPr>
        <w:t xml:space="preserve"> </w:t>
      </w:r>
      <w:r w:rsidR="00AB7BD7">
        <w:rPr>
          <w:rFonts w:ascii="Tahoma" w:hAnsi="Tahoma" w:cs="Tahoma"/>
        </w:rPr>
        <w:fldChar w:fldCharType="begin"/>
      </w:r>
      <w:r w:rsidR="00AB7BD7">
        <w:rPr>
          <w:rFonts w:ascii="Tahoma" w:hAnsi="Tahoma" w:cs="Tahoma"/>
        </w:rPr>
        <w:instrText xml:space="preserve"> ADDIN ZOTERO_ITEM CSL_CITATION {"citationID":"DULQg39u","properties":{"formattedCitation":"(Fortier et al.)","plainCitation":"(Fortier et al.)","noteIndex":0},"citationItems":[{"id":5472,"uris":["http://zotero.org/users/7286058/items/4SUWM89N"],"itemData":{"id":5472,"type":"article-journal","abstract":"Background\nFull-thickness chondral defects and early osteoarthritis continue to present major challenges for the patient and the orthopaedic surgeon as a result of the limited healing potential of articular cartilage. The use of bioactive growth factors is under consideration as a potential therapy to enhance healing of chondral injuries and modify the arthritic disease process.\n\nQuestions/purposes\nWe reviewed the role of growth factors in articular cartilage repair and identified specific growth factors and combinations of growth factors that have the capacity to improve cartilage regeneration. Additionally, we discuss the potential use of platelet-rich plasma, autologous-conditioned serum, and bone marrow concentrate preparations as methods of combined growth factor delivery.\n\nMethods\nA PubMed search was performed using key words cartilage or chondrocyte alone and in combination with growth factor. The search was open for original manuscripts and review papers and open for all dates. From these searches we selected manuscripts investigating the effects of growth factors on extracellular matrix synthesis and excluded those investigating molecular mechanisms of action.\n\nResults\nBy modulating the local microenvironment, the anabolic and anticatabolic effects of a variety of growth factors have demonstrated potential in both in vitro and animal studies of cartilage injury and repair. Members of the transforming growth factor-β superfamily, fibroblast growth factor family, insulin-like growth factor-I, and platelet-derived growth factor have all been investigated as possible treatment augments in the management of chondral injuries and early arthritis.\n\nConclusions\nThe application of growth factors in the treatment of local cartilage defects as well as osteoarthritis appears promising; however, further research is needed at both the basic science and clinical levels before routine application.","container-title":"Clinical Orthopaedics and Related Research","DOI":"10.1007/s11999-011-1857-3","ISSN":"0009-921X","issue":"10","journalAbbreviation":"Clin Orthop Relat Res","note":"PMID: 21403984\nPMCID: PMC3171543","page":"2706-2715","source":"PubMed Central","title":"The Role of Growth Factors in Cartilage Repair","URL":"https://www.ncbi.nlm.nih.gov/pmc/articles/PMC3171543/","volume":"469","author":[{"family":"Fortier","given":"Lisa A."},{"family":"Barker","given":"Joseph U."},{"family":"Strauss","given":"Eric J."},{"family":"McCarrel","given":"Taralyn M."},{"family":"Cole","given":"Brian J."}],"accessed":{"date-parts":[["2022",11,17]]},"issued":{"date-parts":[["2011",10]]}}}],"schema":"https://github.com/citation-style-language/schema/raw/master/csl-citation.json"} </w:instrText>
      </w:r>
      <w:r w:rsidR="00AB7BD7">
        <w:rPr>
          <w:rFonts w:ascii="Tahoma" w:hAnsi="Tahoma" w:cs="Tahoma"/>
        </w:rPr>
        <w:fldChar w:fldCharType="separate"/>
      </w:r>
      <w:r w:rsidR="00AB7BD7">
        <w:rPr>
          <w:rFonts w:ascii="Tahoma" w:hAnsi="Tahoma" w:cs="Tahoma"/>
          <w:noProof/>
        </w:rPr>
        <w:t>(Fortier et al.)</w:t>
      </w:r>
      <w:r w:rsidR="00AB7BD7">
        <w:rPr>
          <w:rFonts w:ascii="Tahoma" w:hAnsi="Tahoma" w:cs="Tahoma"/>
        </w:rPr>
        <w:fldChar w:fldCharType="end"/>
      </w:r>
      <w:r w:rsidR="00AB7BD7">
        <w:rPr>
          <w:rFonts w:ascii="Tahoma" w:hAnsi="Tahoma" w:cs="Tahoma"/>
        </w:rPr>
        <w:t>.</w:t>
      </w:r>
    </w:p>
    <w:p w14:paraId="30FEC549" w14:textId="7F45C93F" w:rsidR="00615C15" w:rsidRDefault="00EC20DE" w:rsidP="00615C15">
      <w:pPr>
        <w:pStyle w:val="NormalWeb"/>
        <w:ind w:left="1800"/>
        <w:rPr>
          <w:rFonts w:ascii="Tahoma" w:hAnsi="Tahoma" w:cs="Tahoma"/>
        </w:rPr>
      </w:pPr>
      <w:r>
        <w:rPr>
          <w:rFonts w:ascii="Tahoma" w:hAnsi="Tahoma" w:cs="Tahoma"/>
        </w:rPr>
        <w:t xml:space="preserve">In addition, </w:t>
      </w:r>
      <w:r w:rsidR="00A47625">
        <w:rPr>
          <w:rFonts w:ascii="Tahoma" w:hAnsi="Tahoma" w:cs="Tahoma"/>
        </w:rPr>
        <w:t xml:space="preserve">chemical, and mechanical cues like specific microgrooves patterns or other topological features of </w:t>
      </w:r>
      <w:r>
        <w:rPr>
          <w:rFonts w:ascii="Tahoma" w:hAnsi="Tahoma" w:cs="Tahoma"/>
        </w:rPr>
        <w:t>a 3D porous scaffold can i</w:t>
      </w:r>
      <w:r w:rsidR="00A47625">
        <w:rPr>
          <w:rFonts w:ascii="Tahoma" w:hAnsi="Tahoma" w:cs="Tahoma"/>
        </w:rPr>
        <w:t xml:space="preserve">nfluence </w:t>
      </w:r>
      <w:r w:rsidR="00937555">
        <w:rPr>
          <w:rFonts w:ascii="Tahoma" w:hAnsi="Tahoma" w:cs="Tahoma"/>
        </w:rPr>
        <w:t xml:space="preserve">the </w:t>
      </w:r>
      <w:r w:rsidR="00A47625">
        <w:rPr>
          <w:rFonts w:ascii="Tahoma" w:hAnsi="Tahoma" w:cs="Tahoma"/>
        </w:rPr>
        <w:t>aggregation of chondrocytes</w:t>
      </w:r>
      <w:r w:rsidR="007123F7">
        <w:rPr>
          <w:rFonts w:ascii="Tahoma" w:hAnsi="Tahoma" w:cs="Tahoma"/>
        </w:rPr>
        <w:t xml:space="preserve"> </w:t>
      </w:r>
      <w:r w:rsidR="00A47625">
        <w:rPr>
          <w:rFonts w:ascii="Tahoma" w:hAnsi="Tahoma" w:cs="Tahoma"/>
        </w:rPr>
        <w:t>increasing the</w:t>
      </w:r>
      <w:r w:rsidR="007123F7">
        <w:rPr>
          <w:rFonts w:ascii="Tahoma" w:hAnsi="Tahoma" w:cs="Tahoma"/>
        </w:rPr>
        <w:t xml:space="preserve"> success</w:t>
      </w:r>
      <w:r w:rsidR="00A47625">
        <w:rPr>
          <w:rFonts w:ascii="Tahoma" w:hAnsi="Tahoma" w:cs="Tahoma"/>
        </w:rPr>
        <w:t xml:space="preserve"> </w:t>
      </w:r>
      <w:r w:rsidR="007123F7">
        <w:rPr>
          <w:rFonts w:ascii="Tahoma" w:hAnsi="Tahoma" w:cs="Tahoma"/>
        </w:rPr>
        <w:t>of the cartilage repair</w:t>
      </w:r>
      <w:r w:rsidR="009E3898">
        <w:rPr>
          <w:rFonts w:ascii="Tahoma" w:hAnsi="Tahoma" w:cs="Tahoma"/>
        </w:rPr>
        <w:t xml:space="preserve"> </w:t>
      </w:r>
      <w:r w:rsidR="009E3898">
        <w:rPr>
          <w:rFonts w:ascii="Tahoma" w:hAnsi="Tahoma" w:cs="Tahoma"/>
        </w:rPr>
        <w:fldChar w:fldCharType="begin"/>
      </w:r>
      <w:r w:rsidR="009E3898">
        <w:rPr>
          <w:rFonts w:ascii="Tahoma" w:hAnsi="Tahoma" w:cs="Tahoma"/>
        </w:rPr>
        <w:instrText xml:space="preserve"> ADDIN ZOTERO_ITEM CSL_CITATION {"citationID":"zQB3dEnC","properties":{"formattedCitation":"(Nikkhah et al.)","plainCitation":"(Nikkhah et al.)","noteIndex":0},"citationItems":[{"id":4313,"uris":["http://zotero.org/users/7286058/items/F32H2X2T"],"itemData":{"id":4313,"type":"article-journal","abstract":"Cells in their in vivo microenvironment constantly encounter and respond to a multitude of signals. While the role of biochemical signals has long been appreciated, the importance of biophysical signals has only recently been investigated. Biophysical cues are presented in different forms including topography and mechanical stiffness imparted by the extracellular matrix and adjoining cells. Microfabrication technologies have allowed for the generation of biomaterials with microscale topographies to study the effect of biophysical cues on cellular function at the cellesubstrate interface. Topographies of different geometries and with varying microscale dimensions have been used to better understand cell adhesion, migration, and differentiation at the cellular and sub-cellular scales. Furthermore, quantiﬁcation of cellgenerated forces has been illustrated with micropillar topographies to shed light on the process of mechanotransduction. In this review, we highlight recent advances made in these areas and how they have been utilized for neural, cardiac, and musculoskeletal tissue engineering application.","container-title":"Biomaterials","DOI":"10.1016/j.biomaterials.2012.03.079","ISSN":"01429612","issue":"21","journalAbbreviation":"Biomaterials","language":"en","page":"5230-5246","source":"DOI.org (Crossref)","title":"Engineering microscale topographies to control the cell–substrate interface","URL":"https://linkinghub.elsevier.com/retrieve/pii/S0142961212003924","volume":"33","author":[{"family":"Nikkhah","given":"Mehdi"},{"family":"Edalat","given":"Faramarz"},{"family":"Manoucheri","given":"Sam"},{"family":"Khademhosseini","given":"Ali"}],"accessed":{"date-parts":[["2022",10,16]]},"issued":{"date-parts":[["2012",7]]}}}],"schema":"https://github.com/citation-style-language/schema/raw/master/csl-citation.json"} </w:instrText>
      </w:r>
      <w:r w:rsidR="009E3898">
        <w:rPr>
          <w:rFonts w:ascii="Tahoma" w:hAnsi="Tahoma" w:cs="Tahoma"/>
        </w:rPr>
        <w:fldChar w:fldCharType="separate"/>
      </w:r>
      <w:r w:rsidR="009E3898">
        <w:rPr>
          <w:rFonts w:ascii="Tahoma" w:hAnsi="Tahoma" w:cs="Tahoma"/>
          <w:noProof/>
        </w:rPr>
        <w:t>(Nikkhah et al.)</w:t>
      </w:r>
      <w:r w:rsidR="009E3898">
        <w:rPr>
          <w:rFonts w:ascii="Tahoma" w:hAnsi="Tahoma" w:cs="Tahoma"/>
        </w:rPr>
        <w:fldChar w:fldCharType="end"/>
      </w:r>
      <w:r w:rsidR="007123F7">
        <w:rPr>
          <w:rFonts w:ascii="Tahoma" w:hAnsi="Tahoma" w:cs="Tahoma"/>
        </w:rPr>
        <w:t xml:space="preserve">. </w:t>
      </w:r>
    </w:p>
    <w:p w14:paraId="3AA81B69" w14:textId="77777777" w:rsidR="008E2EF8" w:rsidRDefault="008E2EF8" w:rsidP="008E2EF8">
      <w:pPr>
        <w:pStyle w:val="NormalWeb"/>
        <w:numPr>
          <w:ilvl w:val="0"/>
          <w:numId w:val="9"/>
        </w:numPr>
        <w:rPr>
          <w:rFonts w:ascii="Tahoma" w:hAnsi="Tahoma" w:cs="Tahoma"/>
        </w:rPr>
      </w:pPr>
      <w:r>
        <w:rPr>
          <w:rFonts w:ascii="Tahoma" w:hAnsi="Tahoma" w:cs="Tahoma"/>
        </w:rPr>
        <w:t xml:space="preserve">The review article in your assigned reading this week was co-authored by our guest lecturer Dr. Yusuf Khan. It discusses the state-of-the-art in bone tissue engineering solutions as well as the future directions for this field. After watching lecture 2 and reading this article please provide a summary of bone tissue engineering approaches, tools, limitations and prospects. (350 words or less) </w:t>
      </w:r>
    </w:p>
    <w:p w14:paraId="27ADD04E" w14:textId="78A47655" w:rsidR="00615C15" w:rsidRDefault="008E2EF8" w:rsidP="00FD2956">
      <w:pPr>
        <w:pStyle w:val="NormalWeb"/>
        <w:ind w:left="720"/>
        <w:rPr>
          <w:rFonts w:ascii="Tahoma" w:hAnsi="Tahoma" w:cs="Tahoma"/>
        </w:rPr>
      </w:pPr>
      <w:r>
        <w:rPr>
          <w:rFonts w:ascii="Tahoma" w:hAnsi="Tahoma" w:cs="Tahoma"/>
        </w:rPr>
        <w:lastRenderedPageBreak/>
        <w:t xml:space="preserve">AT THE END OF THE SUMMARY provide a paragraph comparing and contrasting approaches in bone tissue engineering to approaches in engineered skin grafts (300 words or less). </w:t>
      </w:r>
    </w:p>
    <w:p w14:paraId="7ED24382" w14:textId="77777777" w:rsidR="00FD2956" w:rsidRPr="00FD2956" w:rsidRDefault="00FD2956" w:rsidP="00FD2956">
      <w:pPr>
        <w:rPr>
          <w:rFonts w:ascii="Tahoma" w:hAnsi="Tahoma" w:cs="Tahoma"/>
        </w:rPr>
      </w:pPr>
      <w:r w:rsidRPr="00FD2956">
        <w:rPr>
          <w:rFonts w:ascii="Tahoma" w:hAnsi="Tahoma" w:cs="Tahoma"/>
        </w:rPr>
        <w:t xml:space="preserve">Autograft bone harvested from the iliac crest is the standard in bone grafts, it satisfies all the criteria of successful grafts: </w:t>
      </w:r>
      <w:proofErr w:type="spellStart"/>
      <w:r w:rsidRPr="00FD2956">
        <w:rPr>
          <w:rFonts w:ascii="Tahoma" w:hAnsi="Tahoma" w:cs="Tahoma"/>
        </w:rPr>
        <w:t>osteoconductivity</w:t>
      </w:r>
      <w:proofErr w:type="spellEnd"/>
      <w:r w:rsidRPr="00FD2956">
        <w:rPr>
          <w:rFonts w:ascii="Tahoma" w:hAnsi="Tahoma" w:cs="Tahoma"/>
        </w:rPr>
        <w:t xml:space="preserve">, </w:t>
      </w:r>
      <w:proofErr w:type="spellStart"/>
      <w:r w:rsidRPr="00FD2956">
        <w:rPr>
          <w:rFonts w:ascii="Tahoma" w:hAnsi="Tahoma" w:cs="Tahoma"/>
        </w:rPr>
        <w:t>osteogenicity</w:t>
      </w:r>
      <w:proofErr w:type="spellEnd"/>
      <w:r w:rsidRPr="00FD2956">
        <w:rPr>
          <w:rFonts w:ascii="Tahoma" w:hAnsi="Tahoma" w:cs="Tahoma"/>
        </w:rPr>
        <w:t xml:space="preserve"> and </w:t>
      </w:r>
      <w:proofErr w:type="spellStart"/>
      <w:r w:rsidRPr="00FD2956">
        <w:rPr>
          <w:rFonts w:ascii="Tahoma" w:hAnsi="Tahoma" w:cs="Tahoma"/>
        </w:rPr>
        <w:t>osteoinductivity</w:t>
      </w:r>
      <w:proofErr w:type="spellEnd"/>
      <w:r w:rsidRPr="00FD2956">
        <w:rPr>
          <w:rFonts w:ascii="Tahoma" w:hAnsi="Tahoma" w:cs="Tahoma"/>
        </w:rPr>
        <w:t xml:space="preserve">. However, it has its own limitations such as a limited supply of donor bone, and it is associated with donor-site morbidity. The other alternative is to take tissues from donors or cadavers, which addresses these two issues. Since allografts require sterilization, much of the </w:t>
      </w:r>
      <w:proofErr w:type="spellStart"/>
      <w:r w:rsidRPr="00FD2956">
        <w:rPr>
          <w:rFonts w:ascii="Tahoma" w:hAnsi="Tahoma" w:cs="Tahoma"/>
        </w:rPr>
        <w:t>osteoinductivity</w:t>
      </w:r>
      <w:proofErr w:type="spellEnd"/>
      <w:r w:rsidRPr="00FD2956">
        <w:rPr>
          <w:rFonts w:ascii="Tahoma" w:hAnsi="Tahoma" w:cs="Tahoma"/>
        </w:rPr>
        <w:t xml:space="preserve"> and </w:t>
      </w:r>
      <w:proofErr w:type="spellStart"/>
      <w:r w:rsidRPr="00FD2956">
        <w:rPr>
          <w:rFonts w:ascii="Tahoma" w:hAnsi="Tahoma" w:cs="Tahoma"/>
        </w:rPr>
        <w:t>osteogenicity</w:t>
      </w:r>
      <w:proofErr w:type="spellEnd"/>
      <w:r w:rsidRPr="00FD2956">
        <w:rPr>
          <w:rFonts w:ascii="Tahoma" w:hAnsi="Tahoma" w:cs="Tahoma"/>
        </w:rPr>
        <w:t xml:space="preserve"> are removed. However, they have their own drawbacks:  reduced functional capacity, non-unions and poor-bone allograft incorporation.</w:t>
      </w:r>
    </w:p>
    <w:p w14:paraId="6374C6C7" w14:textId="77777777" w:rsidR="00FD2956" w:rsidRPr="00FD2956" w:rsidRDefault="00FD2956" w:rsidP="00FD2956">
      <w:pPr>
        <w:rPr>
          <w:rFonts w:ascii="Tahoma" w:hAnsi="Tahoma" w:cs="Tahoma"/>
        </w:rPr>
      </w:pPr>
      <w:r w:rsidRPr="00FD2956">
        <w:rPr>
          <w:rFonts w:ascii="Tahoma" w:hAnsi="Tahoma" w:cs="Tahoma"/>
        </w:rPr>
        <w:t xml:space="preserve">Currently existing commercial bone graft products can be classified into five major categories </w:t>
      </w:r>
    </w:p>
    <w:p w14:paraId="11FA9BC9" w14:textId="77777777" w:rsidR="00FD2956" w:rsidRPr="00FD2956" w:rsidRDefault="00FD2956" w:rsidP="00FD2956">
      <w:pPr>
        <w:rPr>
          <w:rFonts w:ascii="Tahoma" w:hAnsi="Tahoma" w:cs="Tahoma"/>
        </w:rPr>
      </w:pPr>
      <w:r w:rsidRPr="00FD2956">
        <w:rPr>
          <w:rFonts w:ascii="Tahoma" w:hAnsi="Tahoma" w:cs="Tahoma"/>
          <w:b/>
          <w:bCs/>
        </w:rPr>
        <w:t>Allograft-based</w:t>
      </w:r>
      <w:r w:rsidRPr="00FD2956">
        <w:rPr>
          <w:rFonts w:ascii="Tahoma" w:hAnsi="Tahoma" w:cs="Tahoma"/>
        </w:rPr>
        <w:t xml:space="preserve">: demineralized bone matrix (DBM) is prepared using a demineralizing agent leaving the bone matrix with desired </w:t>
      </w:r>
      <w:proofErr w:type="spellStart"/>
      <w:r w:rsidRPr="00FD2956">
        <w:rPr>
          <w:rFonts w:ascii="Tahoma" w:hAnsi="Tahoma" w:cs="Tahoma"/>
        </w:rPr>
        <w:t>osteoinductive</w:t>
      </w:r>
      <w:proofErr w:type="spellEnd"/>
      <w:r w:rsidRPr="00FD2956">
        <w:rPr>
          <w:rFonts w:ascii="Tahoma" w:hAnsi="Tahoma" w:cs="Tahoma"/>
        </w:rPr>
        <w:t xml:space="preserve"> growth factors. DBM could be combined with bone chips, glycerol or collagen in an osteoconductive and </w:t>
      </w:r>
      <w:proofErr w:type="spellStart"/>
      <w:r w:rsidRPr="00FD2956">
        <w:rPr>
          <w:rFonts w:ascii="Tahoma" w:hAnsi="Tahoma" w:cs="Tahoma"/>
        </w:rPr>
        <w:t>osteoinductive</w:t>
      </w:r>
      <w:proofErr w:type="spellEnd"/>
      <w:r w:rsidRPr="00FD2956">
        <w:rPr>
          <w:rFonts w:ascii="Tahoma" w:hAnsi="Tahoma" w:cs="Tahoma"/>
        </w:rPr>
        <w:t xml:space="preserve"> scaffold.</w:t>
      </w:r>
    </w:p>
    <w:p w14:paraId="5637192D" w14:textId="77777777" w:rsidR="00FD2956" w:rsidRPr="00FD2956" w:rsidRDefault="00FD2956" w:rsidP="00FD2956">
      <w:pPr>
        <w:rPr>
          <w:rFonts w:ascii="Tahoma" w:hAnsi="Tahoma" w:cs="Tahoma"/>
        </w:rPr>
      </w:pPr>
      <w:r w:rsidRPr="00FD2956">
        <w:rPr>
          <w:rFonts w:ascii="Tahoma" w:hAnsi="Tahoma" w:cs="Tahoma"/>
          <w:b/>
          <w:bCs/>
        </w:rPr>
        <w:t>Factor-based substitutes</w:t>
      </w:r>
      <w:r w:rsidRPr="00FD2956">
        <w:rPr>
          <w:rFonts w:ascii="Tahoma" w:hAnsi="Tahoma" w:cs="Tahoma"/>
        </w:rPr>
        <w:t>: growth factors residing in the ECM of the bone involved in bone regeneration; TGF-beta, IGF, PDGF, FG, VEGF and BMPs, are mixed with an autograft. In conjunction of growth factors, small molecules like statin; which increases not only bone density, but also expression of VEGF and BMP-2; or cAMP; which enhances the collagen matrix; can also be injected.</w:t>
      </w:r>
    </w:p>
    <w:p w14:paraId="1ACDC52B" w14:textId="77777777" w:rsidR="00FD2956" w:rsidRPr="00FD2956" w:rsidRDefault="00FD2956" w:rsidP="00FD2956">
      <w:pPr>
        <w:rPr>
          <w:rFonts w:ascii="Tahoma" w:hAnsi="Tahoma" w:cs="Tahoma"/>
        </w:rPr>
      </w:pPr>
      <w:r w:rsidRPr="00FD2956">
        <w:rPr>
          <w:rFonts w:ascii="Tahoma" w:hAnsi="Tahoma" w:cs="Tahoma"/>
          <w:b/>
          <w:bCs/>
        </w:rPr>
        <w:t>Cell-based substitutes</w:t>
      </w:r>
      <w:r w:rsidRPr="00FD2956">
        <w:rPr>
          <w:rFonts w:ascii="Tahoma" w:hAnsi="Tahoma" w:cs="Tahoma"/>
        </w:rPr>
        <w:t>: in vitro stem cells have been differentiated toward the osteoblast lineage. However, interaction between stem cells and scaffold is still actively investigated.</w:t>
      </w:r>
    </w:p>
    <w:p w14:paraId="6311B2B9" w14:textId="77777777" w:rsidR="00FD2956" w:rsidRPr="00FD2956" w:rsidRDefault="00FD2956" w:rsidP="00FD2956">
      <w:pPr>
        <w:rPr>
          <w:rFonts w:ascii="Tahoma" w:hAnsi="Tahoma" w:cs="Tahoma"/>
        </w:rPr>
      </w:pPr>
      <w:r w:rsidRPr="00FD2956">
        <w:rPr>
          <w:rFonts w:ascii="Tahoma" w:hAnsi="Tahoma" w:cs="Tahoma"/>
          <w:b/>
          <w:bCs/>
        </w:rPr>
        <w:t>Ceramic-based substitutes</w:t>
      </w:r>
      <w:r w:rsidRPr="00FD2956">
        <w:rPr>
          <w:rFonts w:ascii="Tahoma" w:hAnsi="Tahoma" w:cs="Tahoma"/>
        </w:rPr>
        <w:t>: the primary component of bone is calcium phosphate making it desirable to use for graft substitutes. Likewise bioactive glass, another ceramic, can be used as composite to form bone cement or due to its mineralizing capabilities, can be combined to form a porous cartilage-bone interface.</w:t>
      </w:r>
    </w:p>
    <w:p w14:paraId="39025493" w14:textId="77777777" w:rsidR="00FD2956" w:rsidRPr="00FD2956" w:rsidRDefault="00FD2956" w:rsidP="00FD2956">
      <w:pPr>
        <w:rPr>
          <w:rFonts w:ascii="Tahoma" w:hAnsi="Tahoma" w:cs="Tahoma"/>
        </w:rPr>
      </w:pPr>
      <w:r w:rsidRPr="00FD2956">
        <w:rPr>
          <w:rFonts w:ascii="Tahoma" w:hAnsi="Tahoma" w:cs="Tahoma"/>
          <w:b/>
          <w:bCs/>
        </w:rPr>
        <w:t>Natural/synthetic, degradable/nondegradable polymer-based substitutes</w:t>
      </w:r>
      <w:r w:rsidRPr="00FD2956">
        <w:rPr>
          <w:rFonts w:ascii="Tahoma" w:hAnsi="Tahoma" w:cs="Tahoma"/>
        </w:rPr>
        <w:t xml:space="preserve">: degradable synthetic polymers include polylactic acid and </w:t>
      </w:r>
      <w:proofErr w:type="gramStart"/>
      <w:r w:rsidRPr="00FD2956">
        <w:rPr>
          <w:rFonts w:ascii="Tahoma" w:hAnsi="Tahoma" w:cs="Tahoma"/>
        </w:rPr>
        <w:t>poly(</w:t>
      </w:r>
      <w:proofErr w:type="gramEnd"/>
      <w:r w:rsidRPr="00FD2956">
        <w:rPr>
          <w:rFonts w:ascii="Tahoma" w:hAnsi="Tahoma" w:cs="Tahoma"/>
        </w:rPr>
        <w:t>lactic-co-glycolic acid) (PLAGA).</w:t>
      </w:r>
    </w:p>
    <w:p w14:paraId="29735E6D" w14:textId="69C3C1BC" w:rsidR="00FD2956" w:rsidRPr="00FD2956" w:rsidRDefault="00FD2956" w:rsidP="00FD2956">
      <w:pPr>
        <w:rPr>
          <w:rFonts w:ascii="Tahoma" w:hAnsi="Tahoma" w:cs="Tahoma"/>
        </w:rPr>
      </w:pPr>
      <w:r w:rsidRPr="00FD2956">
        <w:rPr>
          <w:rFonts w:ascii="Tahoma" w:hAnsi="Tahoma" w:cs="Tahoma"/>
        </w:rPr>
        <w:t>By combining polymer (PLAGA) and ceramic (</w:t>
      </w:r>
      <w:proofErr w:type="spellStart"/>
      <w:r w:rsidRPr="00FD2956">
        <w:rPr>
          <w:rFonts w:ascii="Tahoma" w:hAnsi="Tahoma" w:cs="Tahoma"/>
        </w:rPr>
        <w:t>CaP</w:t>
      </w:r>
      <w:proofErr w:type="spellEnd"/>
      <w:r w:rsidRPr="00FD2956">
        <w:rPr>
          <w:rFonts w:ascii="Tahoma" w:hAnsi="Tahoma" w:cs="Tahoma"/>
        </w:rPr>
        <w:t xml:space="preserve">), investigators obtain a biodegradable, formable, osteoconductive, </w:t>
      </w:r>
      <w:proofErr w:type="spellStart"/>
      <w:r w:rsidRPr="00FD2956">
        <w:rPr>
          <w:rFonts w:ascii="Tahoma" w:hAnsi="Tahoma" w:cs="Tahoma"/>
        </w:rPr>
        <w:t>osteointegrative</w:t>
      </w:r>
      <w:proofErr w:type="spellEnd"/>
      <w:r w:rsidRPr="00FD2956">
        <w:rPr>
          <w:rFonts w:ascii="Tahoma" w:hAnsi="Tahoma" w:cs="Tahoma"/>
        </w:rPr>
        <w:t xml:space="preserve"> material. </w:t>
      </w:r>
      <w:proofErr w:type="spellStart"/>
      <w:r w:rsidRPr="00FD2956">
        <w:rPr>
          <w:rFonts w:ascii="Tahoma" w:hAnsi="Tahoma" w:cs="Tahoma"/>
        </w:rPr>
        <w:t>Polyphosphazenes</w:t>
      </w:r>
      <w:proofErr w:type="spellEnd"/>
      <w:r w:rsidRPr="00FD2956">
        <w:rPr>
          <w:rFonts w:ascii="Tahoma" w:hAnsi="Tahoma" w:cs="Tahoma"/>
        </w:rPr>
        <w:t xml:space="preserve"> (PPHOS), ha</w:t>
      </w:r>
      <w:r w:rsidR="00A41B5D">
        <w:rPr>
          <w:rFonts w:ascii="Tahoma" w:hAnsi="Tahoma" w:cs="Tahoma"/>
        </w:rPr>
        <w:t>ve</w:t>
      </w:r>
      <w:r w:rsidRPr="00FD2956">
        <w:rPr>
          <w:rFonts w:ascii="Tahoma" w:hAnsi="Tahoma" w:cs="Tahoma"/>
        </w:rPr>
        <w:t xml:space="preserve"> also great potential for graft substitute.</w:t>
      </w:r>
    </w:p>
    <w:p w14:paraId="49FA38F7" w14:textId="7ACF66B6" w:rsidR="00FD2956" w:rsidRDefault="00FD2956" w:rsidP="00FD2956">
      <w:r w:rsidRPr="00FD2956">
        <w:rPr>
          <w:rFonts w:ascii="Tahoma" w:hAnsi="Tahoma" w:cs="Tahoma"/>
        </w:rPr>
        <w:t xml:space="preserve">Recently a novel sintered polymeric microspheres scaffold with calcium phosphate synthesized within the </w:t>
      </w:r>
      <w:r w:rsidRPr="00A41B5D">
        <w:rPr>
          <w:rFonts w:ascii="Tahoma" w:hAnsi="Tahoma" w:cs="Tahoma"/>
        </w:rPr>
        <w:t>microsphere</w:t>
      </w:r>
      <w:r w:rsidR="00E357A2">
        <w:rPr>
          <w:rFonts w:ascii="Tahoma" w:hAnsi="Tahoma" w:cs="Tahoma"/>
        </w:rPr>
        <w:t xml:space="preserve"> </w:t>
      </w:r>
      <w:r w:rsidR="00E357A2">
        <w:rPr>
          <w:rFonts w:ascii="Tahoma" w:hAnsi="Tahoma" w:cs="Tahoma"/>
        </w:rPr>
        <w:fldChar w:fldCharType="begin"/>
      </w:r>
      <w:r w:rsidR="00E357A2">
        <w:rPr>
          <w:rFonts w:ascii="Tahoma" w:hAnsi="Tahoma" w:cs="Tahoma"/>
        </w:rPr>
        <w:instrText xml:space="preserve"> ADDIN ZOTERO_ITEM CSL_CITATION {"citationID":"I3pgFbjd","properties":{"formattedCitation":"(Laurencin et al.)","plainCitation":"(Laurencin et al.)","noteIndex":0},"citationItems":[{"id":5420,"uris":["http://zotero.org/users/7286058/items/SGXWZDMK"],"itemData":{"id":5420,"type":"article-journal","container-title":"Expert Review of Medical Devices","DOI":"10.1586/17434440.3.1.49","ISSN":"1743-4440, 1745-2422","issue":"1","journalAbbreviation":"Expert Review of Medical Devices","language":"en","page":"49-57","source":"DOI.org (Crossref)","title":"Bone graft substitutes","URL":"http://www.tandfonline.com/doi/full/10.1586/17434440.3.1.49","volume":"3","author":[{"family":"Laurencin","given":"Cato"},{"family":"Khan","given":"Yusuf"},{"family":"El-Amin","given":"Saadiq F"}],"accessed":{"date-parts":[["2022",11,15]]},"issued":{"date-parts":[["2006",1]]}}}],"schema":"https://github.com/citation-style-language/schema/raw/master/csl-citation.json"} </w:instrText>
      </w:r>
      <w:r w:rsidR="00E357A2">
        <w:rPr>
          <w:rFonts w:ascii="Tahoma" w:hAnsi="Tahoma" w:cs="Tahoma"/>
        </w:rPr>
        <w:fldChar w:fldCharType="separate"/>
      </w:r>
      <w:r w:rsidR="00E357A2">
        <w:rPr>
          <w:rFonts w:ascii="Tahoma" w:hAnsi="Tahoma" w:cs="Tahoma"/>
          <w:noProof/>
        </w:rPr>
        <w:t>(Laurencin et al.)</w:t>
      </w:r>
      <w:r w:rsidR="00E357A2">
        <w:rPr>
          <w:rFonts w:ascii="Tahoma" w:hAnsi="Tahoma" w:cs="Tahoma"/>
        </w:rPr>
        <w:fldChar w:fldCharType="end"/>
      </w:r>
      <w:r w:rsidRPr="00A41B5D">
        <w:rPr>
          <w:rFonts w:ascii="Tahoma" w:hAnsi="Tahoma" w:cs="Tahoma"/>
        </w:rPr>
        <w:t>, has provided</w:t>
      </w:r>
      <w:r w:rsidRPr="00FD2956">
        <w:rPr>
          <w:rFonts w:ascii="Tahoma" w:hAnsi="Tahoma" w:cs="Tahoma"/>
        </w:rPr>
        <w:t xml:space="preserve"> a surface for osteoblast attachment, proliferation, differentiation and migration. The addition of a nanofiber has increased production of osteoblast proteins, and pre-seeded osteoblasts within the scaffold contributed to overall bone repair.</w:t>
      </w:r>
      <w:r>
        <w:t xml:space="preserve"> </w:t>
      </w:r>
    </w:p>
    <w:p w14:paraId="115BE96C" w14:textId="77777777" w:rsidR="00E357A2" w:rsidRDefault="00E357A2" w:rsidP="00FD2956">
      <w:pPr>
        <w:rPr>
          <w:rFonts w:ascii="Tahoma" w:hAnsi="Tahoma" w:cs="Tahoma"/>
        </w:rPr>
      </w:pPr>
    </w:p>
    <w:p w14:paraId="443AB0F4" w14:textId="5AA106D1" w:rsidR="00FD2956" w:rsidRDefault="00FD2956" w:rsidP="00FD2956">
      <w:pPr>
        <w:rPr>
          <w:rFonts w:ascii="Tahoma" w:hAnsi="Tahoma" w:cs="Tahoma"/>
        </w:rPr>
      </w:pPr>
      <w:r w:rsidRPr="007A7E61">
        <w:rPr>
          <w:rFonts w:ascii="Tahoma" w:hAnsi="Tahoma" w:cs="Tahoma"/>
        </w:rPr>
        <w:t xml:space="preserve">Similar to bone graft, treatment of skin wounds includes the use of autografts, allografts (usually taken from cadavers), or xenografts. Autografts like in bone graft is </w:t>
      </w:r>
      <w:r w:rsidRPr="007A7E61">
        <w:rPr>
          <w:rFonts w:ascii="Tahoma" w:hAnsi="Tahoma" w:cs="Tahoma"/>
        </w:rPr>
        <w:lastRenderedPageBreak/>
        <w:t xml:space="preserve">the gold standard due to its low risk of rejection. </w:t>
      </w:r>
      <w:r>
        <w:rPr>
          <w:rFonts w:ascii="Tahoma" w:hAnsi="Tahoma" w:cs="Tahoma"/>
        </w:rPr>
        <w:t xml:space="preserve">Dermal skin substitutes are often made of biomaterials without any incorporated cell (acellular grafts), these scaffolds act primarily as a conduct for fibroblasts and endothelial cell migration. Cellular skin substitutes are produced using fibroblasts (dermal grafts), keratinocytes (epidermal grafts), or both (dermo-epidermal grafts). Like bone grafts, skin scaffolds are made of either natural polymers: collagen, gelatin, chitosan, fibrin, </w:t>
      </w:r>
      <w:r w:rsidRPr="003E28D7">
        <w:rPr>
          <w:rFonts w:ascii="Tahoma" w:hAnsi="Tahoma" w:cs="Tahoma"/>
        </w:rPr>
        <w:t>glycosaminoglycans–GAGs</w:t>
      </w:r>
      <w:r>
        <w:rPr>
          <w:rFonts w:ascii="Tahoma" w:hAnsi="Tahoma" w:cs="Tahoma"/>
        </w:rPr>
        <w:t xml:space="preserve">, and HA; or synthetic polymers: PEG, PLGA, PLACL. Like bone composites, synthetic polymers can be combined with natural polymers to produce bio-functional composite materials with desired mechanical properties and high biocompatibility. Chronic wounds are characterized by the presence of persistent infections. Artificial skin grafts have been made of polymer matrix reinforced with antimicrobial nanoparticle. Adjustments to the scaffold pore size, shape and interconnectivity are made to mediate their angiogenic tissue response, and to influence cell differentiation and propagation. Vascularization is critical in skin graft </w:t>
      </w:r>
      <w:r w:rsidR="00D460C1">
        <w:rPr>
          <w:rFonts w:ascii="Tahoma" w:hAnsi="Tahoma" w:cs="Tahoma"/>
        </w:rPr>
        <w:t>(</w:t>
      </w:r>
      <w:r>
        <w:rPr>
          <w:rFonts w:ascii="Tahoma" w:hAnsi="Tahoma" w:cs="Tahoma"/>
        </w:rPr>
        <w:t xml:space="preserve">and bone repair </w:t>
      </w:r>
      <w:r w:rsidR="00817680">
        <w:rPr>
          <w:rFonts w:ascii="Tahoma" w:hAnsi="Tahoma" w:cs="Tahoma"/>
        </w:rPr>
        <w:fldChar w:fldCharType="begin"/>
      </w:r>
      <w:r w:rsidR="00A41B5D">
        <w:rPr>
          <w:rFonts w:ascii="Tahoma" w:hAnsi="Tahoma" w:cs="Tahoma"/>
        </w:rPr>
        <w:instrText xml:space="preserve"> ADDIN ZOTERO_ITEM CSL_CITATION {"citationID":"satRyuko","properties":{"formattedCitation":"(Mercado-Pag\\uc0\\u225{}n et al.)","plainCitation":"(Mercado-Pagán et al.)","noteIndex":0},"citationItems":[{"id":5528,"uris":["http://zotero.org/users/7286058/items/TYNMRNJW"],"itemData":{"id":5528,"type":"article-journal","abstract":"Vascularization of large bone grafts is one of the main challenges of bone tissue engineering (BTE), and has held back the clinical translation of engineered bone constructs for two decades so far. The ultimate goal of vascularized BTE constructs is to provide a bone environment rich in functional vascular networks to achieve efficient osseointegration and accelerate restoration of function after implantation. To attain both structural and vascular integration of the grafts, a large number of biomaterials, cells, and biological cues have been evaluated. This review will present biological considerations for bone function restoration, contemporary approaches for clinical salvage of large bone defects and their limitations, state-of-the-art research on the development of vascularized bone constructs, and perspectives on evaluating and implementing novel BTE grafts in clinical practice. Success will depend on achieving full graft integration at multiple hierarchical levels, both between the individual graft components as well as between the implanted constructs and their surrounding host tissues. The paradigm of vascularized tissue constructs could not only revolutionize the progress of bone tissue engineering, but could also be readily applied to other fields in regenerative medicine for the development of new innovative vascularized tissue designs.","container-title":"Annals of biomedical engineering","DOI":"10.1007/s10439-015-1253-3","ISSN":"0090-6964","issue":"3","journalAbbreviation":"Ann Biomed Eng","note":"PMID: 25616591\nPMCID: PMC4979539","page":"718-729","source":"PubMed Central","title":"Vascularization in bone tissue engineering constructs","URL":"https://www.ncbi.nlm.nih.gov/pmc/articles/PMC4979539/","volume":"43","author":[{"family":"Mercado-Pagán","given":"Ángel E."},{"family":"Stahl","given":"Alexander M."},{"family":"Shanjani","given":"Yaser"},{"family":"Yang","given":"Yunzhi"}],"accessed":{"date-parts":[["2022",11,18]]},"issued":{"date-parts":[["2015",3]]}}}],"schema":"https://github.com/citation-style-language/schema/raw/master/csl-citation.json"} </w:instrText>
      </w:r>
      <w:r w:rsidR="00817680">
        <w:rPr>
          <w:rFonts w:ascii="Tahoma" w:hAnsi="Tahoma" w:cs="Tahoma"/>
        </w:rPr>
        <w:fldChar w:fldCharType="separate"/>
      </w:r>
      <w:r w:rsidR="00A41B5D" w:rsidRPr="00A41B5D">
        <w:rPr>
          <w:rFonts w:ascii="Tahoma" w:hAnsi="Tahoma" w:cs="Tahoma"/>
        </w:rPr>
        <w:t>(Mercado-</w:t>
      </w:r>
      <w:proofErr w:type="spellStart"/>
      <w:r w:rsidR="00A41B5D" w:rsidRPr="00A41B5D">
        <w:rPr>
          <w:rFonts w:ascii="Tahoma" w:hAnsi="Tahoma" w:cs="Tahoma"/>
        </w:rPr>
        <w:t>Pagán</w:t>
      </w:r>
      <w:proofErr w:type="spellEnd"/>
      <w:r w:rsidR="00A41B5D" w:rsidRPr="00A41B5D">
        <w:rPr>
          <w:rFonts w:ascii="Tahoma" w:hAnsi="Tahoma" w:cs="Tahoma"/>
        </w:rPr>
        <w:t xml:space="preserve"> et al.)</w:t>
      </w:r>
      <w:r w:rsidR="00817680">
        <w:rPr>
          <w:rFonts w:ascii="Tahoma" w:hAnsi="Tahoma" w:cs="Tahoma"/>
        </w:rPr>
        <w:fldChar w:fldCharType="end"/>
      </w:r>
      <w:r w:rsidR="00D460C1">
        <w:rPr>
          <w:rFonts w:ascii="Tahoma" w:hAnsi="Tahoma" w:cs="Tahoma"/>
        </w:rPr>
        <w:t>)</w:t>
      </w:r>
      <w:r>
        <w:rPr>
          <w:rFonts w:ascii="Tahoma" w:hAnsi="Tahoma" w:cs="Tahoma"/>
        </w:rPr>
        <w:t xml:space="preserve"> to supply oxygen, promote healing, prevent infection, and sloughing of the implant and sepsis . Angiogenic growth factors could be incorporated to improve angiogenesis such as PDGF, VEGF or fibroblast growth factor (</w:t>
      </w:r>
      <w:proofErr w:type="spellStart"/>
      <w:r>
        <w:rPr>
          <w:rFonts w:ascii="Tahoma" w:hAnsi="Tahoma" w:cs="Tahoma"/>
        </w:rPr>
        <w:t>bFGF</w:t>
      </w:r>
      <w:proofErr w:type="spellEnd"/>
      <w:r>
        <w:rPr>
          <w:rFonts w:ascii="Tahoma" w:hAnsi="Tahoma" w:cs="Tahoma"/>
        </w:rPr>
        <w:t>). HUVECS combined with fibroblasts, keratinocytes in a collagen matrix, in-vitro developed into a vascular network (similar result was obtained with HUVECS + collagen I + fibronectin + Bcl-2). Using the same design in bone tissue engineering, a PLGA and alginate-based microsphere scaffold significantly improved angiogenic response when loaded with GFs</w:t>
      </w:r>
      <w:r w:rsidR="00A67CAF">
        <w:rPr>
          <w:rFonts w:ascii="Tahoma" w:hAnsi="Tahoma" w:cs="Tahoma"/>
        </w:rPr>
        <w:t xml:space="preserve"> </w:t>
      </w:r>
      <w:r w:rsidR="00A67CAF" w:rsidRPr="00A41B5D">
        <w:rPr>
          <w:rFonts w:ascii="Tahoma" w:hAnsi="Tahoma" w:cs="Tahoma"/>
        </w:rPr>
        <w:t>(</w:t>
      </w:r>
      <w:r w:rsidR="00A67CAF" w:rsidRPr="00A41B5D">
        <w:rPr>
          <w:rFonts w:ascii="Tahoma" w:hAnsi="Tahoma" w:cs="Tahoma"/>
          <w:color w:val="212121"/>
          <w:shd w:val="clear" w:color="auto" w:fill="FFFFFF"/>
        </w:rPr>
        <w:t>Black, A F et al)</w:t>
      </w:r>
      <w:r>
        <w:rPr>
          <w:rFonts w:ascii="Tahoma" w:hAnsi="Tahoma" w:cs="Tahoma"/>
        </w:rPr>
        <w:t>. In the long term, 3D bio-printing which allows for patient-customized and on-demand of skin substitutes with either incorporated autologous or allogeneic stem cells, could play an important role in skin tissue engineering.</w:t>
      </w:r>
    </w:p>
    <w:p w14:paraId="6C9BEA44" w14:textId="34773262" w:rsidR="00A41B5D" w:rsidRDefault="00A41B5D" w:rsidP="00FD2956">
      <w:pPr>
        <w:rPr>
          <w:rFonts w:ascii="Tahoma" w:hAnsi="Tahoma" w:cs="Tahoma"/>
        </w:rPr>
      </w:pPr>
    </w:p>
    <w:p w14:paraId="2C24C0EF" w14:textId="0CD0551A" w:rsidR="00817680" w:rsidRDefault="00A41B5D" w:rsidP="00FD2956">
      <w:pPr>
        <w:rPr>
          <w:rFonts w:ascii="Tahoma" w:hAnsi="Tahoma" w:cs="Tahoma"/>
        </w:rPr>
      </w:pPr>
      <w:r w:rsidRPr="00A41B5D">
        <w:rPr>
          <w:rFonts w:ascii="Tahoma" w:hAnsi="Tahoma" w:cs="Tahoma"/>
          <w:b/>
          <w:bCs/>
          <w:u w:val="single"/>
        </w:rPr>
        <w:t>Reference</w:t>
      </w:r>
      <w:r w:rsidRPr="00A41B5D">
        <w:rPr>
          <w:rFonts w:ascii="Tahoma" w:hAnsi="Tahoma" w:cs="Tahoma"/>
        </w:rPr>
        <w:t>:</w:t>
      </w:r>
    </w:p>
    <w:p w14:paraId="15508612" w14:textId="39089509" w:rsidR="00E357A2" w:rsidRDefault="00817680" w:rsidP="00E357A2">
      <w:pPr>
        <w:pStyle w:val="Bibliography"/>
        <w:numPr>
          <w:ilvl w:val="0"/>
          <w:numId w:val="11"/>
        </w:numPr>
        <w:spacing w:line="240" w:lineRule="auto"/>
        <w:ind w:left="360"/>
        <w:rPr>
          <w:rFonts w:ascii="Tahoma" w:hAnsi="Tahoma" w:cs="Tahoma"/>
        </w:rPr>
      </w:pPr>
      <w:r w:rsidRPr="00A41B5D">
        <w:rPr>
          <w:rFonts w:ascii="Tahoma" w:hAnsi="Tahoma" w:cs="Tahoma"/>
        </w:rPr>
        <w:fldChar w:fldCharType="begin"/>
      </w:r>
      <w:r w:rsidRPr="00A41B5D">
        <w:rPr>
          <w:rFonts w:ascii="Tahoma" w:hAnsi="Tahoma" w:cs="Tahoma"/>
        </w:rPr>
        <w:instrText xml:space="preserve"> ADDIN ZOTERO_BIBL {"uncited":[],"omitted":[],"custom":[]} CSL_BIBLIOGRAPHY </w:instrText>
      </w:r>
      <w:r w:rsidRPr="00A41B5D">
        <w:rPr>
          <w:rFonts w:ascii="Tahoma" w:hAnsi="Tahoma" w:cs="Tahoma"/>
        </w:rPr>
        <w:fldChar w:fldCharType="separate"/>
      </w:r>
      <w:proofErr w:type="spellStart"/>
      <w:r w:rsidR="00E357A2" w:rsidRPr="00E357A2">
        <w:rPr>
          <w:rFonts w:ascii="Tahoma" w:hAnsi="Tahoma" w:cs="Tahoma"/>
        </w:rPr>
        <w:t>Armiento</w:t>
      </w:r>
      <w:proofErr w:type="spellEnd"/>
      <w:r w:rsidR="00E357A2" w:rsidRPr="00E357A2">
        <w:rPr>
          <w:rFonts w:ascii="Tahoma" w:hAnsi="Tahoma" w:cs="Tahoma"/>
        </w:rPr>
        <w:t xml:space="preserve">, Angela R., et al. “Articular Fibrocartilage - Why Does Hyaline Cartilage Fail to Repair?” </w:t>
      </w:r>
      <w:r w:rsidR="00E357A2" w:rsidRPr="00E357A2">
        <w:rPr>
          <w:rFonts w:ascii="Tahoma" w:hAnsi="Tahoma" w:cs="Tahoma"/>
          <w:i/>
          <w:iCs/>
        </w:rPr>
        <w:t>Advanced Drug Delivery Reviews</w:t>
      </w:r>
      <w:r w:rsidR="00E357A2" w:rsidRPr="00E357A2">
        <w:rPr>
          <w:rFonts w:ascii="Tahoma" w:hAnsi="Tahoma" w:cs="Tahoma"/>
        </w:rPr>
        <w:t xml:space="preserve">, vol. 146, June 2019, pp. 289–305. </w:t>
      </w:r>
      <w:r w:rsidR="00E357A2" w:rsidRPr="00E357A2">
        <w:rPr>
          <w:rFonts w:ascii="Tahoma" w:hAnsi="Tahoma" w:cs="Tahoma"/>
          <w:i/>
          <w:iCs/>
        </w:rPr>
        <w:t>DOI.org (</w:t>
      </w:r>
      <w:proofErr w:type="spellStart"/>
      <w:r w:rsidR="00E357A2" w:rsidRPr="00E357A2">
        <w:rPr>
          <w:rFonts w:ascii="Tahoma" w:hAnsi="Tahoma" w:cs="Tahoma"/>
          <w:i/>
          <w:iCs/>
        </w:rPr>
        <w:t>Crossref</w:t>
      </w:r>
      <w:proofErr w:type="spellEnd"/>
      <w:r w:rsidR="00E357A2" w:rsidRPr="00E357A2">
        <w:rPr>
          <w:rFonts w:ascii="Tahoma" w:hAnsi="Tahoma" w:cs="Tahoma"/>
          <w:i/>
          <w:iCs/>
        </w:rPr>
        <w:t>)</w:t>
      </w:r>
      <w:r w:rsidR="00E357A2" w:rsidRPr="00E357A2">
        <w:rPr>
          <w:rFonts w:ascii="Tahoma" w:hAnsi="Tahoma" w:cs="Tahoma"/>
        </w:rPr>
        <w:t>, https://doi.org/10.1016/j.addr.2018.12.015.</w:t>
      </w:r>
    </w:p>
    <w:p w14:paraId="194A54DC" w14:textId="559A7902" w:rsidR="00E357A2" w:rsidRPr="00E357A2" w:rsidRDefault="00E357A2" w:rsidP="00E357A2">
      <w:pPr>
        <w:pStyle w:val="ListParagraph"/>
        <w:numPr>
          <w:ilvl w:val="0"/>
          <w:numId w:val="11"/>
        </w:numPr>
        <w:ind w:left="360"/>
        <w:rPr>
          <w:rFonts w:ascii="Tahoma" w:hAnsi="Tahoma" w:cs="Tahoma"/>
        </w:rPr>
      </w:pPr>
      <w:r w:rsidRPr="00A41B5D">
        <w:rPr>
          <w:rFonts w:ascii="Tahoma" w:hAnsi="Tahoma" w:cs="Tahoma"/>
          <w:color w:val="212121"/>
          <w:shd w:val="clear" w:color="auto" w:fill="FFFFFF"/>
        </w:rPr>
        <w:t>Black, A F et al. “In vitro reconstruction of a human capillary-like network in a tissue-engineered skin equivalent.” </w:t>
      </w:r>
      <w:r w:rsidRPr="00A41B5D">
        <w:rPr>
          <w:rFonts w:ascii="Tahoma" w:hAnsi="Tahoma" w:cs="Tahoma"/>
          <w:i/>
          <w:iCs/>
          <w:color w:val="212121"/>
          <w:shd w:val="clear" w:color="auto" w:fill="FFFFFF"/>
        </w:rPr>
        <w:t xml:space="preserve">FASEB </w:t>
      </w:r>
      <w:proofErr w:type="gramStart"/>
      <w:r w:rsidRPr="00A41B5D">
        <w:rPr>
          <w:rFonts w:ascii="Tahoma" w:hAnsi="Tahoma" w:cs="Tahoma"/>
          <w:i/>
          <w:iCs/>
          <w:color w:val="212121"/>
          <w:shd w:val="clear" w:color="auto" w:fill="FFFFFF"/>
        </w:rPr>
        <w:t>journal :</w:t>
      </w:r>
      <w:proofErr w:type="gramEnd"/>
      <w:r w:rsidRPr="00A41B5D">
        <w:rPr>
          <w:rFonts w:ascii="Tahoma" w:hAnsi="Tahoma" w:cs="Tahoma"/>
          <w:i/>
          <w:iCs/>
          <w:color w:val="212121"/>
          <w:shd w:val="clear" w:color="auto" w:fill="FFFFFF"/>
        </w:rPr>
        <w:t xml:space="preserve"> official publication of the Federation of American Societies for Experimental Biology</w:t>
      </w:r>
      <w:r w:rsidRPr="00A41B5D">
        <w:rPr>
          <w:rFonts w:ascii="Tahoma" w:hAnsi="Tahoma" w:cs="Tahoma"/>
          <w:color w:val="212121"/>
          <w:shd w:val="clear" w:color="auto" w:fill="FFFFFF"/>
        </w:rPr>
        <w:t> vol. 12,13 (1998): 1331-40. doi:10.1096/fasebj.12.13.1331</w:t>
      </w:r>
    </w:p>
    <w:p w14:paraId="4D341DE8" w14:textId="77777777" w:rsidR="00E357A2" w:rsidRPr="00E357A2" w:rsidRDefault="00E357A2" w:rsidP="00E357A2">
      <w:pPr>
        <w:pStyle w:val="Bibliography"/>
        <w:numPr>
          <w:ilvl w:val="0"/>
          <w:numId w:val="11"/>
        </w:numPr>
        <w:spacing w:line="240" w:lineRule="auto"/>
        <w:ind w:left="360"/>
        <w:rPr>
          <w:rFonts w:ascii="Tahoma" w:hAnsi="Tahoma" w:cs="Tahoma"/>
        </w:rPr>
      </w:pPr>
      <w:r w:rsidRPr="00E357A2">
        <w:rPr>
          <w:rFonts w:ascii="Tahoma" w:hAnsi="Tahoma" w:cs="Tahoma"/>
        </w:rPr>
        <w:t xml:space="preserve">Fortier, Lisa A., et al. “The Role of Growth Factors in Cartilage Repair.” </w:t>
      </w:r>
      <w:r w:rsidRPr="00E357A2">
        <w:rPr>
          <w:rFonts w:ascii="Tahoma" w:hAnsi="Tahoma" w:cs="Tahoma"/>
          <w:i/>
          <w:iCs/>
        </w:rPr>
        <w:t xml:space="preserve">Clinical </w:t>
      </w:r>
      <w:proofErr w:type="spellStart"/>
      <w:r w:rsidRPr="00E357A2">
        <w:rPr>
          <w:rFonts w:ascii="Tahoma" w:hAnsi="Tahoma" w:cs="Tahoma"/>
          <w:i/>
          <w:iCs/>
        </w:rPr>
        <w:t>Orthopaedics</w:t>
      </w:r>
      <w:proofErr w:type="spellEnd"/>
      <w:r w:rsidRPr="00E357A2">
        <w:rPr>
          <w:rFonts w:ascii="Tahoma" w:hAnsi="Tahoma" w:cs="Tahoma"/>
          <w:i/>
          <w:iCs/>
        </w:rPr>
        <w:t xml:space="preserve"> and Related Research</w:t>
      </w:r>
      <w:r w:rsidRPr="00E357A2">
        <w:rPr>
          <w:rFonts w:ascii="Tahoma" w:hAnsi="Tahoma" w:cs="Tahoma"/>
        </w:rPr>
        <w:t xml:space="preserve">, vol. 469, no. 10, Oct. 2011, pp. 2706–15. </w:t>
      </w:r>
      <w:r w:rsidRPr="00E357A2">
        <w:rPr>
          <w:rFonts w:ascii="Tahoma" w:hAnsi="Tahoma" w:cs="Tahoma"/>
          <w:i/>
          <w:iCs/>
        </w:rPr>
        <w:t>PubMed Central</w:t>
      </w:r>
      <w:r w:rsidRPr="00E357A2">
        <w:rPr>
          <w:rFonts w:ascii="Tahoma" w:hAnsi="Tahoma" w:cs="Tahoma"/>
        </w:rPr>
        <w:t>, https://doi.org/10.1007/s11999-011-1857-3.</w:t>
      </w:r>
    </w:p>
    <w:p w14:paraId="636C1E0D" w14:textId="77777777" w:rsidR="00E357A2" w:rsidRPr="00E357A2" w:rsidRDefault="00E357A2" w:rsidP="00E357A2">
      <w:pPr>
        <w:pStyle w:val="Bibliography"/>
        <w:numPr>
          <w:ilvl w:val="0"/>
          <w:numId w:val="11"/>
        </w:numPr>
        <w:spacing w:line="240" w:lineRule="auto"/>
        <w:ind w:left="360"/>
        <w:rPr>
          <w:rFonts w:ascii="Tahoma" w:hAnsi="Tahoma" w:cs="Tahoma"/>
        </w:rPr>
      </w:pPr>
      <w:r w:rsidRPr="00E357A2">
        <w:rPr>
          <w:rFonts w:ascii="Tahoma" w:hAnsi="Tahoma" w:cs="Tahoma"/>
        </w:rPr>
        <w:t xml:space="preserve">Laurencin, Cato, et al. “Bone Graft Substitutes.” </w:t>
      </w:r>
      <w:r w:rsidRPr="00E357A2">
        <w:rPr>
          <w:rFonts w:ascii="Tahoma" w:hAnsi="Tahoma" w:cs="Tahoma"/>
          <w:i/>
          <w:iCs/>
        </w:rPr>
        <w:t>Expert Review of Medical Devices</w:t>
      </w:r>
      <w:r w:rsidRPr="00E357A2">
        <w:rPr>
          <w:rFonts w:ascii="Tahoma" w:hAnsi="Tahoma" w:cs="Tahoma"/>
        </w:rPr>
        <w:t xml:space="preserve">, vol. 3, no. 1, Jan. 2006, pp. 49–57. </w:t>
      </w:r>
      <w:r w:rsidRPr="00E357A2">
        <w:rPr>
          <w:rFonts w:ascii="Tahoma" w:hAnsi="Tahoma" w:cs="Tahoma"/>
          <w:i/>
          <w:iCs/>
        </w:rPr>
        <w:t>DOI.org (</w:t>
      </w:r>
      <w:proofErr w:type="spellStart"/>
      <w:r w:rsidRPr="00E357A2">
        <w:rPr>
          <w:rFonts w:ascii="Tahoma" w:hAnsi="Tahoma" w:cs="Tahoma"/>
          <w:i/>
          <w:iCs/>
        </w:rPr>
        <w:t>Crossref</w:t>
      </w:r>
      <w:proofErr w:type="spellEnd"/>
      <w:r w:rsidRPr="00E357A2">
        <w:rPr>
          <w:rFonts w:ascii="Tahoma" w:hAnsi="Tahoma" w:cs="Tahoma"/>
          <w:i/>
          <w:iCs/>
        </w:rPr>
        <w:t>)</w:t>
      </w:r>
      <w:r w:rsidRPr="00E357A2">
        <w:rPr>
          <w:rFonts w:ascii="Tahoma" w:hAnsi="Tahoma" w:cs="Tahoma"/>
        </w:rPr>
        <w:t>, https://doi.org/10.1586/17434440.3.1.49.</w:t>
      </w:r>
    </w:p>
    <w:p w14:paraId="45C9D195" w14:textId="77777777" w:rsidR="00E357A2" w:rsidRPr="00E357A2" w:rsidRDefault="00E357A2" w:rsidP="00E357A2">
      <w:pPr>
        <w:pStyle w:val="Bibliography"/>
        <w:numPr>
          <w:ilvl w:val="0"/>
          <w:numId w:val="11"/>
        </w:numPr>
        <w:spacing w:line="240" w:lineRule="auto"/>
        <w:ind w:left="360"/>
        <w:rPr>
          <w:rFonts w:ascii="Tahoma" w:hAnsi="Tahoma" w:cs="Tahoma"/>
        </w:rPr>
      </w:pPr>
      <w:r w:rsidRPr="00E357A2">
        <w:rPr>
          <w:rFonts w:ascii="Tahoma" w:hAnsi="Tahoma" w:cs="Tahoma"/>
        </w:rPr>
        <w:t>Mercado-</w:t>
      </w:r>
      <w:proofErr w:type="spellStart"/>
      <w:r w:rsidRPr="00E357A2">
        <w:rPr>
          <w:rFonts w:ascii="Tahoma" w:hAnsi="Tahoma" w:cs="Tahoma"/>
        </w:rPr>
        <w:t>Pagán</w:t>
      </w:r>
      <w:proofErr w:type="spellEnd"/>
      <w:r w:rsidRPr="00E357A2">
        <w:rPr>
          <w:rFonts w:ascii="Tahoma" w:hAnsi="Tahoma" w:cs="Tahoma"/>
        </w:rPr>
        <w:t xml:space="preserve">, </w:t>
      </w:r>
      <w:proofErr w:type="spellStart"/>
      <w:r w:rsidRPr="00E357A2">
        <w:rPr>
          <w:rFonts w:ascii="Tahoma" w:hAnsi="Tahoma" w:cs="Tahoma"/>
        </w:rPr>
        <w:t>Ángel</w:t>
      </w:r>
      <w:proofErr w:type="spellEnd"/>
      <w:r w:rsidRPr="00E357A2">
        <w:rPr>
          <w:rFonts w:ascii="Tahoma" w:hAnsi="Tahoma" w:cs="Tahoma"/>
        </w:rPr>
        <w:t xml:space="preserve"> E., et al. “Vascularization in Bone Tissue Engineering Constructs.” </w:t>
      </w:r>
      <w:r w:rsidRPr="00E357A2">
        <w:rPr>
          <w:rFonts w:ascii="Tahoma" w:hAnsi="Tahoma" w:cs="Tahoma"/>
          <w:i/>
          <w:iCs/>
        </w:rPr>
        <w:t>Annals of Biomedical Engineering</w:t>
      </w:r>
      <w:r w:rsidRPr="00E357A2">
        <w:rPr>
          <w:rFonts w:ascii="Tahoma" w:hAnsi="Tahoma" w:cs="Tahoma"/>
        </w:rPr>
        <w:t xml:space="preserve">, vol. 43, no. 3, Mar. 2015, pp. 718–29. </w:t>
      </w:r>
      <w:r w:rsidRPr="00E357A2">
        <w:rPr>
          <w:rFonts w:ascii="Tahoma" w:hAnsi="Tahoma" w:cs="Tahoma"/>
          <w:i/>
          <w:iCs/>
        </w:rPr>
        <w:t>PubMed Central</w:t>
      </w:r>
      <w:r w:rsidRPr="00E357A2">
        <w:rPr>
          <w:rFonts w:ascii="Tahoma" w:hAnsi="Tahoma" w:cs="Tahoma"/>
        </w:rPr>
        <w:t>, https://doi.org/10.1007/s10439-015-1253-3.</w:t>
      </w:r>
    </w:p>
    <w:p w14:paraId="6A7A1A71" w14:textId="77777777" w:rsidR="00E357A2" w:rsidRPr="00E357A2" w:rsidRDefault="00E357A2" w:rsidP="00E357A2">
      <w:pPr>
        <w:pStyle w:val="Bibliography"/>
        <w:numPr>
          <w:ilvl w:val="0"/>
          <w:numId w:val="11"/>
        </w:numPr>
        <w:spacing w:line="240" w:lineRule="auto"/>
        <w:ind w:left="360"/>
        <w:rPr>
          <w:rFonts w:ascii="Tahoma" w:hAnsi="Tahoma" w:cs="Tahoma"/>
        </w:rPr>
      </w:pPr>
      <w:proofErr w:type="spellStart"/>
      <w:r w:rsidRPr="00E357A2">
        <w:rPr>
          <w:rFonts w:ascii="Tahoma" w:hAnsi="Tahoma" w:cs="Tahoma"/>
        </w:rPr>
        <w:lastRenderedPageBreak/>
        <w:t>Nikkhah</w:t>
      </w:r>
      <w:proofErr w:type="spellEnd"/>
      <w:r w:rsidRPr="00E357A2">
        <w:rPr>
          <w:rFonts w:ascii="Tahoma" w:hAnsi="Tahoma" w:cs="Tahoma"/>
        </w:rPr>
        <w:t xml:space="preserve">, Mehdi, et al. “Engineering Microscale Topographies to Control the Cell–Substrate Interface.” </w:t>
      </w:r>
      <w:r w:rsidRPr="00E357A2">
        <w:rPr>
          <w:rFonts w:ascii="Tahoma" w:hAnsi="Tahoma" w:cs="Tahoma"/>
          <w:i/>
          <w:iCs/>
        </w:rPr>
        <w:t>Biomaterials</w:t>
      </w:r>
      <w:r w:rsidRPr="00E357A2">
        <w:rPr>
          <w:rFonts w:ascii="Tahoma" w:hAnsi="Tahoma" w:cs="Tahoma"/>
        </w:rPr>
        <w:t xml:space="preserve">, vol. 33, no. 21, July 2012, pp. 5230–46. </w:t>
      </w:r>
      <w:r w:rsidRPr="00E357A2">
        <w:rPr>
          <w:rFonts w:ascii="Tahoma" w:hAnsi="Tahoma" w:cs="Tahoma"/>
          <w:i/>
          <w:iCs/>
        </w:rPr>
        <w:t>DOI.org (</w:t>
      </w:r>
      <w:proofErr w:type="spellStart"/>
      <w:r w:rsidRPr="00E357A2">
        <w:rPr>
          <w:rFonts w:ascii="Tahoma" w:hAnsi="Tahoma" w:cs="Tahoma"/>
          <w:i/>
          <w:iCs/>
        </w:rPr>
        <w:t>Crossref</w:t>
      </w:r>
      <w:proofErr w:type="spellEnd"/>
      <w:r w:rsidRPr="00E357A2">
        <w:rPr>
          <w:rFonts w:ascii="Tahoma" w:hAnsi="Tahoma" w:cs="Tahoma"/>
          <w:i/>
          <w:iCs/>
        </w:rPr>
        <w:t>)</w:t>
      </w:r>
      <w:r w:rsidRPr="00E357A2">
        <w:rPr>
          <w:rFonts w:ascii="Tahoma" w:hAnsi="Tahoma" w:cs="Tahoma"/>
        </w:rPr>
        <w:t>, https://doi.org/10.1016/j.biomaterials.2012.03.079.</w:t>
      </w:r>
    </w:p>
    <w:p w14:paraId="612C17D3" w14:textId="0CEFE963" w:rsidR="00615C15" w:rsidRDefault="00817680" w:rsidP="00E357A2">
      <w:pPr>
        <w:pStyle w:val="NormalWeb"/>
        <w:spacing w:before="0" w:beforeAutospacing="0" w:after="0" w:afterAutospacing="0"/>
        <w:ind w:left="-360"/>
        <w:rPr>
          <w:rFonts w:ascii="Tahoma" w:hAnsi="Tahoma" w:cs="Tahoma"/>
        </w:rPr>
      </w:pPr>
      <w:r w:rsidRPr="00A41B5D">
        <w:rPr>
          <w:rFonts w:ascii="Tahoma" w:hAnsi="Tahoma" w:cs="Tahoma"/>
        </w:rPr>
        <w:fldChar w:fldCharType="end"/>
      </w:r>
    </w:p>
    <w:p w14:paraId="0E0B866A" w14:textId="6B30566A" w:rsidR="0031407C" w:rsidRDefault="0031407C" w:rsidP="008E2EF8">
      <w:pPr>
        <w:pStyle w:val="NormalWeb"/>
        <w:ind w:left="720"/>
        <w:rPr>
          <w:rFonts w:ascii="Tahoma" w:hAnsi="Tahoma" w:cs="Tahoma"/>
        </w:rPr>
      </w:pPr>
    </w:p>
    <w:p w14:paraId="10F5226E" w14:textId="00173BEC" w:rsidR="0088406F" w:rsidRDefault="0088406F">
      <w:r>
        <w:br w:type="page"/>
      </w:r>
      <w:r>
        <w:rPr>
          <w:noProof/>
        </w:rPr>
        <w:lastRenderedPageBreak/>
        <w:drawing>
          <wp:inline distT="0" distB="0" distL="0" distR="0" wp14:anchorId="166279B2" wp14:editId="51E28B6D">
            <wp:extent cx="5943600" cy="269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14:paraId="53B8B79D" w14:textId="77777777" w:rsidR="00EC1CB9" w:rsidRPr="008E2EF8" w:rsidRDefault="00EC1CB9" w:rsidP="008E2EF8"/>
    <w:sectPr w:rsidR="00EC1CB9" w:rsidRPr="008E2EF8"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74E9E" w14:textId="77777777" w:rsidR="00595D5D" w:rsidRDefault="00595D5D" w:rsidP="002E070F">
      <w:r>
        <w:separator/>
      </w:r>
    </w:p>
  </w:endnote>
  <w:endnote w:type="continuationSeparator" w:id="0">
    <w:p w14:paraId="15D63146" w14:textId="77777777" w:rsidR="00595D5D" w:rsidRDefault="00595D5D"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0493" w14:textId="77777777" w:rsidR="00595D5D" w:rsidRDefault="00595D5D" w:rsidP="002E070F">
      <w:r>
        <w:separator/>
      </w:r>
    </w:p>
  </w:footnote>
  <w:footnote w:type="continuationSeparator" w:id="0">
    <w:p w14:paraId="4B01DF44" w14:textId="77777777" w:rsidR="00595D5D" w:rsidRDefault="00595D5D"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569"/>
    <w:multiLevelType w:val="hybridMultilevel"/>
    <w:tmpl w:val="FC587774"/>
    <w:lvl w:ilvl="0" w:tplc="80EC66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B2C73"/>
    <w:multiLevelType w:val="hybridMultilevel"/>
    <w:tmpl w:val="2DE053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E20D9E"/>
    <w:multiLevelType w:val="multilevel"/>
    <w:tmpl w:val="C49AD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48389F"/>
    <w:multiLevelType w:val="multilevel"/>
    <w:tmpl w:val="3536A47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930976"/>
    <w:multiLevelType w:val="hybridMultilevel"/>
    <w:tmpl w:val="37A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1493">
    <w:abstractNumId w:val="8"/>
  </w:num>
  <w:num w:numId="2" w16cid:durableId="880021419">
    <w:abstractNumId w:val="6"/>
  </w:num>
  <w:num w:numId="3" w16cid:durableId="1477333763">
    <w:abstractNumId w:val="7"/>
  </w:num>
  <w:num w:numId="4" w16cid:durableId="614799014">
    <w:abstractNumId w:val="5"/>
  </w:num>
  <w:num w:numId="5" w16cid:durableId="1499078273">
    <w:abstractNumId w:val="1"/>
  </w:num>
  <w:num w:numId="6" w16cid:durableId="409736330">
    <w:abstractNumId w:val="3"/>
  </w:num>
  <w:num w:numId="7" w16cid:durableId="1946696052">
    <w:abstractNumId w:val="4"/>
  </w:num>
  <w:num w:numId="8" w16cid:durableId="1811901406">
    <w:abstractNumId w:val="2"/>
  </w:num>
  <w:num w:numId="9" w16cid:durableId="241836389">
    <w:abstractNumId w:val="9"/>
  </w:num>
  <w:num w:numId="10" w16cid:durableId="1185364430">
    <w:abstractNumId w:val="0"/>
  </w:num>
  <w:num w:numId="11" w16cid:durableId="164778068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15D0"/>
    <w:rsid w:val="00003897"/>
    <w:rsid w:val="00003F01"/>
    <w:rsid w:val="00013E0C"/>
    <w:rsid w:val="000146F7"/>
    <w:rsid w:val="0002148A"/>
    <w:rsid w:val="00022025"/>
    <w:rsid w:val="0002429D"/>
    <w:rsid w:val="00025213"/>
    <w:rsid w:val="000262A1"/>
    <w:rsid w:val="000269C2"/>
    <w:rsid w:val="00027CC8"/>
    <w:rsid w:val="00030CEC"/>
    <w:rsid w:val="00032BB2"/>
    <w:rsid w:val="00034C5A"/>
    <w:rsid w:val="000358C5"/>
    <w:rsid w:val="00040441"/>
    <w:rsid w:val="0004406D"/>
    <w:rsid w:val="000452E3"/>
    <w:rsid w:val="00046382"/>
    <w:rsid w:val="000551E9"/>
    <w:rsid w:val="00056471"/>
    <w:rsid w:val="00065E1A"/>
    <w:rsid w:val="00067A4C"/>
    <w:rsid w:val="00067EEF"/>
    <w:rsid w:val="00071AA2"/>
    <w:rsid w:val="0007399A"/>
    <w:rsid w:val="00074F71"/>
    <w:rsid w:val="00075054"/>
    <w:rsid w:val="000753BB"/>
    <w:rsid w:val="000768FB"/>
    <w:rsid w:val="00077C65"/>
    <w:rsid w:val="0008220C"/>
    <w:rsid w:val="00082CED"/>
    <w:rsid w:val="00084653"/>
    <w:rsid w:val="000852C6"/>
    <w:rsid w:val="000855DB"/>
    <w:rsid w:val="0008659D"/>
    <w:rsid w:val="00086E12"/>
    <w:rsid w:val="0009026F"/>
    <w:rsid w:val="000922BE"/>
    <w:rsid w:val="00094045"/>
    <w:rsid w:val="000943F5"/>
    <w:rsid w:val="00094CA9"/>
    <w:rsid w:val="000959D7"/>
    <w:rsid w:val="00096B06"/>
    <w:rsid w:val="000A3896"/>
    <w:rsid w:val="000A4465"/>
    <w:rsid w:val="000A4A4A"/>
    <w:rsid w:val="000A52E2"/>
    <w:rsid w:val="000C06F6"/>
    <w:rsid w:val="000C13BC"/>
    <w:rsid w:val="000C3BE4"/>
    <w:rsid w:val="000C476B"/>
    <w:rsid w:val="000C5FA2"/>
    <w:rsid w:val="000C7EBD"/>
    <w:rsid w:val="000D314C"/>
    <w:rsid w:val="000E00DE"/>
    <w:rsid w:val="000E0A1F"/>
    <w:rsid w:val="000E0E1B"/>
    <w:rsid w:val="000E11C1"/>
    <w:rsid w:val="000E1514"/>
    <w:rsid w:val="000E45AA"/>
    <w:rsid w:val="000E69AF"/>
    <w:rsid w:val="000E7DB4"/>
    <w:rsid w:val="000F08CE"/>
    <w:rsid w:val="000F5E33"/>
    <w:rsid w:val="00103108"/>
    <w:rsid w:val="00113460"/>
    <w:rsid w:val="00120768"/>
    <w:rsid w:val="00120D4F"/>
    <w:rsid w:val="0012117B"/>
    <w:rsid w:val="001216FC"/>
    <w:rsid w:val="00124878"/>
    <w:rsid w:val="00130402"/>
    <w:rsid w:val="00130CAE"/>
    <w:rsid w:val="00131693"/>
    <w:rsid w:val="00132617"/>
    <w:rsid w:val="00132916"/>
    <w:rsid w:val="00133871"/>
    <w:rsid w:val="00133CA8"/>
    <w:rsid w:val="001349F0"/>
    <w:rsid w:val="001433F3"/>
    <w:rsid w:val="00145665"/>
    <w:rsid w:val="001467DC"/>
    <w:rsid w:val="001532A6"/>
    <w:rsid w:val="00157F07"/>
    <w:rsid w:val="001639B7"/>
    <w:rsid w:val="00164B30"/>
    <w:rsid w:val="00164E84"/>
    <w:rsid w:val="001710F0"/>
    <w:rsid w:val="00171CB9"/>
    <w:rsid w:val="00171DEE"/>
    <w:rsid w:val="001721AD"/>
    <w:rsid w:val="00173222"/>
    <w:rsid w:val="00173AFC"/>
    <w:rsid w:val="0017511E"/>
    <w:rsid w:val="00176408"/>
    <w:rsid w:val="001767B5"/>
    <w:rsid w:val="00182E7C"/>
    <w:rsid w:val="00182FA8"/>
    <w:rsid w:val="00183C3E"/>
    <w:rsid w:val="001849D6"/>
    <w:rsid w:val="00186354"/>
    <w:rsid w:val="00186AF1"/>
    <w:rsid w:val="001872DF"/>
    <w:rsid w:val="00191849"/>
    <w:rsid w:val="00193271"/>
    <w:rsid w:val="001A0D6F"/>
    <w:rsid w:val="001A13DD"/>
    <w:rsid w:val="001A5F29"/>
    <w:rsid w:val="001A7676"/>
    <w:rsid w:val="001B13F5"/>
    <w:rsid w:val="001B2DF8"/>
    <w:rsid w:val="001C09C4"/>
    <w:rsid w:val="001C2819"/>
    <w:rsid w:val="001C32E9"/>
    <w:rsid w:val="001C345F"/>
    <w:rsid w:val="001D0017"/>
    <w:rsid w:val="001D19A9"/>
    <w:rsid w:val="001D2AB5"/>
    <w:rsid w:val="001D2E08"/>
    <w:rsid w:val="001D4BEB"/>
    <w:rsid w:val="001D4CE5"/>
    <w:rsid w:val="001D63D7"/>
    <w:rsid w:val="001E328E"/>
    <w:rsid w:val="001E6583"/>
    <w:rsid w:val="001F14CB"/>
    <w:rsid w:val="001F190C"/>
    <w:rsid w:val="001F462C"/>
    <w:rsid w:val="001F4D65"/>
    <w:rsid w:val="00211C07"/>
    <w:rsid w:val="00213154"/>
    <w:rsid w:val="002137EA"/>
    <w:rsid w:val="00224A0F"/>
    <w:rsid w:val="00224B78"/>
    <w:rsid w:val="00226AEB"/>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FE5"/>
    <w:rsid w:val="00272519"/>
    <w:rsid w:val="00272985"/>
    <w:rsid w:val="002730A7"/>
    <w:rsid w:val="002745F9"/>
    <w:rsid w:val="00276F24"/>
    <w:rsid w:val="00280C6C"/>
    <w:rsid w:val="00281BFE"/>
    <w:rsid w:val="00282321"/>
    <w:rsid w:val="00283E7F"/>
    <w:rsid w:val="00284473"/>
    <w:rsid w:val="002903D2"/>
    <w:rsid w:val="00291F5B"/>
    <w:rsid w:val="0029639B"/>
    <w:rsid w:val="002964F2"/>
    <w:rsid w:val="002A0E23"/>
    <w:rsid w:val="002A22EA"/>
    <w:rsid w:val="002A248C"/>
    <w:rsid w:val="002A3E6C"/>
    <w:rsid w:val="002B27C4"/>
    <w:rsid w:val="002B2B83"/>
    <w:rsid w:val="002B2C33"/>
    <w:rsid w:val="002B36A4"/>
    <w:rsid w:val="002B4BA4"/>
    <w:rsid w:val="002B5674"/>
    <w:rsid w:val="002C30A0"/>
    <w:rsid w:val="002C374E"/>
    <w:rsid w:val="002C4EF2"/>
    <w:rsid w:val="002C7126"/>
    <w:rsid w:val="002C7EAB"/>
    <w:rsid w:val="002D2EB4"/>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3FAE"/>
    <w:rsid w:val="00305164"/>
    <w:rsid w:val="0031407C"/>
    <w:rsid w:val="003157DB"/>
    <w:rsid w:val="00316CD2"/>
    <w:rsid w:val="00317718"/>
    <w:rsid w:val="00320C7A"/>
    <w:rsid w:val="00325D13"/>
    <w:rsid w:val="00327E82"/>
    <w:rsid w:val="0033041E"/>
    <w:rsid w:val="00331261"/>
    <w:rsid w:val="00337B60"/>
    <w:rsid w:val="00342AB7"/>
    <w:rsid w:val="0034372D"/>
    <w:rsid w:val="00343CA4"/>
    <w:rsid w:val="0034726E"/>
    <w:rsid w:val="00347703"/>
    <w:rsid w:val="003507EF"/>
    <w:rsid w:val="00350F17"/>
    <w:rsid w:val="00352DD0"/>
    <w:rsid w:val="00353287"/>
    <w:rsid w:val="0035347A"/>
    <w:rsid w:val="003570A9"/>
    <w:rsid w:val="00360500"/>
    <w:rsid w:val="00360EAA"/>
    <w:rsid w:val="00362450"/>
    <w:rsid w:val="00366CE5"/>
    <w:rsid w:val="003677B7"/>
    <w:rsid w:val="0037047F"/>
    <w:rsid w:val="00371ED0"/>
    <w:rsid w:val="003720A6"/>
    <w:rsid w:val="00374200"/>
    <w:rsid w:val="00374278"/>
    <w:rsid w:val="00374CEB"/>
    <w:rsid w:val="003768B4"/>
    <w:rsid w:val="0038442A"/>
    <w:rsid w:val="00390245"/>
    <w:rsid w:val="00392025"/>
    <w:rsid w:val="0039404F"/>
    <w:rsid w:val="003A0BAD"/>
    <w:rsid w:val="003B21CD"/>
    <w:rsid w:val="003B3B19"/>
    <w:rsid w:val="003B780C"/>
    <w:rsid w:val="003B78E7"/>
    <w:rsid w:val="003C0CC9"/>
    <w:rsid w:val="003C2A5D"/>
    <w:rsid w:val="003C6827"/>
    <w:rsid w:val="003C6BEC"/>
    <w:rsid w:val="003D3461"/>
    <w:rsid w:val="003D41F9"/>
    <w:rsid w:val="003D54F7"/>
    <w:rsid w:val="003D5ACB"/>
    <w:rsid w:val="003D694C"/>
    <w:rsid w:val="003D7DB4"/>
    <w:rsid w:val="003D7E3F"/>
    <w:rsid w:val="003D7F0A"/>
    <w:rsid w:val="003E0400"/>
    <w:rsid w:val="003E1467"/>
    <w:rsid w:val="003E1A01"/>
    <w:rsid w:val="003E303F"/>
    <w:rsid w:val="003E3B30"/>
    <w:rsid w:val="003E7205"/>
    <w:rsid w:val="003F7C6D"/>
    <w:rsid w:val="004006B1"/>
    <w:rsid w:val="00401212"/>
    <w:rsid w:val="00403F56"/>
    <w:rsid w:val="004051DB"/>
    <w:rsid w:val="0040799F"/>
    <w:rsid w:val="004108F0"/>
    <w:rsid w:val="00415849"/>
    <w:rsid w:val="004166DC"/>
    <w:rsid w:val="004258E0"/>
    <w:rsid w:val="004319C8"/>
    <w:rsid w:val="00431C7C"/>
    <w:rsid w:val="00436E2F"/>
    <w:rsid w:val="004377F0"/>
    <w:rsid w:val="00441338"/>
    <w:rsid w:val="004449FA"/>
    <w:rsid w:val="00444D37"/>
    <w:rsid w:val="004452A2"/>
    <w:rsid w:val="00446B2C"/>
    <w:rsid w:val="0045128B"/>
    <w:rsid w:val="0045357A"/>
    <w:rsid w:val="00456D81"/>
    <w:rsid w:val="004573B4"/>
    <w:rsid w:val="00457C58"/>
    <w:rsid w:val="00460514"/>
    <w:rsid w:val="004665CE"/>
    <w:rsid w:val="0047139E"/>
    <w:rsid w:val="004756CC"/>
    <w:rsid w:val="00475F47"/>
    <w:rsid w:val="004761B1"/>
    <w:rsid w:val="0047709F"/>
    <w:rsid w:val="00480775"/>
    <w:rsid w:val="00481492"/>
    <w:rsid w:val="00481CDD"/>
    <w:rsid w:val="00485623"/>
    <w:rsid w:val="0048678F"/>
    <w:rsid w:val="00490B26"/>
    <w:rsid w:val="00493F25"/>
    <w:rsid w:val="004946F6"/>
    <w:rsid w:val="004967F6"/>
    <w:rsid w:val="004A645C"/>
    <w:rsid w:val="004B1BA6"/>
    <w:rsid w:val="004B3199"/>
    <w:rsid w:val="004B3251"/>
    <w:rsid w:val="004B45B7"/>
    <w:rsid w:val="004B7319"/>
    <w:rsid w:val="004C24E3"/>
    <w:rsid w:val="004C2C97"/>
    <w:rsid w:val="004C3DB8"/>
    <w:rsid w:val="004C7AF0"/>
    <w:rsid w:val="004C7EF3"/>
    <w:rsid w:val="004D0207"/>
    <w:rsid w:val="004D0783"/>
    <w:rsid w:val="004D53F0"/>
    <w:rsid w:val="004D6864"/>
    <w:rsid w:val="004E12B2"/>
    <w:rsid w:val="004E57C0"/>
    <w:rsid w:val="004E5A60"/>
    <w:rsid w:val="004F1EAE"/>
    <w:rsid w:val="004F2CE4"/>
    <w:rsid w:val="004F373F"/>
    <w:rsid w:val="004F3F2E"/>
    <w:rsid w:val="004F45DC"/>
    <w:rsid w:val="00500940"/>
    <w:rsid w:val="005040BB"/>
    <w:rsid w:val="00505AEB"/>
    <w:rsid w:val="00506551"/>
    <w:rsid w:val="005100B6"/>
    <w:rsid w:val="00510DA9"/>
    <w:rsid w:val="00513ACF"/>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BB1"/>
    <w:rsid w:val="00551FFD"/>
    <w:rsid w:val="005527A7"/>
    <w:rsid w:val="00556C54"/>
    <w:rsid w:val="0056699F"/>
    <w:rsid w:val="0057329E"/>
    <w:rsid w:val="0057440A"/>
    <w:rsid w:val="005767D9"/>
    <w:rsid w:val="00577543"/>
    <w:rsid w:val="00584742"/>
    <w:rsid w:val="00584C2D"/>
    <w:rsid w:val="0059090B"/>
    <w:rsid w:val="00590F2E"/>
    <w:rsid w:val="00592748"/>
    <w:rsid w:val="00593539"/>
    <w:rsid w:val="00594DA6"/>
    <w:rsid w:val="00595D5D"/>
    <w:rsid w:val="00596091"/>
    <w:rsid w:val="005A1DAD"/>
    <w:rsid w:val="005A2446"/>
    <w:rsid w:val="005A598C"/>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5C15"/>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72F10"/>
    <w:rsid w:val="00684FFD"/>
    <w:rsid w:val="00685A1C"/>
    <w:rsid w:val="00686207"/>
    <w:rsid w:val="006874D2"/>
    <w:rsid w:val="006914CD"/>
    <w:rsid w:val="00692036"/>
    <w:rsid w:val="00693C78"/>
    <w:rsid w:val="006951B1"/>
    <w:rsid w:val="00696C06"/>
    <w:rsid w:val="00697225"/>
    <w:rsid w:val="006A1CCF"/>
    <w:rsid w:val="006A2925"/>
    <w:rsid w:val="006A2F19"/>
    <w:rsid w:val="006A3445"/>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D5E77"/>
    <w:rsid w:val="006E0111"/>
    <w:rsid w:val="006F0713"/>
    <w:rsid w:val="006F407F"/>
    <w:rsid w:val="006F542B"/>
    <w:rsid w:val="006F5C5F"/>
    <w:rsid w:val="006F64F5"/>
    <w:rsid w:val="00701AB1"/>
    <w:rsid w:val="00701BAF"/>
    <w:rsid w:val="00702D80"/>
    <w:rsid w:val="00703949"/>
    <w:rsid w:val="00703DF1"/>
    <w:rsid w:val="007043E8"/>
    <w:rsid w:val="00704935"/>
    <w:rsid w:val="00710EDA"/>
    <w:rsid w:val="007123F7"/>
    <w:rsid w:val="00713184"/>
    <w:rsid w:val="0071620F"/>
    <w:rsid w:val="00717AD8"/>
    <w:rsid w:val="0072021E"/>
    <w:rsid w:val="00723A4D"/>
    <w:rsid w:val="00730D87"/>
    <w:rsid w:val="0073476A"/>
    <w:rsid w:val="00737893"/>
    <w:rsid w:val="00741701"/>
    <w:rsid w:val="00745A42"/>
    <w:rsid w:val="00746CFC"/>
    <w:rsid w:val="00747E52"/>
    <w:rsid w:val="00754C61"/>
    <w:rsid w:val="007614CB"/>
    <w:rsid w:val="00761562"/>
    <w:rsid w:val="00762754"/>
    <w:rsid w:val="00764E0A"/>
    <w:rsid w:val="0076777A"/>
    <w:rsid w:val="0077098A"/>
    <w:rsid w:val="00770A60"/>
    <w:rsid w:val="00775544"/>
    <w:rsid w:val="00780B0C"/>
    <w:rsid w:val="00782643"/>
    <w:rsid w:val="007833C4"/>
    <w:rsid w:val="00791017"/>
    <w:rsid w:val="00791CE6"/>
    <w:rsid w:val="00792EFD"/>
    <w:rsid w:val="00795896"/>
    <w:rsid w:val="00796BE5"/>
    <w:rsid w:val="00796F91"/>
    <w:rsid w:val="007977C8"/>
    <w:rsid w:val="007A5512"/>
    <w:rsid w:val="007A5B10"/>
    <w:rsid w:val="007A79DC"/>
    <w:rsid w:val="007B05FF"/>
    <w:rsid w:val="007B1CAB"/>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1B9C"/>
    <w:rsid w:val="007F3338"/>
    <w:rsid w:val="007F369D"/>
    <w:rsid w:val="007F50EE"/>
    <w:rsid w:val="008002AA"/>
    <w:rsid w:val="0080304B"/>
    <w:rsid w:val="00810748"/>
    <w:rsid w:val="00813CE4"/>
    <w:rsid w:val="00816933"/>
    <w:rsid w:val="00817680"/>
    <w:rsid w:val="008310FF"/>
    <w:rsid w:val="00831BAE"/>
    <w:rsid w:val="008362A9"/>
    <w:rsid w:val="008364C5"/>
    <w:rsid w:val="00837BC8"/>
    <w:rsid w:val="00841A52"/>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DAA"/>
    <w:rsid w:val="00874E72"/>
    <w:rsid w:val="0087555E"/>
    <w:rsid w:val="00876A83"/>
    <w:rsid w:val="008831D7"/>
    <w:rsid w:val="00883334"/>
    <w:rsid w:val="00883E4F"/>
    <w:rsid w:val="0088406F"/>
    <w:rsid w:val="00885628"/>
    <w:rsid w:val="00890CD0"/>
    <w:rsid w:val="00892376"/>
    <w:rsid w:val="008924EE"/>
    <w:rsid w:val="008929F6"/>
    <w:rsid w:val="00894E05"/>
    <w:rsid w:val="00896784"/>
    <w:rsid w:val="00897CBD"/>
    <w:rsid w:val="00897DD4"/>
    <w:rsid w:val="008A4289"/>
    <w:rsid w:val="008A50F6"/>
    <w:rsid w:val="008A5B73"/>
    <w:rsid w:val="008A7E7A"/>
    <w:rsid w:val="008B29A2"/>
    <w:rsid w:val="008B4849"/>
    <w:rsid w:val="008B7ED7"/>
    <w:rsid w:val="008B7FC8"/>
    <w:rsid w:val="008C134D"/>
    <w:rsid w:val="008C41A9"/>
    <w:rsid w:val="008C7464"/>
    <w:rsid w:val="008D481D"/>
    <w:rsid w:val="008D76F6"/>
    <w:rsid w:val="008E2EF8"/>
    <w:rsid w:val="008E3800"/>
    <w:rsid w:val="008E4FB1"/>
    <w:rsid w:val="008E65DF"/>
    <w:rsid w:val="008E6B12"/>
    <w:rsid w:val="008F0EB7"/>
    <w:rsid w:val="008F1617"/>
    <w:rsid w:val="008F4046"/>
    <w:rsid w:val="008F4980"/>
    <w:rsid w:val="008F786E"/>
    <w:rsid w:val="008F7908"/>
    <w:rsid w:val="009054F7"/>
    <w:rsid w:val="00911C3E"/>
    <w:rsid w:val="00912143"/>
    <w:rsid w:val="00913E6C"/>
    <w:rsid w:val="00916976"/>
    <w:rsid w:val="009169B0"/>
    <w:rsid w:val="00921C3E"/>
    <w:rsid w:val="00924313"/>
    <w:rsid w:val="00927981"/>
    <w:rsid w:val="00931656"/>
    <w:rsid w:val="00933046"/>
    <w:rsid w:val="009353C9"/>
    <w:rsid w:val="009359F7"/>
    <w:rsid w:val="00935D1E"/>
    <w:rsid w:val="00937555"/>
    <w:rsid w:val="0093764E"/>
    <w:rsid w:val="00937AF0"/>
    <w:rsid w:val="00937E05"/>
    <w:rsid w:val="00940E90"/>
    <w:rsid w:val="0094203E"/>
    <w:rsid w:val="00943121"/>
    <w:rsid w:val="00947316"/>
    <w:rsid w:val="00951F66"/>
    <w:rsid w:val="00954894"/>
    <w:rsid w:val="00954BC1"/>
    <w:rsid w:val="00955238"/>
    <w:rsid w:val="0095574C"/>
    <w:rsid w:val="009568FE"/>
    <w:rsid w:val="00960D3E"/>
    <w:rsid w:val="00962F6A"/>
    <w:rsid w:val="009654D0"/>
    <w:rsid w:val="00965663"/>
    <w:rsid w:val="009725B0"/>
    <w:rsid w:val="00972B2C"/>
    <w:rsid w:val="009747BB"/>
    <w:rsid w:val="0097631A"/>
    <w:rsid w:val="00981216"/>
    <w:rsid w:val="009816F9"/>
    <w:rsid w:val="00985496"/>
    <w:rsid w:val="00990BB1"/>
    <w:rsid w:val="00992E78"/>
    <w:rsid w:val="0099386F"/>
    <w:rsid w:val="009959AD"/>
    <w:rsid w:val="00997905"/>
    <w:rsid w:val="009A019C"/>
    <w:rsid w:val="009A063D"/>
    <w:rsid w:val="009A13C1"/>
    <w:rsid w:val="009A15A9"/>
    <w:rsid w:val="009A446B"/>
    <w:rsid w:val="009A53A5"/>
    <w:rsid w:val="009A6755"/>
    <w:rsid w:val="009B0866"/>
    <w:rsid w:val="009B355D"/>
    <w:rsid w:val="009B3ADF"/>
    <w:rsid w:val="009B3B89"/>
    <w:rsid w:val="009B3DBE"/>
    <w:rsid w:val="009B4032"/>
    <w:rsid w:val="009B4215"/>
    <w:rsid w:val="009B5C07"/>
    <w:rsid w:val="009B5C7C"/>
    <w:rsid w:val="009B68D9"/>
    <w:rsid w:val="009C7E28"/>
    <w:rsid w:val="009D0A48"/>
    <w:rsid w:val="009D1829"/>
    <w:rsid w:val="009D4617"/>
    <w:rsid w:val="009D59C7"/>
    <w:rsid w:val="009E3898"/>
    <w:rsid w:val="009E3CE7"/>
    <w:rsid w:val="009E5120"/>
    <w:rsid w:val="009F1301"/>
    <w:rsid w:val="009F1B6D"/>
    <w:rsid w:val="009F1FBF"/>
    <w:rsid w:val="009F2ADC"/>
    <w:rsid w:val="009F4D90"/>
    <w:rsid w:val="009F54F6"/>
    <w:rsid w:val="009F6AC6"/>
    <w:rsid w:val="00A00348"/>
    <w:rsid w:val="00A016D8"/>
    <w:rsid w:val="00A02332"/>
    <w:rsid w:val="00A02F42"/>
    <w:rsid w:val="00A034C4"/>
    <w:rsid w:val="00A0697B"/>
    <w:rsid w:val="00A1315A"/>
    <w:rsid w:val="00A2327F"/>
    <w:rsid w:val="00A25E91"/>
    <w:rsid w:val="00A31654"/>
    <w:rsid w:val="00A3312F"/>
    <w:rsid w:val="00A403E8"/>
    <w:rsid w:val="00A41B5D"/>
    <w:rsid w:val="00A43398"/>
    <w:rsid w:val="00A46CD1"/>
    <w:rsid w:val="00A47625"/>
    <w:rsid w:val="00A53DCF"/>
    <w:rsid w:val="00A53EF2"/>
    <w:rsid w:val="00A53F11"/>
    <w:rsid w:val="00A64215"/>
    <w:rsid w:val="00A65539"/>
    <w:rsid w:val="00A67CAF"/>
    <w:rsid w:val="00A81640"/>
    <w:rsid w:val="00A906D1"/>
    <w:rsid w:val="00A9254A"/>
    <w:rsid w:val="00A93073"/>
    <w:rsid w:val="00A95A89"/>
    <w:rsid w:val="00A9649F"/>
    <w:rsid w:val="00AA3202"/>
    <w:rsid w:val="00AA4CE6"/>
    <w:rsid w:val="00AA4E15"/>
    <w:rsid w:val="00AA6155"/>
    <w:rsid w:val="00AA6D43"/>
    <w:rsid w:val="00AB0343"/>
    <w:rsid w:val="00AB13F4"/>
    <w:rsid w:val="00AB50D4"/>
    <w:rsid w:val="00AB685E"/>
    <w:rsid w:val="00AB799E"/>
    <w:rsid w:val="00AB7BD7"/>
    <w:rsid w:val="00AC15EE"/>
    <w:rsid w:val="00AC26A0"/>
    <w:rsid w:val="00AC3801"/>
    <w:rsid w:val="00AC5723"/>
    <w:rsid w:val="00AC57A2"/>
    <w:rsid w:val="00AC6E92"/>
    <w:rsid w:val="00AC7C55"/>
    <w:rsid w:val="00AD1FEB"/>
    <w:rsid w:val="00AD4D92"/>
    <w:rsid w:val="00AD7F14"/>
    <w:rsid w:val="00AE2234"/>
    <w:rsid w:val="00AE53A1"/>
    <w:rsid w:val="00AE76B9"/>
    <w:rsid w:val="00AF01EE"/>
    <w:rsid w:val="00AF237C"/>
    <w:rsid w:val="00AF528D"/>
    <w:rsid w:val="00AF5FC2"/>
    <w:rsid w:val="00AF6ED6"/>
    <w:rsid w:val="00B07934"/>
    <w:rsid w:val="00B14BE8"/>
    <w:rsid w:val="00B210F1"/>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36D"/>
    <w:rsid w:val="00B54C38"/>
    <w:rsid w:val="00B556BE"/>
    <w:rsid w:val="00B603CD"/>
    <w:rsid w:val="00B605EB"/>
    <w:rsid w:val="00B61FC7"/>
    <w:rsid w:val="00B6593F"/>
    <w:rsid w:val="00B67FEA"/>
    <w:rsid w:val="00B70299"/>
    <w:rsid w:val="00B71F75"/>
    <w:rsid w:val="00B72286"/>
    <w:rsid w:val="00B75C73"/>
    <w:rsid w:val="00B768E3"/>
    <w:rsid w:val="00B82019"/>
    <w:rsid w:val="00B824CC"/>
    <w:rsid w:val="00B83C75"/>
    <w:rsid w:val="00B847C1"/>
    <w:rsid w:val="00B851FC"/>
    <w:rsid w:val="00B86780"/>
    <w:rsid w:val="00B87240"/>
    <w:rsid w:val="00B875C2"/>
    <w:rsid w:val="00B9318A"/>
    <w:rsid w:val="00B9440D"/>
    <w:rsid w:val="00B94A92"/>
    <w:rsid w:val="00B978BA"/>
    <w:rsid w:val="00BA0B8B"/>
    <w:rsid w:val="00BA7004"/>
    <w:rsid w:val="00BB2519"/>
    <w:rsid w:val="00BB6BE5"/>
    <w:rsid w:val="00BC3CA8"/>
    <w:rsid w:val="00BC44F4"/>
    <w:rsid w:val="00BD074E"/>
    <w:rsid w:val="00BD1DCF"/>
    <w:rsid w:val="00BD2107"/>
    <w:rsid w:val="00BD34D7"/>
    <w:rsid w:val="00BD7820"/>
    <w:rsid w:val="00BE0200"/>
    <w:rsid w:val="00BE1CC9"/>
    <w:rsid w:val="00BE5100"/>
    <w:rsid w:val="00BE5EB4"/>
    <w:rsid w:val="00BF0180"/>
    <w:rsid w:val="00BF2870"/>
    <w:rsid w:val="00BF4485"/>
    <w:rsid w:val="00BF7297"/>
    <w:rsid w:val="00C01A3E"/>
    <w:rsid w:val="00C02A38"/>
    <w:rsid w:val="00C02AE8"/>
    <w:rsid w:val="00C031A0"/>
    <w:rsid w:val="00C045A0"/>
    <w:rsid w:val="00C0549E"/>
    <w:rsid w:val="00C103AA"/>
    <w:rsid w:val="00C135A9"/>
    <w:rsid w:val="00C15ADA"/>
    <w:rsid w:val="00C1617F"/>
    <w:rsid w:val="00C17379"/>
    <w:rsid w:val="00C21687"/>
    <w:rsid w:val="00C22A19"/>
    <w:rsid w:val="00C22DDF"/>
    <w:rsid w:val="00C22F8B"/>
    <w:rsid w:val="00C242BC"/>
    <w:rsid w:val="00C246FD"/>
    <w:rsid w:val="00C253C7"/>
    <w:rsid w:val="00C27521"/>
    <w:rsid w:val="00C27DC1"/>
    <w:rsid w:val="00C30432"/>
    <w:rsid w:val="00C33DAA"/>
    <w:rsid w:val="00C34317"/>
    <w:rsid w:val="00C364C1"/>
    <w:rsid w:val="00C367E6"/>
    <w:rsid w:val="00C36C04"/>
    <w:rsid w:val="00C40234"/>
    <w:rsid w:val="00C40696"/>
    <w:rsid w:val="00C40AEB"/>
    <w:rsid w:val="00C40BD9"/>
    <w:rsid w:val="00C451BB"/>
    <w:rsid w:val="00C47105"/>
    <w:rsid w:val="00C4770B"/>
    <w:rsid w:val="00C4797A"/>
    <w:rsid w:val="00C53A24"/>
    <w:rsid w:val="00C612A3"/>
    <w:rsid w:val="00C7004D"/>
    <w:rsid w:val="00C74A6B"/>
    <w:rsid w:val="00C82FF9"/>
    <w:rsid w:val="00C834A3"/>
    <w:rsid w:val="00C85A9E"/>
    <w:rsid w:val="00C86923"/>
    <w:rsid w:val="00C86FBE"/>
    <w:rsid w:val="00C87976"/>
    <w:rsid w:val="00C87E50"/>
    <w:rsid w:val="00C91677"/>
    <w:rsid w:val="00C91FD7"/>
    <w:rsid w:val="00C9272B"/>
    <w:rsid w:val="00C92E33"/>
    <w:rsid w:val="00C93FB7"/>
    <w:rsid w:val="00C955F7"/>
    <w:rsid w:val="00C95D93"/>
    <w:rsid w:val="00CA0BE2"/>
    <w:rsid w:val="00CA1B72"/>
    <w:rsid w:val="00CA361A"/>
    <w:rsid w:val="00CA5589"/>
    <w:rsid w:val="00CA6752"/>
    <w:rsid w:val="00CB0678"/>
    <w:rsid w:val="00CB09C7"/>
    <w:rsid w:val="00CB2611"/>
    <w:rsid w:val="00CB2D7A"/>
    <w:rsid w:val="00CB5247"/>
    <w:rsid w:val="00CB541B"/>
    <w:rsid w:val="00CC152B"/>
    <w:rsid w:val="00CC509A"/>
    <w:rsid w:val="00CC55FC"/>
    <w:rsid w:val="00CC6570"/>
    <w:rsid w:val="00CC7E08"/>
    <w:rsid w:val="00CD0BD7"/>
    <w:rsid w:val="00CD1AF9"/>
    <w:rsid w:val="00CD51FD"/>
    <w:rsid w:val="00CD6F84"/>
    <w:rsid w:val="00CE0346"/>
    <w:rsid w:val="00CE0C35"/>
    <w:rsid w:val="00CE137A"/>
    <w:rsid w:val="00CE399C"/>
    <w:rsid w:val="00CF628D"/>
    <w:rsid w:val="00D01224"/>
    <w:rsid w:val="00D01F7D"/>
    <w:rsid w:val="00D0581C"/>
    <w:rsid w:val="00D059A4"/>
    <w:rsid w:val="00D0623C"/>
    <w:rsid w:val="00D06593"/>
    <w:rsid w:val="00D068C1"/>
    <w:rsid w:val="00D06B04"/>
    <w:rsid w:val="00D1257F"/>
    <w:rsid w:val="00D13A2F"/>
    <w:rsid w:val="00D220A2"/>
    <w:rsid w:val="00D268FC"/>
    <w:rsid w:val="00D277E4"/>
    <w:rsid w:val="00D278EB"/>
    <w:rsid w:val="00D306C4"/>
    <w:rsid w:val="00D30E62"/>
    <w:rsid w:val="00D32106"/>
    <w:rsid w:val="00D3507D"/>
    <w:rsid w:val="00D41170"/>
    <w:rsid w:val="00D43F2A"/>
    <w:rsid w:val="00D4440A"/>
    <w:rsid w:val="00D45632"/>
    <w:rsid w:val="00D460C1"/>
    <w:rsid w:val="00D47DBF"/>
    <w:rsid w:val="00D47E80"/>
    <w:rsid w:val="00D51C57"/>
    <w:rsid w:val="00D560D2"/>
    <w:rsid w:val="00D568F0"/>
    <w:rsid w:val="00D56F80"/>
    <w:rsid w:val="00D619D5"/>
    <w:rsid w:val="00D64A1B"/>
    <w:rsid w:val="00D65210"/>
    <w:rsid w:val="00D65CC8"/>
    <w:rsid w:val="00D67FF3"/>
    <w:rsid w:val="00D702D5"/>
    <w:rsid w:val="00D70476"/>
    <w:rsid w:val="00D7138E"/>
    <w:rsid w:val="00D752B4"/>
    <w:rsid w:val="00D755DC"/>
    <w:rsid w:val="00D763C6"/>
    <w:rsid w:val="00D824A0"/>
    <w:rsid w:val="00D82744"/>
    <w:rsid w:val="00D8345B"/>
    <w:rsid w:val="00D8365B"/>
    <w:rsid w:val="00D84E91"/>
    <w:rsid w:val="00D853F1"/>
    <w:rsid w:val="00D87557"/>
    <w:rsid w:val="00D92C4E"/>
    <w:rsid w:val="00D92D5A"/>
    <w:rsid w:val="00D9456B"/>
    <w:rsid w:val="00D94E9B"/>
    <w:rsid w:val="00D95D3D"/>
    <w:rsid w:val="00D977C0"/>
    <w:rsid w:val="00DA0EED"/>
    <w:rsid w:val="00DA2458"/>
    <w:rsid w:val="00DA288C"/>
    <w:rsid w:val="00DA4C2A"/>
    <w:rsid w:val="00DA59FC"/>
    <w:rsid w:val="00DA705E"/>
    <w:rsid w:val="00DA7213"/>
    <w:rsid w:val="00DB1B2D"/>
    <w:rsid w:val="00DB1BE0"/>
    <w:rsid w:val="00DB3A54"/>
    <w:rsid w:val="00DB51BE"/>
    <w:rsid w:val="00DB70CD"/>
    <w:rsid w:val="00DB70DF"/>
    <w:rsid w:val="00DB74FE"/>
    <w:rsid w:val="00DC10ED"/>
    <w:rsid w:val="00DC24AE"/>
    <w:rsid w:val="00DC3BD4"/>
    <w:rsid w:val="00DC43B7"/>
    <w:rsid w:val="00DC48F3"/>
    <w:rsid w:val="00DC62CA"/>
    <w:rsid w:val="00DC74BA"/>
    <w:rsid w:val="00DC7AA8"/>
    <w:rsid w:val="00DD21F5"/>
    <w:rsid w:val="00DD23E8"/>
    <w:rsid w:val="00DD7183"/>
    <w:rsid w:val="00DE19BF"/>
    <w:rsid w:val="00DE41F0"/>
    <w:rsid w:val="00DE4C0E"/>
    <w:rsid w:val="00DE581A"/>
    <w:rsid w:val="00DE7DC3"/>
    <w:rsid w:val="00DF4654"/>
    <w:rsid w:val="00DF6F9D"/>
    <w:rsid w:val="00DF7C32"/>
    <w:rsid w:val="00E01AE0"/>
    <w:rsid w:val="00E023FA"/>
    <w:rsid w:val="00E03BA9"/>
    <w:rsid w:val="00E03FBA"/>
    <w:rsid w:val="00E04723"/>
    <w:rsid w:val="00E06577"/>
    <w:rsid w:val="00E07395"/>
    <w:rsid w:val="00E07B2D"/>
    <w:rsid w:val="00E07E32"/>
    <w:rsid w:val="00E12447"/>
    <w:rsid w:val="00E12B65"/>
    <w:rsid w:val="00E136DF"/>
    <w:rsid w:val="00E1431B"/>
    <w:rsid w:val="00E14E1F"/>
    <w:rsid w:val="00E163BB"/>
    <w:rsid w:val="00E2350B"/>
    <w:rsid w:val="00E2400D"/>
    <w:rsid w:val="00E25247"/>
    <w:rsid w:val="00E253C2"/>
    <w:rsid w:val="00E26E3C"/>
    <w:rsid w:val="00E27C15"/>
    <w:rsid w:val="00E32707"/>
    <w:rsid w:val="00E328AE"/>
    <w:rsid w:val="00E3328B"/>
    <w:rsid w:val="00E34D29"/>
    <w:rsid w:val="00E357A2"/>
    <w:rsid w:val="00E3798D"/>
    <w:rsid w:val="00E4256B"/>
    <w:rsid w:val="00E4316B"/>
    <w:rsid w:val="00E46083"/>
    <w:rsid w:val="00E50427"/>
    <w:rsid w:val="00E50D3B"/>
    <w:rsid w:val="00E515A8"/>
    <w:rsid w:val="00E540B6"/>
    <w:rsid w:val="00E54B83"/>
    <w:rsid w:val="00E56EE8"/>
    <w:rsid w:val="00E57640"/>
    <w:rsid w:val="00E62A6B"/>
    <w:rsid w:val="00E63BA5"/>
    <w:rsid w:val="00E643C6"/>
    <w:rsid w:val="00E65D76"/>
    <w:rsid w:val="00E672C6"/>
    <w:rsid w:val="00E77142"/>
    <w:rsid w:val="00E77D11"/>
    <w:rsid w:val="00E83D21"/>
    <w:rsid w:val="00E83DE1"/>
    <w:rsid w:val="00E8570E"/>
    <w:rsid w:val="00E913DD"/>
    <w:rsid w:val="00E932FE"/>
    <w:rsid w:val="00E95F31"/>
    <w:rsid w:val="00E969E1"/>
    <w:rsid w:val="00EA25B8"/>
    <w:rsid w:val="00EA2950"/>
    <w:rsid w:val="00EA2F9C"/>
    <w:rsid w:val="00EA7FC5"/>
    <w:rsid w:val="00EB0875"/>
    <w:rsid w:val="00EB5939"/>
    <w:rsid w:val="00EB779E"/>
    <w:rsid w:val="00EC17A1"/>
    <w:rsid w:val="00EC1CB9"/>
    <w:rsid w:val="00EC20DE"/>
    <w:rsid w:val="00EC30E8"/>
    <w:rsid w:val="00EC3BBD"/>
    <w:rsid w:val="00EC3E79"/>
    <w:rsid w:val="00EC4E16"/>
    <w:rsid w:val="00EC6491"/>
    <w:rsid w:val="00ED0CF8"/>
    <w:rsid w:val="00ED0F69"/>
    <w:rsid w:val="00ED100F"/>
    <w:rsid w:val="00ED2024"/>
    <w:rsid w:val="00ED299C"/>
    <w:rsid w:val="00ED46CF"/>
    <w:rsid w:val="00EE3CB1"/>
    <w:rsid w:val="00EE5525"/>
    <w:rsid w:val="00EE569C"/>
    <w:rsid w:val="00EF017E"/>
    <w:rsid w:val="00EF123C"/>
    <w:rsid w:val="00EF1A9D"/>
    <w:rsid w:val="00EF6623"/>
    <w:rsid w:val="00F02DC1"/>
    <w:rsid w:val="00F03F63"/>
    <w:rsid w:val="00F043E4"/>
    <w:rsid w:val="00F07552"/>
    <w:rsid w:val="00F11B8C"/>
    <w:rsid w:val="00F11BBF"/>
    <w:rsid w:val="00F133DC"/>
    <w:rsid w:val="00F14993"/>
    <w:rsid w:val="00F153F4"/>
    <w:rsid w:val="00F162F1"/>
    <w:rsid w:val="00F16886"/>
    <w:rsid w:val="00F20F79"/>
    <w:rsid w:val="00F21BDE"/>
    <w:rsid w:val="00F22FB9"/>
    <w:rsid w:val="00F24085"/>
    <w:rsid w:val="00F257E4"/>
    <w:rsid w:val="00F278DC"/>
    <w:rsid w:val="00F326CA"/>
    <w:rsid w:val="00F34E12"/>
    <w:rsid w:val="00F34F7E"/>
    <w:rsid w:val="00F3539F"/>
    <w:rsid w:val="00F35BE2"/>
    <w:rsid w:val="00F41547"/>
    <w:rsid w:val="00F4225B"/>
    <w:rsid w:val="00F429D3"/>
    <w:rsid w:val="00F43731"/>
    <w:rsid w:val="00F443F2"/>
    <w:rsid w:val="00F52D7D"/>
    <w:rsid w:val="00F53586"/>
    <w:rsid w:val="00F5423A"/>
    <w:rsid w:val="00F55C70"/>
    <w:rsid w:val="00F56F59"/>
    <w:rsid w:val="00F64A1F"/>
    <w:rsid w:val="00F64B98"/>
    <w:rsid w:val="00F65648"/>
    <w:rsid w:val="00F720AB"/>
    <w:rsid w:val="00F843AF"/>
    <w:rsid w:val="00F85EA7"/>
    <w:rsid w:val="00F85ECF"/>
    <w:rsid w:val="00F8673E"/>
    <w:rsid w:val="00F8774E"/>
    <w:rsid w:val="00F87A6D"/>
    <w:rsid w:val="00F966A2"/>
    <w:rsid w:val="00F97D92"/>
    <w:rsid w:val="00FA2ECC"/>
    <w:rsid w:val="00FA4D4A"/>
    <w:rsid w:val="00FA67FD"/>
    <w:rsid w:val="00FB0770"/>
    <w:rsid w:val="00FB0A48"/>
    <w:rsid w:val="00FB0FF1"/>
    <w:rsid w:val="00FB2D12"/>
    <w:rsid w:val="00FB641F"/>
    <w:rsid w:val="00FB78DE"/>
    <w:rsid w:val="00FC2314"/>
    <w:rsid w:val="00FC3334"/>
    <w:rsid w:val="00FC627C"/>
    <w:rsid w:val="00FD0B32"/>
    <w:rsid w:val="00FD2956"/>
    <w:rsid w:val="00FD5356"/>
    <w:rsid w:val="00FD711E"/>
    <w:rsid w:val="00FD75B3"/>
    <w:rsid w:val="00FE1AAA"/>
    <w:rsid w:val="00FE4B7E"/>
    <w:rsid w:val="00FE57DB"/>
    <w:rsid w:val="00FF19DC"/>
    <w:rsid w:val="00FF3149"/>
    <w:rsid w:val="00FF6001"/>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234">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60243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25">
          <w:marLeft w:val="0"/>
          <w:marRight w:val="0"/>
          <w:marTop w:val="0"/>
          <w:marBottom w:val="0"/>
          <w:divBdr>
            <w:top w:val="none" w:sz="0" w:space="0" w:color="auto"/>
            <w:left w:val="none" w:sz="0" w:space="0" w:color="auto"/>
            <w:bottom w:val="none" w:sz="0" w:space="0" w:color="auto"/>
            <w:right w:val="none" w:sz="0" w:space="0" w:color="auto"/>
          </w:divBdr>
          <w:divsChild>
            <w:div w:id="1375083488">
              <w:marLeft w:val="0"/>
              <w:marRight w:val="0"/>
              <w:marTop w:val="0"/>
              <w:marBottom w:val="0"/>
              <w:divBdr>
                <w:top w:val="none" w:sz="0" w:space="0" w:color="auto"/>
                <w:left w:val="none" w:sz="0" w:space="0" w:color="auto"/>
                <w:bottom w:val="none" w:sz="0" w:space="0" w:color="auto"/>
                <w:right w:val="none" w:sz="0" w:space="0" w:color="auto"/>
              </w:divBdr>
              <w:divsChild>
                <w:div w:id="167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3889">
      <w:bodyDiv w:val="1"/>
      <w:marLeft w:val="0"/>
      <w:marRight w:val="0"/>
      <w:marTop w:val="0"/>
      <w:marBottom w:val="0"/>
      <w:divBdr>
        <w:top w:val="none" w:sz="0" w:space="0" w:color="auto"/>
        <w:left w:val="none" w:sz="0" w:space="0" w:color="auto"/>
        <w:bottom w:val="none" w:sz="0" w:space="0" w:color="auto"/>
        <w:right w:val="none" w:sz="0" w:space="0" w:color="auto"/>
      </w:divBdr>
      <w:divsChild>
        <w:div w:id="132915962">
          <w:marLeft w:val="0"/>
          <w:marRight w:val="0"/>
          <w:marTop w:val="0"/>
          <w:marBottom w:val="0"/>
          <w:divBdr>
            <w:top w:val="none" w:sz="0" w:space="0" w:color="auto"/>
            <w:left w:val="none" w:sz="0" w:space="0" w:color="auto"/>
            <w:bottom w:val="none" w:sz="0" w:space="0" w:color="auto"/>
            <w:right w:val="none" w:sz="0" w:space="0" w:color="auto"/>
          </w:divBdr>
          <w:divsChild>
            <w:div w:id="769666625">
              <w:marLeft w:val="0"/>
              <w:marRight w:val="0"/>
              <w:marTop w:val="0"/>
              <w:marBottom w:val="0"/>
              <w:divBdr>
                <w:top w:val="none" w:sz="0" w:space="0" w:color="auto"/>
                <w:left w:val="none" w:sz="0" w:space="0" w:color="auto"/>
                <w:bottom w:val="none" w:sz="0" w:space="0" w:color="auto"/>
                <w:right w:val="none" w:sz="0" w:space="0" w:color="auto"/>
              </w:divBdr>
              <w:divsChild>
                <w:div w:id="10098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8</cp:revision>
  <cp:lastPrinted>2022-11-19T18:18:00Z</cp:lastPrinted>
  <dcterms:created xsi:type="dcterms:W3CDTF">2022-11-19T18:18:00Z</dcterms:created>
  <dcterms:modified xsi:type="dcterms:W3CDTF">2022-11-19T18:27:00Z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id="aTiOJ5dE"/&gt;&lt;style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