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585F" w14:textId="5E9BF023" w:rsidR="005036BB" w:rsidRDefault="00712A06">
      <w:pPr>
        <w:rPr>
          <w:rFonts w:ascii="Tahoma" w:hAnsi="Tahoma" w:cs="Tahoma"/>
        </w:rPr>
      </w:pPr>
      <w:r w:rsidRPr="007A7E61">
        <w:rPr>
          <w:rFonts w:ascii="Tahoma" w:hAnsi="Tahoma" w:cs="Tahoma"/>
        </w:rPr>
        <w:t xml:space="preserve">Similar to bone </w:t>
      </w:r>
      <w:r w:rsidR="00F10FCB" w:rsidRPr="007A7E61">
        <w:rPr>
          <w:rFonts w:ascii="Tahoma" w:hAnsi="Tahoma" w:cs="Tahoma"/>
        </w:rPr>
        <w:t>graft, treatment</w:t>
      </w:r>
      <w:r w:rsidRPr="007A7E61">
        <w:rPr>
          <w:rFonts w:ascii="Tahoma" w:hAnsi="Tahoma" w:cs="Tahoma"/>
        </w:rPr>
        <w:t xml:space="preserve"> of skin wounds includes the use of autografts, allografts (usually taken from cadavers), or xenografts.</w:t>
      </w:r>
      <w:r w:rsidR="00064366" w:rsidRPr="007A7E61">
        <w:rPr>
          <w:rFonts w:ascii="Tahoma" w:hAnsi="Tahoma" w:cs="Tahoma"/>
        </w:rPr>
        <w:t xml:space="preserve"> Autografts like in bone graft is the gold standard due to its low risk of rejection.</w:t>
      </w:r>
      <w:r w:rsidR="004A07E9" w:rsidRPr="007A7E61">
        <w:rPr>
          <w:rFonts w:ascii="Tahoma" w:hAnsi="Tahoma" w:cs="Tahoma"/>
        </w:rPr>
        <w:t xml:space="preserve"> </w:t>
      </w:r>
      <w:r w:rsidR="000B5828">
        <w:rPr>
          <w:rFonts w:ascii="Tahoma" w:hAnsi="Tahoma" w:cs="Tahoma"/>
        </w:rPr>
        <w:t xml:space="preserve">Dermal skin substitutes are often made of biomaterials without any incorporated cell (acellular grafts), </w:t>
      </w:r>
      <w:r w:rsidR="004D1C96">
        <w:rPr>
          <w:rFonts w:ascii="Tahoma" w:hAnsi="Tahoma" w:cs="Tahoma"/>
        </w:rPr>
        <w:t>these scaffolds</w:t>
      </w:r>
      <w:r w:rsidR="000B5828">
        <w:rPr>
          <w:rFonts w:ascii="Tahoma" w:hAnsi="Tahoma" w:cs="Tahoma"/>
        </w:rPr>
        <w:t xml:space="preserve"> act primarily as a conduct for fibroblasts and endothelial cell’s migration. </w:t>
      </w:r>
      <w:r w:rsidR="00257D04">
        <w:rPr>
          <w:rFonts w:ascii="Tahoma" w:hAnsi="Tahoma" w:cs="Tahoma"/>
        </w:rPr>
        <w:t>Cellular skin substitutes are produced using fibroblasts (dermal grafts), keratinocytes (epidermal grafts), or both (dermo-epidermal grafts).</w:t>
      </w:r>
      <w:r w:rsidR="003E28D7">
        <w:rPr>
          <w:rFonts w:ascii="Tahoma" w:hAnsi="Tahoma" w:cs="Tahoma"/>
        </w:rPr>
        <w:t xml:space="preserve"> Like bone grafts, skin</w:t>
      </w:r>
      <w:r w:rsidR="008A7C15">
        <w:rPr>
          <w:rFonts w:ascii="Tahoma" w:hAnsi="Tahoma" w:cs="Tahoma"/>
        </w:rPr>
        <w:t xml:space="preserve"> s</w:t>
      </w:r>
      <w:r w:rsidR="003E28D7">
        <w:rPr>
          <w:rFonts w:ascii="Tahoma" w:hAnsi="Tahoma" w:cs="Tahoma"/>
        </w:rPr>
        <w:t>caffold</w:t>
      </w:r>
      <w:r w:rsidR="008A7C15">
        <w:rPr>
          <w:rFonts w:ascii="Tahoma" w:hAnsi="Tahoma" w:cs="Tahoma"/>
        </w:rPr>
        <w:t>s</w:t>
      </w:r>
      <w:r w:rsidR="003E28D7">
        <w:rPr>
          <w:rFonts w:ascii="Tahoma" w:hAnsi="Tahoma" w:cs="Tahoma"/>
        </w:rPr>
        <w:t xml:space="preserve"> are m</w:t>
      </w:r>
      <w:r w:rsidR="002100F5">
        <w:rPr>
          <w:rFonts w:ascii="Tahoma" w:hAnsi="Tahoma" w:cs="Tahoma"/>
        </w:rPr>
        <w:t>a</w:t>
      </w:r>
      <w:r w:rsidR="003E28D7">
        <w:rPr>
          <w:rFonts w:ascii="Tahoma" w:hAnsi="Tahoma" w:cs="Tahoma"/>
        </w:rPr>
        <w:t>de of either natural polymers</w:t>
      </w:r>
      <w:r w:rsidR="00C8402F">
        <w:rPr>
          <w:rFonts w:ascii="Tahoma" w:hAnsi="Tahoma" w:cs="Tahoma"/>
        </w:rPr>
        <w:t>:</w:t>
      </w:r>
      <w:r w:rsidR="00EE431A">
        <w:rPr>
          <w:rFonts w:ascii="Tahoma" w:hAnsi="Tahoma" w:cs="Tahoma"/>
        </w:rPr>
        <w:t xml:space="preserve"> </w:t>
      </w:r>
      <w:r w:rsidR="003E28D7">
        <w:rPr>
          <w:rFonts w:ascii="Tahoma" w:hAnsi="Tahoma" w:cs="Tahoma"/>
        </w:rPr>
        <w:t xml:space="preserve">collagen, gelatin, chitosan, fibrin, </w:t>
      </w:r>
      <w:r w:rsidR="003E28D7" w:rsidRPr="003E28D7">
        <w:rPr>
          <w:rFonts w:ascii="Tahoma" w:hAnsi="Tahoma" w:cs="Tahoma"/>
        </w:rPr>
        <w:t>glycosaminoglycans–GAGs</w:t>
      </w:r>
      <w:r w:rsidR="003E28D7">
        <w:rPr>
          <w:rFonts w:ascii="Tahoma" w:hAnsi="Tahoma" w:cs="Tahoma"/>
        </w:rPr>
        <w:t>, and HA</w:t>
      </w:r>
      <w:r w:rsidR="00EE431A">
        <w:rPr>
          <w:rFonts w:ascii="Tahoma" w:hAnsi="Tahoma" w:cs="Tahoma"/>
        </w:rPr>
        <w:t>;</w:t>
      </w:r>
      <w:r w:rsidR="003E28D7">
        <w:rPr>
          <w:rFonts w:ascii="Tahoma" w:hAnsi="Tahoma" w:cs="Tahoma"/>
        </w:rPr>
        <w:t xml:space="preserve"> or synthetic polymers</w:t>
      </w:r>
      <w:r w:rsidR="00C8402F">
        <w:rPr>
          <w:rFonts w:ascii="Tahoma" w:hAnsi="Tahoma" w:cs="Tahoma"/>
        </w:rPr>
        <w:t>:</w:t>
      </w:r>
      <w:r w:rsidR="003E28D7">
        <w:rPr>
          <w:rFonts w:ascii="Tahoma" w:hAnsi="Tahoma" w:cs="Tahoma"/>
        </w:rPr>
        <w:t xml:space="preserve"> PEG, PLGA</w:t>
      </w:r>
      <w:r w:rsidR="00B048BC">
        <w:rPr>
          <w:rFonts w:ascii="Tahoma" w:hAnsi="Tahoma" w:cs="Tahoma"/>
        </w:rPr>
        <w:t xml:space="preserve">, PLACL. </w:t>
      </w:r>
      <w:r w:rsidR="00491B2D">
        <w:rPr>
          <w:rFonts w:ascii="Tahoma" w:hAnsi="Tahoma" w:cs="Tahoma"/>
        </w:rPr>
        <w:t xml:space="preserve">Like </w:t>
      </w:r>
      <w:r w:rsidR="00B048BC">
        <w:rPr>
          <w:rFonts w:ascii="Tahoma" w:hAnsi="Tahoma" w:cs="Tahoma"/>
        </w:rPr>
        <w:t xml:space="preserve">bone composites, synthetic polymers </w:t>
      </w:r>
      <w:r w:rsidR="00384621">
        <w:rPr>
          <w:rFonts w:ascii="Tahoma" w:hAnsi="Tahoma" w:cs="Tahoma"/>
        </w:rPr>
        <w:t>can be</w:t>
      </w:r>
      <w:r w:rsidR="00B048BC">
        <w:rPr>
          <w:rFonts w:ascii="Tahoma" w:hAnsi="Tahoma" w:cs="Tahoma"/>
        </w:rPr>
        <w:t xml:space="preserve"> combined with natural</w:t>
      </w:r>
      <w:r w:rsidR="008A7C15">
        <w:rPr>
          <w:rFonts w:ascii="Tahoma" w:hAnsi="Tahoma" w:cs="Tahoma"/>
        </w:rPr>
        <w:t xml:space="preserve"> polymers</w:t>
      </w:r>
      <w:r w:rsidR="00B048BC">
        <w:rPr>
          <w:rFonts w:ascii="Tahoma" w:hAnsi="Tahoma" w:cs="Tahoma"/>
        </w:rPr>
        <w:t xml:space="preserve"> to produce bio-functional composite materials with desired mechanical properties and high biocompatibility.</w:t>
      </w:r>
      <w:r w:rsidR="00B275E2">
        <w:rPr>
          <w:rFonts w:ascii="Tahoma" w:hAnsi="Tahoma" w:cs="Tahoma"/>
        </w:rPr>
        <w:t xml:space="preserve"> </w:t>
      </w:r>
      <w:r w:rsidR="00F063D0">
        <w:rPr>
          <w:rFonts w:ascii="Tahoma" w:hAnsi="Tahoma" w:cs="Tahoma"/>
        </w:rPr>
        <w:t xml:space="preserve">Chronic wounds are characterized by the presence of persistent infections. </w:t>
      </w:r>
      <w:r w:rsidR="002C13C6">
        <w:rPr>
          <w:rFonts w:ascii="Tahoma" w:hAnsi="Tahoma" w:cs="Tahoma"/>
        </w:rPr>
        <w:t xml:space="preserve">Artificial skin grafts have been made of polymer matrix reinforced with antimicrobial </w:t>
      </w:r>
      <w:r w:rsidR="0065063D">
        <w:rPr>
          <w:rFonts w:ascii="Tahoma" w:hAnsi="Tahoma" w:cs="Tahoma"/>
        </w:rPr>
        <w:t>nanoparticle.</w:t>
      </w:r>
      <w:r w:rsidR="00F063D0">
        <w:rPr>
          <w:rFonts w:ascii="Tahoma" w:hAnsi="Tahoma" w:cs="Tahoma"/>
        </w:rPr>
        <w:t xml:space="preserve"> </w:t>
      </w:r>
      <w:r w:rsidR="00B275E2">
        <w:rPr>
          <w:rFonts w:ascii="Tahoma" w:hAnsi="Tahoma" w:cs="Tahoma"/>
        </w:rPr>
        <w:t xml:space="preserve">Adjustments to the </w:t>
      </w:r>
      <w:r w:rsidR="00F66672">
        <w:rPr>
          <w:rFonts w:ascii="Tahoma" w:hAnsi="Tahoma" w:cs="Tahoma"/>
        </w:rPr>
        <w:t xml:space="preserve">scaffold </w:t>
      </w:r>
      <w:r w:rsidR="00B275E2">
        <w:rPr>
          <w:rFonts w:ascii="Tahoma" w:hAnsi="Tahoma" w:cs="Tahoma"/>
        </w:rPr>
        <w:t xml:space="preserve">pore size, shape and interconnectivity are made to </w:t>
      </w:r>
      <w:r w:rsidR="00CB2C4C">
        <w:rPr>
          <w:rFonts w:ascii="Tahoma" w:hAnsi="Tahoma" w:cs="Tahoma"/>
        </w:rPr>
        <w:t>mediate</w:t>
      </w:r>
      <w:r w:rsidR="00B275E2">
        <w:rPr>
          <w:rFonts w:ascii="Tahoma" w:hAnsi="Tahoma" w:cs="Tahoma"/>
        </w:rPr>
        <w:t xml:space="preserve"> their angiogenic tissue response, </w:t>
      </w:r>
      <w:r w:rsidR="00A2582F">
        <w:rPr>
          <w:rFonts w:ascii="Tahoma" w:hAnsi="Tahoma" w:cs="Tahoma"/>
        </w:rPr>
        <w:t>and</w:t>
      </w:r>
      <w:r w:rsidR="004605EC">
        <w:rPr>
          <w:rFonts w:ascii="Tahoma" w:hAnsi="Tahoma" w:cs="Tahoma"/>
        </w:rPr>
        <w:t xml:space="preserve"> to influence</w:t>
      </w:r>
      <w:r w:rsidR="00A2582F">
        <w:rPr>
          <w:rFonts w:ascii="Tahoma" w:hAnsi="Tahoma" w:cs="Tahoma"/>
        </w:rPr>
        <w:t xml:space="preserve"> </w:t>
      </w:r>
      <w:r w:rsidR="00B275E2">
        <w:rPr>
          <w:rFonts w:ascii="Tahoma" w:hAnsi="Tahoma" w:cs="Tahoma"/>
        </w:rPr>
        <w:t>cell differentiation and propagation.</w:t>
      </w:r>
      <w:r w:rsidR="0065063D">
        <w:rPr>
          <w:rFonts w:ascii="Tahoma" w:hAnsi="Tahoma" w:cs="Tahoma"/>
        </w:rPr>
        <w:t xml:space="preserve"> </w:t>
      </w:r>
      <w:r w:rsidR="00A2582F">
        <w:rPr>
          <w:rFonts w:ascii="Tahoma" w:hAnsi="Tahoma" w:cs="Tahoma"/>
        </w:rPr>
        <w:t xml:space="preserve">Vascularization is critical in skin graft and bone </w:t>
      </w:r>
      <w:r w:rsidR="008E0F89">
        <w:rPr>
          <w:rFonts w:ascii="Tahoma" w:hAnsi="Tahoma" w:cs="Tahoma"/>
        </w:rPr>
        <w:t>repair</w:t>
      </w:r>
      <w:r w:rsidR="00DF71F8">
        <w:rPr>
          <w:rFonts w:ascii="Tahoma" w:hAnsi="Tahoma" w:cs="Tahoma"/>
        </w:rPr>
        <w:t xml:space="preserve"> </w:t>
      </w:r>
      <w:r w:rsidR="00A2582F">
        <w:rPr>
          <w:rFonts w:ascii="Tahoma" w:hAnsi="Tahoma" w:cs="Tahoma"/>
        </w:rPr>
        <w:fldChar w:fldCharType="begin"/>
      </w:r>
      <w:r w:rsidR="00A2582F">
        <w:rPr>
          <w:rFonts w:ascii="Tahoma" w:hAnsi="Tahoma" w:cs="Tahoma"/>
        </w:rPr>
        <w:instrText xml:space="preserve"> ADDIN ZOTERO_ITEM CSL_CITATION {"citationID":"N5w03VtB","properties":{"formattedCitation":"(Mercado-Pag\\uc0\\u225{}n et al.)","plainCitation":"(Mercado-Pagán et al.)","noteIndex":0},"citationItems":[{"id":5528,"uris":["http://zotero.org/users/7286058/items/TYNMRNJW"],"itemData":{"id":5528,"type":"article-journal","abstract":"Vascularization of large bone grafts is one of the main challenges of bone tissue engineering (BTE), and has held back the clinical translation of engineered bone constructs for two decades so far. The ultimate goal of vascularized BTE constructs is to provide a bone environment rich in functional vascular networks to achieve efficient osseointegration and accelerate restoration of function after implantation. To attain both structural and vascular integration of the grafts, a large number of biomaterials, cells, and biological cues have been evaluated. This review will present biological considerations for bone function restoration, contemporary approaches for clinical salvage of large bone defects and their limitations, state-of-the-art research on the development of vascularized bone constructs, and perspectives on evaluating and implementing novel BTE grafts in clinical practice. Success will depend on achieving full graft integration at multiple hierarchical levels, both between the individual graft components as well as between the implanted constructs and their surrounding host tissues. The paradigm of vascularized tissue constructs could not only revolutionize the progress of bone tissue engineering, but could also be readily applied to other fields in regenerative medicine for the development of new innovative vascularized tissue designs.","container-title":"Annals of biomedical engineering","DOI":"10.1007/s10439-015-1253-3","ISSN":"0090-6964","issue":"3","journalAbbreviation":"Ann Biomed Eng","note":"PMID: 25616591\nPMCID: PMC4979539","page":"718-729","source":"PubMed Central","title":"Vascularization in bone tissue engineering constructs","URL":"https://www.ncbi.nlm.nih.gov/pmc/articles/PMC4979539/","volume":"43","author":[{"family":"Mercado-Pagán","given":"Ángel E."},{"family":"Stahl","given":"Alexander M."},{"family":"Shanjani","given":"Yaser"},{"family":"Yang","given":"Yunzhi"}],"accessed":{"date-parts":[["2022",11,18]]},"issued":{"date-parts":[["2015",3]]}}}],"schema":"https://github.com/citation-style-language/schema/raw/master/csl-citation.json"} </w:instrText>
      </w:r>
      <w:r w:rsidR="00A2582F">
        <w:rPr>
          <w:rFonts w:ascii="Tahoma" w:hAnsi="Tahoma" w:cs="Tahoma"/>
        </w:rPr>
        <w:fldChar w:fldCharType="separate"/>
      </w:r>
      <w:r w:rsidR="00A2582F" w:rsidRPr="00A2582F">
        <w:rPr>
          <w:rFonts w:ascii="Tahoma" w:hAnsi="Tahoma" w:cs="Tahoma"/>
        </w:rPr>
        <w:t>(Mercado-Pagán et al.)</w:t>
      </w:r>
      <w:r w:rsidR="00A2582F">
        <w:rPr>
          <w:rFonts w:ascii="Tahoma" w:hAnsi="Tahoma" w:cs="Tahoma"/>
        </w:rPr>
        <w:fldChar w:fldCharType="end"/>
      </w:r>
      <w:r w:rsidR="00B664B9">
        <w:rPr>
          <w:rFonts w:ascii="Tahoma" w:hAnsi="Tahoma" w:cs="Tahoma"/>
        </w:rPr>
        <w:t xml:space="preserve"> to supply oxygen, promote heal</w:t>
      </w:r>
      <w:r w:rsidR="00143114">
        <w:rPr>
          <w:rFonts w:ascii="Tahoma" w:hAnsi="Tahoma" w:cs="Tahoma"/>
        </w:rPr>
        <w:t>i</w:t>
      </w:r>
      <w:r w:rsidR="00B664B9">
        <w:rPr>
          <w:rFonts w:ascii="Tahoma" w:hAnsi="Tahoma" w:cs="Tahoma"/>
        </w:rPr>
        <w:t>ng</w:t>
      </w:r>
      <w:r w:rsidR="00143114">
        <w:rPr>
          <w:rFonts w:ascii="Tahoma" w:hAnsi="Tahoma" w:cs="Tahoma"/>
        </w:rPr>
        <w:t xml:space="preserve">, </w:t>
      </w:r>
      <w:r w:rsidR="00B664B9">
        <w:rPr>
          <w:rFonts w:ascii="Tahoma" w:hAnsi="Tahoma" w:cs="Tahoma"/>
        </w:rPr>
        <w:t xml:space="preserve">prevent infection, and sloughing of the implant and sepsis </w:t>
      </w:r>
      <w:r w:rsidR="00A2582F">
        <w:rPr>
          <w:rFonts w:ascii="Tahoma" w:hAnsi="Tahoma" w:cs="Tahoma"/>
        </w:rPr>
        <w:t>.</w:t>
      </w:r>
      <w:r w:rsidR="005036BB">
        <w:rPr>
          <w:rFonts w:ascii="Tahoma" w:hAnsi="Tahoma" w:cs="Tahoma"/>
        </w:rPr>
        <w:t xml:space="preserve"> Angiogenic growth factors could be incorporated to improve angiogenesis </w:t>
      </w:r>
      <w:r w:rsidR="006C475C">
        <w:rPr>
          <w:rFonts w:ascii="Tahoma" w:hAnsi="Tahoma" w:cs="Tahoma"/>
        </w:rPr>
        <w:t>such as</w:t>
      </w:r>
      <w:r w:rsidR="005036BB">
        <w:rPr>
          <w:rFonts w:ascii="Tahoma" w:hAnsi="Tahoma" w:cs="Tahoma"/>
        </w:rPr>
        <w:t xml:space="preserve"> PDGF, VEGF or fibroblast growth factor (</w:t>
      </w:r>
      <w:proofErr w:type="spellStart"/>
      <w:r w:rsidR="005036BB">
        <w:rPr>
          <w:rFonts w:ascii="Tahoma" w:hAnsi="Tahoma" w:cs="Tahoma"/>
        </w:rPr>
        <w:t>bFGF</w:t>
      </w:r>
      <w:proofErr w:type="spellEnd"/>
      <w:r w:rsidR="005036BB">
        <w:rPr>
          <w:rFonts w:ascii="Tahoma" w:hAnsi="Tahoma" w:cs="Tahoma"/>
        </w:rPr>
        <w:t>).</w:t>
      </w:r>
      <w:r w:rsidR="00D92269">
        <w:rPr>
          <w:rFonts w:ascii="Tahoma" w:hAnsi="Tahoma" w:cs="Tahoma"/>
        </w:rPr>
        <w:t xml:space="preserve"> HUVECS combined with fibroblasts, keratinocytes in a collagen matrix, </w:t>
      </w:r>
      <w:r w:rsidR="00396B5E">
        <w:rPr>
          <w:rFonts w:ascii="Tahoma" w:hAnsi="Tahoma" w:cs="Tahoma"/>
        </w:rPr>
        <w:t xml:space="preserve">in-vitro </w:t>
      </w:r>
      <w:r w:rsidR="00D92269">
        <w:rPr>
          <w:rFonts w:ascii="Tahoma" w:hAnsi="Tahoma" w:cs="Tahoma"/>
        </w:rPr>
        <w:t>developed</w:t>
      </w:r>
      <w:r w:rsidR="00396B5E">
        <w:rPr>
          <w:rFonts w:ascii="Tahoma" w:hAnsi="Tahoma" w:cs="Tahoma"/>
        </w:rPr>
        <w:t xml:space="preserve"> </w:t>
      </w:r>
      <w:r w:rsidR="00D92269">
        <w:rPr>
          <w:rFonts w:ascii="Tahoma" w:hAnsi="Tahoma" w:cs="Tahoma"/>
        </w:rPr>
        <w:t>into a vascular networ</w:t>
      </w:r>
      <w:r w:rsidR="00EE4D2A">
        <w:rPr>
          <w:rFonts w:ascii="Tahoma" w:hAnsi="Tahoma" w:cs="Tahoma"/>
        </w:rPr>
        <w:t>k (similar result was obtained with HUVECS + collagen I + fibronectin + Bcl-2)</w:t>
      </w:r>
      <w:r w:rsidR="00D92269">
        <w:rPr>
          <w:rFonts w:ascii="Tahoma" w:hAnsi="Tahoma" w:cs="Tahoma"/>
        </w:rPr>
        <w:t>.</w:t>
      </w:r>
      <w:r w:rsidR="00FE21CD">
        <w:rPr>
          <w:rFonts w:ascii="Tahoma" w:hAnsi="Tahoma" w:cs="Tahoma"/>
        </w:rPr>
        <w:t xml:space="preserve"> Using the same design in bone tissue engineering, </w:t>
      </w:r>
      <w:r w:rsidR="00C04D4F">
        <w:rPr>
          <w:rFonts w:ascii="Tahoma" w:hAnsi="Tahoma" w:cs="Tahoma"/>
        </w:rPr>
        <w:t xml:space="preserve">a </w:t>
      </w:r>
      <w:r w:rsidR="00FE21CD">
        <w:rPr>
          <w:rFonts w:ascii="Tahoma" w:hAnsi="Tahoma" w:cs="Tahoma"/>
        </w:rPr>
        <w:t xml:space="preserve">PLGA and </w:t>
      </w:r>
      <w:r w:rsidR="00DC7B9F">
        <w:rPr>
          <w:rFonts w:ascii="Tahoma" w:hAnsi="Tahoma" w:cs="Tahoma"/>
        </w:rPr>
        <w:t>alginate-based</w:t>
      </w:r>
      <w:r w:rsidR="00FE21CD">
        <w:rPr>
          <w:rFonts w:ascii="Tahoma" w:hAnsi="Tahoma" w:cs="Tahoma"/>
        </w:rPr>
        <w:t xml:space="preserve"> microsphere scaffold significantly improved angiogenic response when loaded with GF</w:t>
      </w:r>
      <w:r w:rsidR="00DF5151">
        <w:rPr>
          <w:rFonts w:ascii="Tahoma" w:hAnsi="Tahoma" w:cs="Tahoma"/>
        </w:rPr>
        <w:t>s</w:t>
      </w:r>
      <w:r w:rsidR="00FE21CD">
        <w:rPr>
          <w:rFonts w:ascii="Tahoma" w:hAnsi="Tahoma" w:cs="Tahoma"/>
        </w:rPr>
        <w:t>.</w:t>
      </w:r>
      <w:r w:rsidR="000E0E5F">
        <w:rPr>
          <w:rFonts w:ascii="Tahoma" w:hAnsi="Tahoma" w:cs="Tahoma"/>
        </w:rPr>
        <w:t xml:space="preserve"> In the long term, 3D bio-printing which allows for patient-customized and on-demand of skin substitutes with either </w:t>
      </w:r>
      <w:r w:rsidR="001578CB">
        <w:rPr>
          <w:rFonts w:ascii="Tahoma" w:hAnsi="Tahoma" w:cs="Tahoma"/>
        </w:rPr>
        <w:t xml:space="preserve">incorporated </w:t>
      </w:r>
      <w:r w:rsidR="000E0E5F">
        <w:rPr>
          <w:rFonts w:ascii="Tahoma" w:hAnsi="Tahoma" w:cs="Tahoma"/>
        </w:rPr>
        <w:t xml:space="preserve">autologous or allogeneic </w:t>
      </w:r>
      <w:r w:rsidR="001578CB">
        <w:rPr>
          <w:rFonts w:ascii="Tahoma" w:hAnsi="Tahoma" w:cs="Tahoma"/>
        </w:rPr>
        <w:t xml:space="preserve">stem </w:t>
      </w:r>
      <w:r w:rsidR="000E0E5F">
        <w:rPr>
          <w:rFonts w:ascii="Tahoma" w:hAnsi="Tahoma" w:cs="Tahoma"/>
        </w:rPr>
        <w:t>cells</w:t>
      </w:r>
      <w:r w:rsidR="00D6245D">
        <w:rPr>
          <w:rFonts w:ascii="Tahoma" w:hAnsi="Tahoma" w:cs="Tahoma"/>
        </w:rPr>
        <w:t>,</w:t>
      </w:r>
      <w:r w:rsidR="001578CB">
        <w:rPr>
          <w:rFonts w:ascii="Tahoma" w:hAnsi="Tahoma" w:cs="Tahoma"/>
        </w:rPr>
        <w:t xml:space="preserve"> </w:t>
      </w:r>
      <w:r w:rsidR="000E0E5F">
        <w:rPr>
          <w:rFonts w:ascii="Tahoma" w:hAnsi="Tahoma" w:cs="Tahoma"/>
        </w:rPr>
        <w:t xml:space="preserve">could play </w:t>
      </w:r>
      <w:r w:rsidR="00D6245D">
        <w:rPr>
          <w:rFonts w:ascii="Tahoma" w:hAnsi="Tahoma" w:cs="Tahoma"/>
        </w:rPr>
        <w:t>a</w:t>
      </w:r>
      <w:r w:rsidR="000E0E5F">
        <w:rPr>
          <w:rFonts w:ascii="Tahoma" w:hAnsi="Tahoma" w:cs="Tahoma"/>
        </w:rPr>
        <w:t xml:space="preserve">n important role in skin </w:t>
      </w:r>
      <w:r w:rsidR="000E2E72">
        <w:rPr>
          <w:rFonts w:ascii="Tahoma" w:hAnsi="Tahoma" w:cs="Tahoma"/>
        </w:rPr>
        <w:t>tissue engineering</w:t>
      </w:r>
      <w:r w:rsidR="000E0E5F">
        <w:rPr>
          <w:rFonts w:ascii="Tahoma" w:hAnsi="Tahoma" w:cs="Tahoma"/>
        </w:rPr>
        <w:t>.</w:t>
      </w:r>
    </w:p>
    <w:p w14:paraId="501B0683" w14:textId="480731B8" w:rsidR="006D1E51" w:rsidRDefault="006D1E51">
      <w:pPr>
        <w:rPr>
          <w:rFonts w:ascii="Tahoma" w:hAnsi="Tahoma" w:cs="Tahoma"/>
        </w:rPr>
      </w:pPr>
    </w:p>
    <w:p w14:paraId="4984A963" w14:textId="77777777" w:rsidR="00EF32BB" w:rsidRPr="00EF32BB" w:rsidRDefault="00EF32BB" w:rsidP="00EF32BB">
      <w:pPr>
        <w:pStyle w:val="Bibliography"/>
        <w:rPr>
          <w:rFonts w:ascii="Tahoma" w:hAnsi="Tahoma" w:cs="Tahoma"/>
        </w:rPr>
      </w:pPr>
      <w:r>
        <w:rPr>
          <w:rFonts w:ascii="Tahoma" w:hAnsi="Tahoma" w:cs="Tahoma"/>
        </w:rPr>
        <w:fldChar w:fldCharType="begin"/>
      </w:r>
      <w:r>
        <w:rPr>
          <w:rFonts w:ascii="Tahoma" w:hAnsi="Tahoma" w:cs="Tahoma"/>
        </w:rPr>
        <w:instrText xml:space="preserve"> ADDIN ZOTERO_BIBL {"uncited":[],"omitted":[],"custom":[]} CSL_BIBLIOGRAPHY </w:instrText>
      </w:r>
      <w:r>
        <w:rPr>
          <w:rFonts w:ascii="Tahoma" w:hAnsi="Tahoma" w:cs="Tahoma"/>
        </w:rPr>
        <w:fldChar w:fldCharType="separate"/>
      </w:r>
      <w:r w:rsidRPr="00EF32BB">
        <w:rPr>
          <w:rFonts w:ascii="Tahoma" w:hAnsi="Tahoma" w:cs="Tahoma"/>
        </w:rPr>
        <w:t>Mercado-</w:t>
      </w:r>
      <w:proofErr w:type="spellStart"/>
      <w:r w:rsidRPr="00EF32BB">
        <w:rPr>
          <w:rFonts w:ascii="Tahoma" w:hAnsi="Tahoma" w:cs="Tahoma"/>
        </w:rPr>
        <w:t>Pagán</w:t>
      </w:r>
      <w:proofErr w:type="spellEnd"/>
      <w:r w:rsidRPr="00EF32BB">
        <w:rPr>
          <w:rFonts w:ascii="Tahoma" w:hAnsi="Tahoma" w:cs="Tahoma"/>
        </w:rPr>
        <w:t xml:space="preserve">, </w:t>
      </w:r>
      <w:proofErr w:type="spellStart"/>
      <w:r w:rsidRPr="00EF32BB">
        <w:rPr>
          <w:rFonts w:ascii="Tahoma" w:hAnsi="Tahoma" w:cs="Tahoma"/>
        </w:rPr>
        <w:t>Ángel</w:t>
      </w:r>
      <w:proofErr w:type="spellEnd"/>
      <w:r w:rsidRPr="00EF32BB">
        <w:rPr>
          <w:rFonts w:ascii="Tahoma" w:hAnsi="Tahoma" w:cs="Tahoma"/>
        </w:rPr>
        <w:t xml:space="preserve"> E., et al. “Vascularization in Bone Tissue Engineering Constructs.” </w:t>
      </w:r>
      <w:r w:rsidRPr="00EF32BB">
        <w:rPr>
          <w:rFonts w:ascii="Tahoma" w:hAnsi="Tahoma" w:cs="Tahoma"/>
          <w:i/>
          <w:iCs/>
        </w:rPr>
        <w:t>Annals of Biomedical Engineering</w:t>
      </w:r>
      <w:r w:rsidRPr="00EF32BB">
        <w:rPr>
          <w:rFonts w:ascii="Tahoma" w:hAnsi="Tahoma" w:cs="Tahoma"/>
        </w:rPr>
        <w:t xml:space="preserve">, vol. 43, no. 3, Mar. 2015, pp. 718–29. </w:t>
      </w:r>
      <w:r w:rsidRPr="00EF32BB">
        <w:rPr>
          <w:rFonts w:ascii="Tahoma" w:hAnsi="Tahoma" w:cs="Tahoma"/>
          <w:i/>
          <w:iCs/>
        </w:rPr>
        <w:t>PubMed Central</w:t>
      </w:r>
      <w:r w:rsidRPr="00EF32BB">
        <w:rPr>
          <w:rFonts w:ascii="Tahoma" w:hAnsi="Tahoma" w:cs="Tahoma"/>
        </w:rPr>
        <w:t>, https://doi.org/10.1007/s10439-015-1253-3.</w:t>
      </w:r>
    </w:p>
    <w:p w14:paraId="570B3A48" w14:textId="4FFFA192" w:rsidR="00396B5E" w:rsidRDefault="00EF32BB">
      <w:pPr>
        <w:rPr>
          <w:rFonts w:ascii="Tahoma" w:hAnsi="Tahoma" w:cs="Tahoma"/>
        </w:rPr>
      </w:pPr>
      <w:r>
        <w:rPr>
          <w:rFonts w:ascii="Tahoma" w:hAnsi="Tahoma" w:cs="Tahoma"/>
        </w:rPr>
        <w:fldChar w:fldCharType="end"/>
      </w:r>
    </w:p>
    <w:p w14:paraId="5DFF5966" w14:textId="281595A4" w:rsidR="00396B5E" w:rsidRDefault="00396B5E">
      <w:pPr>
        <w:rPr>
          <w:rFonts w:ascii="Tahoma" w:hAnsi="Tahoma" w:cs="Tahoma"/>
        </w:rPr>
      </w:pPr>
    </w:p>
    <w:p w14:paraId="5F1A8A85" w14:textId="1840F745" w:rsidR="00396B5E" w:rsidRDefault="00396B5E">
      <w:pPr>
        <w:rPr>
          <w:rFonts w:ascii="Tahoma" w:hAnsi="Tahoma" w:cs="Tahoma"/>
        </w:rPr>
      </w:pPr>
    </w:p>
    <w:sectPr w:rsidR="00396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72"/>
    <w:rsid w:val="000112FF"/>
    <w:rsid w:val="00064366"/>
    <w:rsid w:val="000B27AE"/>
    <w:rsid w:val="000B5828"/>
    <w:rsid w:val="000E0E5F"/>
    <w:rsid w:val="000E2E72"/>
    <w:rsid w:val="00143114"/>
    <w:rsid w:val="001578CB"/>
    <w:rsid w:val="001E6017"/>
    <w:rsid w:val="002100F5"/>
    <w:rsid w:val="00257D04"/>
    <w:rsid w:val="002C13C6"/>
    <w:rsid w:val="00384621"/>
    <w:rsid w:val="00396B5E"/>
    <w:rsid w:val="003E28D7"/>
    <w:rsid w:val="004040B1"/>
    <w:rsid w:val="004605EC"/>
    <w:rsid w:val="00484BC9"/>
    <w:rsid w:val="00491B2D"/>
    <w:rsid w:val="004A07E9"/>
    <w:rsid w:val="004D1C96"/>
    <w:rsid w:val="005036BB"/>
    <w:rsid w:val="00557B2E"/>
    <w:rsid w:val="006503BE"/>
    <w:rsid w:val="0065063D"/>
    <w:rsid w:val="00666B72"/>
    <w:rsid w:val="006C475C"/>
    <w:rsid w:val="006D1E51"/>
    <w:rsid w:val="00712A06"/>
    <w:rsid w:val="00752A04"/>
    <w:rsid w:val="007A7E61"/>
    <w:rsid w:val="008A7C15"/>
    <w:rsid w:val="008E0F89"/>
    <w:rsid w:val="00A2582F"/>
    <w:rsid w:val="00A371DC"/>
    <w:rsid w:val="00AD0CF2"/>
    <w:rsid w:val="00B048BC"/>
    <w:rsid w:val="00B275E2"/>
    <w:rsid w:val="00B63A6D"/>
    <w:rsid w:val="00B664B9"/>
    <w:rsid w:val="00C04D4F"/>
    <w:rsid w:val="00C8402F"/>
    <w:rsid w:val="00CB2C4C"/>
    <w:rsid w:val="00CE1E76"/>
    <w:rsid w:val="00D6245D"/>
    <w:rsid w:val="00D92269"/>
    <w:rsid w:val="00DB55F5"/>
    <w:rsid w:val="00DC7B9F"/>
    <w:rsid w:val="00DF5151"/>
    <w:rsid w:val="00DF71F8"/>
    <w:rsid w:val="00ED385D"/>
    <w:rsid w:val="00EE431A"/>
    <w:rsid w:val="00EE4D2A"/>
    <w:rsid w:val="00EF32BB"/>
    <w:rsid w:val="00F063D0"/>
    <w:rsid w:val="00F10FCB"/>
    <w:rsid w:val="00F66672"/>
    <w:rsid w:val="00FE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C94A2"/>
  <w15:chartTrackingRefBased/>
  <w15:docId w15:val="{990B76DB-BD2B-6340-95DE-BA7FDCC5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F32B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9</cp:revision>
  <cp:lastPrinted>2022-11-19T17:32:00Z</cp:lastPrinted>
  <dcterms:created xsi:type="dcterms:W3CDTF">2022-11-19T17:32:00Z</dcterms:created>
  <dcterms:modified xsi:type="dcterms:W3CDTF">2022-11-19T18:27:00Z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id="mztkYoWN"/&gt;&lt;style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