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1FF4" w14:textId="77777777" w:rsidR="000A0BBC" w:rsidRPr="000A0BBC" w:rsidRDefault="000A0BBC" w:rsidP="000A0BBC">
      <w:pPr>
        <w:shd w:val="clear" w:color="auto" w:fill="FFFFFF"/>
        <w:spacing w:before="180"/>
        <w:rPr>
          <w:rFonts w:ascii="Lato" w:hAnsi="Lato"/>
          <w:color w:val="2D3B45"/>
        </w:rPr>
      </w:pPr>
      <w:r w:rsidRPr="000A0BBC">
        <w:rPr>
          <w:rFonts w:ascii="Lato" w:hAnsi="Lato"/>
          <w:b/>
          <w:bCs/>
          <w:color w:val="2D3B45"/>
        </w:rPr>
        <w:t>Homeostasis</w:t>
      </w:r>
    </w:p>
    <w:p w14:paraId="44589248" w14:textId="3D0D3AF4" w:rsidR="000A0BBC" w:rsidRPr="000A0BBC" w:rsidRDefault="000A0BBC" w:rsidP="000A0BBC">
      <w:pPr>
        <w:numPr>
          <w:ilvl w:val="0"/>
          <w:numId w:val="3"/>
        </w:numPr>
        <w:shd w:val="clear" w:color="auto" w:fill="FFFFFF"/>
        <w:spacing w:before="100" w:beforeAutospacing="1" w:after="100" w:afterAutospacing="1"/>
        <w:rPr>
          <w:rFonts w:ascii="Lato" w:hAnsi="Lato"/>
          <w:color w:val="2D3B45"/>
        </w:rPr>
      </w:pPr>
      <w:r w:rsidRPr="000A0BBC">
        <w:rPr>
          <w:rFonts w:ascii="Lato" w:hAnsi="Lato"/>
          <w:color w:val="2D3B45"/>
        </w:rPr>
        <w:t xml:space="preserve">Your body is constantly trying to maintain homeostasis - maintaining cell populations and rebuilding what is wounded. The natural function of your tissues/organ keeps the body balanced on this point. You've hatched a scheme with some grad school peers to design an </w:t>
      </w:r>
      <w:r w:rsidR="006C1673" w:rsidRPr="000A0BBC">
        <w:rPr>
          <w:rFonts w:ascii="Lato" w:hAnsi="Lato"/>
          <w:color w:val="2D3B45"/>
        </w:rPr>
        <w:t>artificial</w:t>
      </w:r>
      <w:r w:rsidRPr="000A0BBC">
        <w:rPr>
          <w:rFonts w:ascii="Lato" w:hAnsi="Lato"/>
          <w:color w:val="2D3B45"/>
        </w:rPr>
        <w:t xml:space="preserve"> tissue/organ which will function in a superior or augmented way. Perhaps you design a skeletal muscle that never fatigues, a skin graft that resists </w:t>
      </w:r>
      <w:r w:rsidR="006C1673" w:rsidRPr="000A0BBC">
        <w:rPr>
          <w:rFonts w:ascii="Lato" w:hAnsi="Lato"/>
          <w:color w:val="2D3B45"/>
        </w:rPr>
        <w:t>abrasion</w:t>
      </w:r>
      <w:r w:rsidRPr="000A0BBC">
        <w:rPr>
          <w:rFonts w:ascii="Lato" w:hAnsi="Lato"/>
          <w:color w:val="2D3B45"/>
        </w:rPr>
        <w:t xml:space="preserve">, or an eye that doesn't need to blink. What do you need to consider when integrating this super-tissue with the host? Do you think the body will automatically re-adjust to </w:t>
      </w:r>
      <w:r w:rsidR="006C1673" w:rsidRPr="000A0BBC">
        <w:rPr>
          <w:rFonts w:ascii="Lato" w:hAnsi="Lato"/>
          <w:color w:val="2D3B45"/>
        </w:rPr>
        <w:t>accommodate</w:t>
      </w:r>
      <w:r w:rsidRPr="000A0BBC">
        <w:rPr>
          <w:rFonts w:ascii="Lato" w:hAnsi="Lato"/>
          <w:color w:val="2D3B45"/>
        </w:rPr>
        <w:t xml:space="preserve"> this new capacity?</w:t>
      </w:r>
    </w:p>
    <w:p w14:paraId="14F0A84E" w14:textId="77777777" w:rsidR="000A0BBC" w:rsidRPr="000A0BBC" w:rsidRDefault="000A0BBC" w:rsidP="000A0BBC">
      <w:pPr>
        <w:numPr>
          <w:ilvl w:val="0"/>
          <w:numId w:val="3"/>
        </w:numPr>
        <w:shd w:val="clear" w:color="auto" w:fill="FFFFFF"/>
        <w:spacing w:before="100" w:beforeAutospacing="1"/>
        <w:rPr>
          <w:rFonts w:ascii="Lato" w:hAnsi="Lato"/>
          <w:color w:val="2D3B45"/>
        </w:rPr>
      </w:pPr>
      <w:r w:rsidRPr="000A0BBC">
        <w:rPr>
          <w:rFonts w:ascii="Lato" w:hAnsi="Lato"/>
          <w:color w:val="2D3B45"/>
        </w:rPr>
        <w:t>Respond to at least two of your classmates.</w:t>
      </w:r>
    </w:p>
    <w:p w14:paraId="3AC6FC08" w14:textId="17F697EF" w:rsidR="00AB6E45" w:rsidRDefault="00AB6E45" w:rsidP="00F847C3"/>
    <w:p w14:paraId="60359321" w14:textId="4264447C" w:rsidR="00EF3340" w:rsidRDefault="00644FC1" w:rsidP="00F847C3">
      <w:r w:rsidRPr="00644FC1">
        <w:t>Cells and organ</w:t>
      </w:r>
      <w:r w:rsidR="0043288C">
        <w:t>s</w:t>
      </w:r>
      <w:r w:rsidRPr="00644FC1">
        <w:t xml:space="preserve"> in human body function in homeostasis, they have a specific function within a larger system </w:t>
      </w:r>
      <w:r w:rsidR="006B02C8">
        <w:t>of</w:t>
      </w:r>
      <w:r w:rsidRPr="00644FC1">
        <w:t xml:space="preserve"> our body, multiple positive and negative </w:t>
      </w:r>
      <w:r w:rsidR="006B02C8" w:rsidRPr="00644FC1">
        <w:t xml:space="preserve">feedback </w:t>
      </w:r>
      <w:r w:rsidRPr="00644FC1">
        <w:t>loop</w:t>
      </w:r>
      <w:r w:rsidR="006B02C8">
        <w:t xml:space="preserve">s exist to </w:t>
      </w:r>
      <w:r w:rsidRPr="00644FC1">
        <w:t>maintain in steady-</w:t>
      </w:r>
      <w:r>
        <w:t>s</w:t>
      </w:r>
      <w:r w:rsidRPr="00644FC1">
        <w:t>tate</w:t>
      </w:r>
      <w:r>
        <w:t xml:space="preserve"> our whole organism.</w:t>
      </w:r>
      <w:r w:rsidR="00026F7C">
        <w:t xml:space="preserve"> </w:t>
      </w:r>
      <w:r w:rsidR="006B02C8">
        <w:t>This tight control allows precise control of different function in the body</w:t>
      </w:r>
      <w:r w:rsidR="000A4381">
        <w:t xml:space="preserve">, </w:t>
      </w:r>
      <w:r w:rsidR="006B02C8">
        <w:t>for example cardiac control of the sympathetic and parasympathetic branches of the autonomic nervous system.</w:t>
      </w:r>
      <w:r w:rsidR="003E20A0">
        <w:t xml:space="preserve"> </w:t>
      </w:r>
      <w:r w:rsidR="008556F4">
        <w:t>Various processes achieve this steady-state by maintaining key variables within a range of nominal values. Tissue</w:t>
      </w:r>
      <w:r w:rsidR="0043288C">
        <w:t>s</w:t>
      </w:r>
      <w:r w:rsidR="008556F4">
        <w:t xml:space="preserve"> or organ</w:t>
      </w:r>
      <w:r w:rsidR="0043288C">
        <w:t>s</w:t>
      </w:r>
      <w:r w:rsidR="008556F4">
        <w:t xml:space="preserve"> </w:t>
      </w:r>
      <w:r w:rsidR="009E28AF">
        <w:t>with</w:t>
      </w:r>
      <w:r w:rsidR="008556F4">
        <w:t xml:space="preserve"> enhanced characteristics override th</w:t>
      </w:r>
      <w:r w:rsidR="009E28AF">
        <w:t xml:space="preserve">ese preferred values and trigger regulation </w:t>
      </w:r>
      <w:r w:rsidR="00657DCF">
        <w:t>mechanisms</w:t>
      </w:r>
      <w:r w:rsidR="000A4381">
        <w:t>.</w:t>
      </w:r>
      <w:r w:rsidR="00C12C97">
        <w:t xml:space="preserve"> In the example</w:t>
      </w:r>
      <w:r w:rsidR="000A4381">
        <w:t>s</w:t>
      </w:r>
      <w:r w:rsidR="00C12C97">
        <w:t xml:space="preserve"> given, blinking is essential for eyes lubrification and </w:t>
      </w:r>
      <w:r w:rsidR="00955366">
        <w:t xml:space="preserve">cleans the </w:t>
      </w:r>
      <w:r w:rsidR="00C12C97">
        <w:t xml:space="preserve">dust or other undesirable particles. </w:t>
      </w:r>
      <w:r w:rsidR="00A425A1">
        <w:t>Integration of a super-tissue need</w:t>
      </w:r>
      <w:r w:rsidR="00EF3340">
        <w:t>s</w:t>
      </w:r>
      <w:r w:rsidR="00A425A1">
        <w:t xml:space="preserve"> to </w:t>
      </w:r>
      <w:r w:rsidR="00EF3340">
        <w:t>consider the response of the body, designs it so it recapitulates the template tissue or designs an immunosuppressi</w:t>
      </w:r>
      <w:r w:rsidR="003E7628">
        <w:t>on</w:t>
      </w:r>
      <w:r w:rsidR="00EF3340">
        <w:t xml:space="preserve"> strategy.</w:t>
      </w:r>
    </w:p>
    <w:p w14:paraId="25F91163" w14:textId="09DDC36B" w:rsidR="00064BCC" w:rsidRDefault="00EF3340" w:rsidP="00F847C3">
      <w:r>
        <w:t xml:space="preserve">This can be done: </w:t>
      </w:r>
      <w:r w:rsidR="009C5E59">
        <w:t xml:space="preserve">total </w:t>
      </w:r>
      <w:r>
        <w:t>a</w:t>
      </w:r>
      <w:r w:rsidR="000A4381">
        <w:t xml:space="preserve">rtificial heart </w:t>
      </w:r>
      <w:r w:rsidR="009C5E59">
        <w:t>(TAH) is a</w:t>
      </w:r>
      <w:r w:rsidR="000A4381">
        <w:t xml:space="preserve"> superior heart with 79% survival rate to transplantation and </w:t>
      </w:r>
      <w:r w:rsidR="001E601F">
        <w:t>overall,</w:t>
      </w:r>
      <w:r w:rsidR="000A4381">
        <w:t xml:space="preserve"> 1 year survival of 70%</w:t>
      </w:r>
      <w:r w:rsidR="009C5E59">
        <w:t xml:space="preserve">. After implantation, anticoagulants, </w:t>
      </w:r>
      <w:r w:rsidR="001E601F">
        <w:t xml:space="preserve">antiplatelet, and rheologic products </w:t>
      </w:r>
      <w:r w:rsidR="009C5E59">
        <w:t>a</w:t>
      </w:r>
      <w:r w:rsidR="001E601F">
        <w:t>r</w:t>
      </w:r>
      <w:r w:rsidR="009C5E59">
        <w:t>e</w:t>
      </w:r>
      <w:r w:rsidR="001E601F">
        <w:t xml:space="preserve"> used to reduce thromboembolic and bleeding complications</w:t>
      </w:r>
      <w:r w:rsidR="000A4381">
        <w:t xml:space="preserve"> </w:t>
      </w:r>
      <w:r w:rsidR="000A4381">
        <w:fldChar w:fldCharType="begin"/>
      </w:r>
      <w:r w:rsidR="000A4381">
        <w:instrText xml:space="preserve"> ADDIN ZOTERO_ITEM CSL_CITATION {"citationID":"kwVIwv31","properties":{"formattedCitation":"[1]","plainCitation":"[1]","noteIndex":0},"citationItems":[{"id":3417,"uris":["http://zotero.org/users/7286058/items/PB37FDTW"],"itemData":{"id":3417,"type":"article-journal","abstract":"The total artificial heart (TAH) is a form of mechanical circulatory support in which the patient’s native ventricles and valves are explanted and replaced by a pneumatically powered artificial heart. Currently, the TAH is approved for use in end-stage biventricular heart failure as a bridge to heart transplantation. However, with an increasing global burden of cardiovascular disease and congestive heart failure, the number of patients with end-stage heart failure awaiting heart transplantation now far exceeds the number of available hearts. As a result, the use of mechanical circulatory support, including the TAH and left ventricular assist device (LVAD), is growing exponentially. The LVAD is already widely used as destination therapy, and destination therapy for the TAH is under investigation. While most patients requiring mechanical circulatory support are effectively treated with LVADs, there is a subset of patients with concurrent right ventricular failure or major structural barriers to LVAD placement in whom TAH may be more appropriate. The history, indications, surgical implantation, post device management, outcomes, complications, and future direction of the TAH are discussed in this review.","container-title":"Journal of Thoracic Disease","DOI":"10.3978/j.issn.2072-1439.2015.10.70","ISSN":"2072-1439","issue":"12","journalAbbreviation":"J Thorac Dis","note":"PMID: 26793338\nPMCID: PMC4703693","page":"2172-2180","source":"PubMed Central","title":"The total artificial heart","URL":"https://www.ncbi.nlm.nih.gov/pmc/articles/PMC4703693/","volume":"7","author":[{"family":"Cook","given":"Jason A."},{"family":"Shah","given":"Keyur B."},{"family":"Quader","given":"Mohammed A."},{"family":"Cooke","given":"Richard H."},{"family":"Kasirajan","given":"Vigneshwar"},{"family":"Rao","given":"Kris K."},{"family":"Smallfield","given":"Melissa C."},{"family":"Tchoukina","given":"Inna"},{"family":"Tang","given":"Daniel G."}],"accessed":{"date-parts":[["2022",9,25]]},"issued":{"date-parts":[["2015",12]]}}}],"schema":"https://github.com/citation-style-language/schema/raw/master/csl-citation.json"} </w:instrText>
      </w:r>
      <w:r w:rsidR="000A4381">
        <w:fldChar w:fldCharType="separate"/>
      </w:r>
      <w:r w:rsidR="000A4381">
        <w:rPr>
          <w:noProof/>
        </w:rPr>
        <w:t>[1]</w:t>
      </w:r>
      <w:r w:rsidR="000A4381">
        <w:fldChar w:fldCharType="end"/>
      </w:r>
      <w:r w:rsidR="00BE619D">
        <w:t>.</w:t>
      </w:r>
    </w:p>
    <w:p w14:paraId="28E603DE" w14:textId="77777777" w:rsidR="00F86BEB" w:rsidRDefault="00F86BEB" w:rsidP="00F847C3"/>
    <w:p w14:paraId="0DB6D047" w14:textId="77777777" w:rsidR="0043288C" w:rsidRPr="0043288C" w:rsidRDefault="0043288C" w:rsidP="0043288C">
      <w:pPr>
        <w:pStyle w:val="Bibliography"/>
      </w:pPr>
      <w:r>
        <w:fldChar w:fldCharType="begin"/>
      </w:r>
      <w:r>
        <w:instrText xml:space="preserve"> ADDIN ZOTERO_BIBL {"uncited":[],"omitted":[],"custom":[]} CSL_BIBLIOGRAPHY </w:instrText>
      </w:r>
      <w:r>
        <w:fldChar w:fldCharType="separate"/>
      </w:r>
      <w:r w:rsidRPr="0043288C">
        <w:t>[1]</w:t>
      </w:r>
      <w:r w:rsidRPr="0043288C">
        <w:tab/>
        <w:t xml:space="preserve">J. A. Cook </w:t>
      </w:r>
      <w:r w:rsidRPr="0043288C">
        <w:rPr>
          <w:i/>
          <w:iCs/>
        </w:rPr>
        <w:t>et al.</w:t>
      </w:r>
      <w:r w:rsidRPr="0043288C">
        <w:t xml:space="preserve">, “The total artificial heart,” </w:t>
      </w:r>
      <w:r w:rsidRPr="0043288C">
        <w:rPr>
          <w:i/>
          <w:iCs/>
        </w:rPr>
        <w:t xml:space="preserve">J </w:t>
      </w:r>
      <w:proofErr w:type="spellStart"/>
      <w:r w:rsidRPr="0043288C">
        <w:rPr>
          <w:i/>
          <w:iCs/>
        </w:rPr>
        <w:t>Thorac</w:t>
      </w:r>
      <w:proofErr w:type="spellEnd"/>
      <w:r w:rsidRPr="0043288C">
        <w:rPr>
          <w:i/>
          <w:iCs/>
        </w:rPr>
        <w:t xml:space="preserve"> Dis</w:t>
      </w:r>
      <w:r w:rsidRPr="0043288C">
        <w:t xml:space="preserve">, vol. 7, no. 12, pp. 2172–2180, Dec. 2015, </w:t>
      </w:r>
      <w:proofErr w:type="spellStart"/>
      <w:r w:rsidRPr="0043288C">
        <w:t>doi</w:t>
      </w:r>
      <w:proofErr w:type="spellEnd"/>
      <w:r w:rsidRPr="0043288C">
        <w:t>: 10.3978/j.issn.2072-1439.2015.10.70.</w:t>
      </w:r>
    </w:p>
    <w:p w14:paraId="3960DE5A" w14:textId="77777777" w:rsidR="0043288C" w:rsidRPr="0043288C" w:rsidRDefault="0043288C" w:rsidP="0043288C">
      <w:pPr>
        <w:pStyle w:val="Bibliography"/>
      </w:pPr>
      <w:r w:rsidRPr="0043288C">
        <w:t>[2]</w:t>
      </w:r>
      <w:r w:rsidRPr="0043288C">
        <w:tab/>
        <w:t xml:space="preserve">L. V. K. Reddy, D. </w:t>
      </w:r>
      <w:proofErr w:type="spellStart"/>
      <w:r w:rsidRPr="0043288C">
        <w:t>Murugan</w:t>
      </w:r>
      <w:proofErr w:type="spellEnd"/>
      <w:r w:rsidRPr="0043288C">
        <w:t xml:space="preserve">, M. </w:t>
      </w:r>
      <w:proofErr w:type="spellStart"/>
      <w:r w:rsidRPr="0043288C">
        <w:t>Mullick</w:t>
      </w:r>
      <w:proofErr w:type="spellEnd"/>
      <w:r w:rsidRPr="0043288C">
        <w:t xml:space="preserve">, E. T. Begum </w:t>
      </w:r>
      <w:proofErr w:type="spellStart"/>
      <w:r w:rsidRPr="0043288C">
        <w:t>Moghal</w:t>
      </w:r>
      <w:proofErr w:type="spellEnd"/>
      <w:r w:rsidRPr="0043288C">
        <w:t xml:space="preserve">, and D. Sen, “Recent Approaches for Angiogenesis in Search of Successful Tissue Engineering and Regeneration,” </w:t>
      </w:r>
      <w:proofErr w:type="spellStart"/>
      <w:r w:rsidRPr="0043288C">
        <w:rPr>
          <w:i/>
          <w:iCs/>
        </w:rPr>
        <w:t>Curr</w:t>
      </w:r>
      <w:proofErr w:type="spellEnd"/>
      <w:r w:rsidRPr="0043288C">
        <w:rPr>
          <w:i/>
          <w:iCs/>
        </w:rPr>
        <w:t xml:space="preserve"> Stem Cell Res </w:t>
      </w:r>
      <w:proofErr w:type="spellStart"/>
      <w:r w:rsidRPr="0043288C">
        <w:rPr>
          <w:i/>
          <w:iCs/>
        </w:rPr>
        <w:t>Ther</w:t>
      </w:r>
      <w:proofErr w:type="spellEnd"/>
      <w:r w:rsidRPr="0043288C">
        <w:t xml:space="preserve">, vol. 15, no. 2, pp. 111–134, 2020, </w:t>
      </w:r>
      <w:proofErr w:type="spellStart"/>
      <w:r w:rsidRPr="0043288C">
        <w:t>doi</w:t>
      </w:r>
      <w:proofErr w:type="spellEnd"/>
      <w:r w:rsidRPr="0043288C">
        <w:t>: 10.2174/1574888X14666191104151928.</w:t>
      </w:r>
    </w:p>
    <w:p w14:paraId="543F0321" w14:textId="77777777" w:rsidR="0043288C" w:rsidRPr="0043288C" w:rsidRDefault="0043288C" w:rsidP="0043288C">
      <w:pPr>
        <w:pStyle w:val="Bibliography"/>
      </w:pPr>
      <w:r w:rsidRPr="0043288C">
        <w:t>[3]</w:t>
      </w:r>
      <w:r w:rsidRPr="0043288C">
        <w:tab/>
        <w:t xml:space="preserve">J. F. </w:t>
      </w:r>
      <w:proofErr w:type="spellStart"/>
      <w:r w:rsidRPr="0043288C">
        <w:t>Eichinger</w:t>
      </w:r>
      <w:proofErr w:type="spellEnd"/>
      <w:r w:rsidRPr="0043288C">
        <w:t xml:space="preserve">, L. J. </w:t>
      </w:r>
      <w:proofErr w:type="spellStart"/>
      <w:r w:rsidRPr="0043288C">
        <w:t>Haeusel</w:t>
      </w:r>
      <w:proofErr w:type="spellEnd"/>
      <w:r w:rsidRPr="0043288C">
        <w:t xml:space="preserve">, D. </w:t>
      </w:r>
      <w:proofErr w:type="spellStart"/>
      <w:r w:rsidRPr="0043288C">
        <w:t>Paukner</w:t>
      </w:r>
      <w:proofErr w:type="spellEnd"/>
      <w:r w:rsidRPr="0043288C">
        <w:t xml:space="preserve">, R. C. Aydin, J. D. Humphrey, and C. J. </w:t>
      </w:r>
      <w:proofErr w:type="spellStart"/>
      <w:r w:rsidRPr="0043288C">
        <w:t>Cyron</w:t>
      </w:r>
      <w:proofErr w:type="spellEnd"/>
      <w:r w:rsidRPr="0043288C">
        <w:t xml:space="preserve">, “Mechanical homeostasis in tissue equivalents: a review,” </w:t>
      </w:r>
      <w:proofErr w:type="spellStart"/>
      <w:r w:rsidRPr="0043288C">
        <w:rPr>
          <w:i/>
          <w:iCs/>
        </w:rPr>
        <w:t>Biomech</w:t>
      </w:r>
      <w:proofErr w:type="spellEnd"/>
      <w:r w:rsidRPr="0043288C">
        <w:rPr>
          <w:i/>
          <w:iCs/>
        </w:rPr>
        <w:t xml:space="preserve"> Model </w:t>
      </w:r>
      <w:proofErr w:type="spellStart"/>
      <w:r w:rsidRPr="0043288C">
        <w:rPr>
          <w:i/>
          <w:iCs/>
        </w:rPr>
        <w:t>Mechanobiol</w:t>
      </w:r>
      <w:proofErr w:type="spellEnd"/>
      <w:r w:rsidRPr="0043288C">
        <w:t xml:space="preserve">, vol. 20, no. 3, pp. 833–850, Jun. 2021, </w:t>
      </w:r>
      <w:proofErr w:type="spellStart"/>
      <w:r w:rsidRPr="0043288C">
        <w:t>doi</w:t>
      </w:r>
      <w:proofErr w:type="spellEnd"/>
      <w:r w:rsidRPr="0043288C">
        <w:t>: 10.1007/s10237-021-01433-9.</w:t>
      </w:r>
    </w:p>
    <w:p w14:paraId="1067DA10" w14:textId="77777777" w:rsidR="0043288C" w:rsidRPr="0043288C" w:rsidRDefault="0043288C" w:rsidP="0043288C">
      <w:pPr>
        <w:pStyle w:val="Bibliography"/>
      </w:pPr>
      <w:r w:rsidRPr="0043288C">
        <w:t>[4]</w:t>
      </w:r>
      <w:r w:rsidRPr="0043288C">
        <w:tab/>
        <w:t xml:space="preserve">N. I. Callaghan, L. J. </w:t>
      </w:r>
      <w:proofErr w:type="spellStart"/>
      <w:r w:rsidRPr="0043288C">
        <w:t>Durland</w:t>
      </w:r>
      <w:proofErr w:type="spellEnd"/>
      <w:r w:rsidRPr="0043288C">
        <w:t xml:space="preserve">, R. G. Ireland, J. P. </w:t>
      </w:r>
      <w:proofErr w:type="spellStart"/>
      <w:r w:rsidRPr="0043288C">
        <w:t>Santerre</w:t>
      </w:r>
      <w:proofErr w:type="spellEnd"/>
      <w:r w:rsidRPr="0043288C">
        <w:t xml:space="preserve">, C. A. Simmons, and L. Davenport </w:t>
      </w:r>
      <w:proofErr w:type="spellStart"/>
      <w:r w:rsidRPr="0043288C">
        <w:t>Huyer</w:t>
      </w:r>
      <w:proofErr w:type="spellEnd"/>
      <w:r w:rsidRPr="0043288C">
        <w:t xml:space="preserve">, “Harnessing conserved signaling and metabolic pathways to enhance the maturation of functional engineered tissues,” </w:t>
      </w:r>
      <w:proofErr w:type="spellStart"/>
      <w:r w:rsidRPr="0043288C">
        <w:rPr>
          <w:i/>
          <w:iCs/>
        </w:rPr>
        <w:t>npj</w:t>
      </w:r>
      <w:proofErr w:type="spellEnd"/>
      <w:r w:rsidRPr="0043288C">
        <w:rPr>
          <w:i/>
          <w:iCs/>
        </w:rPr>
        <w:t xml:space="preserve"> Regen Med</w:t>
      </w:r>
      <w:r w:rsidRPr="0043288C">
        <w:t xml:space="preserve">, vol. 7, no. 1, p. 44, Sep. 2022, </w:t>
      </w:r>
      <w:proofErr w:type="spellStart"/>
      <w:r w:rsidRPr="0043288C">
        <w:t>doi</w:t>
      </w:r>
      <w:proofErr w:type="spellEnd"/>
      <w:r w:rsidRPr="0043288C">
        <w:t>: 10.1038/s41536-022-00246-3.</w:t>
      </w:r>
    </w:p>
    <w:p w14:paraId="3F331F65" w14:textId="35EC9CF4" w:rsidR="008E5CC0" w:rsidRDefault="0043288C" w:rsidP="00F847C3">
      <w:r>
        <w:fldChar w:fldCharType="end"/>
      </w:r>
    </w:p>
    <w:sectPr w:rsidR="008E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1"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3"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0"/>
  </w:num>
  <w:num w:numId="2" w16cid:durableId="2126387073">
    <w:abstractNumId w:val="2"/>
  </w:num>
  <w:num w:numId="3" w16cid:durableId="1363626363">
    <w:abstractNumId w:val="4"/>
  </w:num>
  <w:num w:numId="4" w16cid:durableId="1721051360">
    <w:abstractNumId w:val="3"/>
  </w:num>
  <w:num w:numId="5" w16cid:durableId="762916955">
    <w:abstractNumId w:val="5"/>
  </w:num>
  <w:num w:numId="6" w16cid:durableId="83067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47699"/>
    <w:rsid w:val="00064BCC"/>
    <w:rsid w:val="000967F2"/>
    <w:rsid w:val="000A0BBC"/>
    <w:rsid w:val="000A4381"/>
    <w:rsid w:val="000F4524"/>
    <w:rsid w:val="00157DB5"/>
    <w:rsid w:val="0016492A"/>
    <w:rsid w:val="00172807"/>
    <w:rsid w:val="00183303"/>
    <w:rsid w:val="001971C7"/>
    <w:rsid w:val="001E601F"/>
    <w:rsid w:val="00245166"/>
    <w:rsid w:val="002D5825"/>
    <w:rsid w:val="00327258"/>
    <w:rsid w:val="0034176B"/>
    <w:rsid w:val="0037244A"/>
    <w:rsid w:val="00387173"/>
    <w:rsid w:val="00390664"/>
    <w:rsid w:val="003D3632"/>
    <w:rsid w:val="003E20A0"/>
    <w:rsid w:val="003E7628"/>
    <w:rsid w:val="003F6096"/>
    <w:rsid w:val="0043288C"/>
    <w:rsid w:val="0044B65A"/>
    <w:rsid w:val="0047130C"/>
    <w:rsid w:val="004818C7"/>
    <w:rsid w:val="00494E85"/>
    <w:rsid w:val="0049589A"/>
    <w:rsid w:val="004A697A"/>
    <w:rsid w:val="005104BD"/>
    <w:rsid w:val="00535403"/>
    <w:rsid w:val="00544698"/>
    <w:rsid w:val="005812E2"/>
    <w:rsid w:val="00591749"/>
    <w:rsid w:val="005A640D"/>
    <w:rsid w:val="005B07FB"/>
    <w:rsid w:val="005B4271"/>
    <w:rsid w:val="005C30FD"/>
    <w:rsid w:val="00607035"/>
    <w:rsid w:val="00644FC1"/>
    <w:rsid w:val="00657DCF"/>
    <w:rsid w:val="0066406D"/>
    <w:rsid w:val="006B02C8"/>
    <w:rsid w:val="006B0BAA"/>
    <w:rsid w:val="006B6351"/>
    <w:rsid w:val="006B7813"/>
    <w:rsid w:val="006C1673"/>
    <w:rsid w:val="006D00FD"/>
    <w:rsid w:val="006D0E8F"/>
    <w:rsid w:val="007240AE"/>
    <w:rsid w:val="00746BCD"/>
    <w:rsid w:val="007535A5"/>
    <w:rsid w:val="00791AC3"/>
    <w:rsid w:val="007A396A"/>
    <w:rsid w:val="007C4376"/>
    <w:rsid w:val="007C5D06"/>
    <w:rsid w:val="007F764B"/>
    <w:rsid w:val="008005AE"/>
    <w:rsid w:val="00812796"/>
    <w:rsid w:val="00825A4D"/>
    <w:rsid w:val="008556F4"/>
    <w:rsid w:val="008649EE"/>
    <w:rsid w:val="008779B2"/>
    <w:rsid w:val="008818D8"/>
    <w:rsid w:val="00883784"/>
    <w:rsid w:val="008958BE"/>
    <w:rsid w:val="008E5CC0"/>
    <w:rsid w:val="008F3A94"/>
    <w:rsid w:val="00900DFB"/>
    <w:rsid w:val="00911C0F"/>
    <w:rsid w:val="00943BBD"/>
    <w:rsid w:val="00954E17"/>
    <w:rsid w:val="00955366"/>
    <w:rsid w:val="00981AAA"/>
    <w:rsid w:val="009926EF"/>
    <w:rsid w:val="009C16C0"/>
    <w:rsid w:val="009C5E59"/>
    <w:rsid w:val="009E28AF"/>
    <w:rsid w:val="009F2DB6"/>
    <w:rsid w:val="00A243D3"/>
    <w:rsid w:val="00A425A1"/>
    <w:rsid w:val="00A62F0A"/>
    <w:rsid w:val="00A64D03"/>
    <w:rsid w:val="00A91361"/>
    <w:rsid w:val="00AB0C8C"/>
    <w:rsid w:val="00AB6E45"/>
    <w:rsid w:val="00B15C8E"/>
    <w:rsid w:val="00B62555"/>
    <w:rsid w:val="00BE619D"/>
    <w:rsid w:val="00C12C97"/>
    <w:rsid w:val="00C207DC"/>
    <w:rsid w:val="00C20AEE"/>
    <w:rsid w:val="00C47D48"/>
    <w:rsid w:val="00C632F3"/>
    <w:rsid w:val="00C676CC"/>
    <w:rsid w:val="00C75CBA"/>
    <w:rsid w:val="00C918F3"/>
    <w:rsid w:val="00CA3ACA"/>
    <w:rsid w:val="00CC570A"/>
    <w:rsid w:val="00D20FF2"/>
    <w:rsid w:val="00D31EB5"/>
    <w:rsid w:val="00D43372"/>
    <w:rsid w:val="00D454D2"/>
    <w:rsid w:val="00D4693A"/>
    <w:rsid w:val="00DA3114"/>
    <w:rsid w:val="00DA6DE7"/>
    <w:rsid w:val="00DD3E6B"/>
    <w:rsid w:val="00DF318F"/>
    <w:rsid w:val="00DF3EEF"/>
    <w:rsid w:val="00E10CC3"/>
    <w:rsid w:val="00E1792F"/>
    <w:rsid w:val="00E44A8E"/>
    <w:rsid w:val="00E81C47"/>
    <w:rsid w:val="00EE1FB8"/>
    <w:rsid w:val="00EF3340"/>
    <w:rsid w:val="00F04FAB"/>
    <w:rsid w:val="00F22005"/>
    <w:rsid w:val="00F4EB7E"/>
    <w:rsid w:val="00F639D5"/>
    <w:rsid w:val="00F76871"/>
    <w:rsid w:val="00F847C3"/>
    <w:rsid w:val="00F86BEB"/>
    <w:rsid w:val="00F9326B"/>
    <w:rsid w:val="00F96CD8"/>
    <w:rsid w:val="00FA0C18"/>
    <w:rsid w:val="00FA4937"/>
    <w:rsid w:val="00FC654C"/>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semiHidden/>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2022-09-25T12:06:00Z</cp:lastPrinted>
  <dcterms:created xsi:type="dcterms:W3CDTF">2022-09-25T12:06:00Z</dcterms:created>
  <dcterms:modified xsi:type="dcterms:W3CDTF">2022-09-25T12:07:00Z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id="XZ6vpeBC"/&gt;&lt;style id="http://www.zotero.org/styles/ieee" locale="en-US" hasBibliography="1" bibliographyStyleHasBeenSet="1"/&gt;&lt;prefs&gt;&lt;pref name="fieldType" value="Field"/&gt;&lt;/prefs&gt;&lt;/data&gt;</vt:lpwstr>
  </property>
</Properties>
</file>