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1FF4" w14:textId="77777777" w:rsidR="000A0BBC" w:rsidRPr="000A0BBC" w:rsidRDefault="000A0BBC" w:rsidP="000A0BBC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Homeostasis</w:t>
      </w:r>
    </w:p>
    <w:p w14:paraId="44589248" w14:textId="3D0D3AF4" w:rsidR="000A0BBC" w:rsidRPr="000A0BBC" w:rsidRDefault="000A0BBC" w:rsidP="000A0B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Your body is constantly trying to maintain homeostasis - maintaining cell populations and rebuilding what is wounded. The natural function of your tissues/organ keeps the body balanced on this point. You've hatched a scheme with some grad school peers to design an </w:t>
      </w:r>
      <w:r w:rsidR="006C1673" w:rsidRPr="000A0BBC">
        <w:rPr>
          <w:rFonts w:ascii="Lato" w:eastAsia="Times New Roman" w:hAnsi="Lato" w:cs="Times New Roman"/>
          <w:color w:val="2D3B45"/>
          <w:sz w:val="24"/>
          <w:szCs w:val="24"/>
        </w:rPr>
        <w:t>artificial</w:t>
      </w: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 tissue/organ which will function in a superior or augmented way. Perhaps you design a skeletal muscle that never fatigues, a skin graft that resists </w:t>
      </w:r>
      <w:r w:rsidR="006C1673" w:rsidRPr="000A0BBC">
        <w:rPr>
          <w:rFonts w:ascii="Lato" w:eastAsia="Times New Roman" w:hAnsi="Lato" w:cs="Times New Roman"/>
          <w:color w:val="2D3B45"/>
          <w:sz w:val="24"/>
          <w:szCs w:val="24"/>
        </w:rPr>
        <w:t>abrasion</w:t>
      </w: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, or an eye that doesn't need to blink. What do you need to consider when integrating this super-tissue with the host? Do you think the body will automatically re-adjust to </w:t>
      </w:r>
      <w:r w:rsidR="006C1673" w:rsidRPr="000A0BBC">
        <w:rPr>
          <w:rFonts w:ascii="Lato" w:eastAsia="Times New Roman" w:hAnsi="Lato" w:cs="Times New Roman"/>
          <w:color w:val="2D3B45"/>
          <w:sz w:val="24"/>
          <w:szCs w:val="24"/>
        </w:rPr>
        <w:t>accommodate</w:t>
      </w: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 this new capacity?</w:t>
      </w:r>
    </w:p>
    <w:p w14:paraId="14F0A84E" w14:textId="77777777" w:rsidR="000A0BBC" w:rsidRPr="000A0BBC" w:rsidRDefault="000A0BBC" w:rsidP="000A0BB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>Respond to at least two of your classmates.</w:t>
      </w:r>
    </w:p>
    <w:p w14:paraId="3AC6FC08" w14:textId="17F697EF" w:rsidR="00AB6E45" w:rsidRDefault="00AB6E45" w:rsidP="00F847C3"/>
    <w:p w14:paraId="25F91163" w14:textId="7D27B59A" w:rsidR="00064BCC" w:rsidRDefault="00644FC1" w:rsidP="00F847C3">
      <w:pPr>
        <w:rPr>
          <w:sz w:val="24"/>
          <w:szCs w:val="24"/>
        </w:rPr>
      </w:pPr>
      <w:r w:rsidRPr="00644FC1">
        <w:rPr>
          <w:sz w:val="24"/>
          <w:szCs w:val="24"/>
        </w:rPr>
        <w:t xml:space="preserve">Cells and organ in human body function in homeostasis, they have a specific function within a larger system </w:t>
      </w:r>
      <w:r w:rsidR="006B02C8">
        <w:rPr>
          <w:sz w:val="24"/>
          <w:szCs w:val="24"/>
        </w:rPr>
        <w:t>of</w:t>
      </w:r>
      <w:r w:rsidRPr="00644FC1">
        <w:rPr>
          <w:sz w:val="24"/>
          <w:szCs w:val="24"/>
        </w:rPr>
        <w:t xml:space="preserve"> our body, multiple positive and negative </w:t>
      </w:r>
      <w:r w:rsidR="006B02C8" w:rsidRPr="00644FC1">
        <w:rPr>
          <w:sz w:val="24"/>
          <w:szCs w:val="24"/>
        </w:rPr>
        <w:t xml:space="preserve">feedback </w:t>
      </w:r>
      <w:r w:rsidRPr="00644FC1">
        <w:rPr>
          <w:sz w:val="24"/>
          <w:szCs w:val="24"/>
        </w:rPr>
        <w:t>loop</w:t>
      </w:r>
      <w:r w:rsidR="006B02C8">
        <w:rPr>
          <w:sz w:val="24"/>
          <w:szCs w:val="24"/>
        </w:rPr>
        <w:t xml:space="preserve">s exist to </w:t>
      </w:r>
      <w:r w:rsidRPr="00644FC1">
        <w:rPr>
          <w:sz w:val="24"/>
          <w:szCs w:val="24"/>
        </w:rPr>
        <w:t>maintain in steady-</w:t>
      </w:r>
      <w:r>
        <w:rPr>
          <w:sz w:val="24"/>
          <w:szCs w:val="24"/>
        </w:rPr>
        <w:t>s</w:t>
      </w:r>
      <w:r w:rsidRPr="00644FC1">
        <w:rPr>
          <w:sz w:val="24"/>
          <w:szCs w:val="24"/>
        </w:rPr>
        <w:t>tate</w:t>
      </w:r>
      <w:r>
        <w:rPr>
          <w:sz w:val="24"/>
          <w:szCs w:val="24"/>
        </w:rPr>
        <w:t xml:space="preserve"> our whole organism.</w:t>
      </w:r>
      <w:r w:rsidR="00026F7C">
        <w:rPr>
          <w:sz w:val="24"/>
          <w:szCs w:val="24"/>
        </w:rPr>
        <w:t xml:space="preserve"> </w:t>
      </w:r>
      <w:r w:rsidR="006B02C8">
        <w:rPr>
          <w:sz w:val="24"/>
          <w:szCs w:val="24"/>
        </w:rPr>
        <w:t>This tight control allows precise control of different function in the body (for example cardiac control of the sympathetic and parasympathetic branches of the autonomic nervous system).</w:t>
      </w:r>
      <w:r w:rsidR="003E20A0">
        <w:rPr>
          <w:sz w:val="24"/>
          <w:szCs w:val="24"/>
        </w:rPr>
        <w:t xml:space="preserve"> </w:t>
      </w:r>
      <w:r w:rsidR="008556F4">
        <w:rPr>
          <w:sz w:val="24"/>
          <w:szCs w:val="24"/>
        </w:rPr>
        <w:t xml:space="preserve">Various processes achieve this steady-state by maintaining key variables within a range of nominal values. Tissue or organ </w:t>
      </w:r>
      <w:r w:rsidR="009E28AF">
        <w:rPr>
          <w:sz w:val="24"/>
          <w:szCs w:val="24"/>
        </w:rPr>
        <w:t>with</w:t>
      </w:r>
      <w:r w:rsidR="008556F4">
        <w:rPr>
          <w:sz w:val="24"/>
          <w:szCs w:val="24"/>
        </w:rPr>
        <w:t xml:space="preserve"> enhanced characteristics will override th</w:t>
      </w:r>
      <w:r w:rsidR="009E28AF">
        <w:rPr>
          <w:sz w:val="24"/>
          <w:szCs w:val="24"/>
        </w:rPr>
        <w:t xml:space="preserve">ese preferred values and trigger regulation </w:t>
      </w:r>
      <w:r w:rsidR="00657DCF">
        <w:rPr>
          <w:sz w:val="24"/>
          <w:szCs w:val="24"/>
        </w:rPr>
        <w:t>mechanisms; like</w:t>
      </w:r>
      <w:r w:rsidR="009E28AF">
        <w:rPr>
          <w:sz w:val="24"/>
          <w:szCs w:val="24"/>
        </w:rPr>
        <w:t xml:space="preserve"> chronic inflammation; which then cascade in more preventive actions. </w:t>
      </w:r>
      <w:r w:rsidR="00657DCF">
        <w:rPr>
          <w:sz w:val="24"/>
          <w:szCs w:val="24"/>
        </w:rPr>
        <w:t>I</w:t>
      </w:r>
      <w:r w:rsidR="009E28AF">
        <w:rPr>
          <w:sz w:val="24"/>
          <w:szCs w:val="24"/>
        </w:rPr>
        <w:t xml:space="preserve">n this situation different </w:t>
      </w:r>
      <w:r w:rsidR="00657DCF">
        <w:rPr>
          <w:sz w:val="24"/>
          <w:szCs w:val="24"/>
        </w:rPr>
        <w:t xml:space="preserve">“emergency” </w:t>
      </w:r>
      <w:r w:rsidR="009E28AF">
        <w:rPr>
          <w:sz w:val="24"/>
          <w:szCs w:val="24"/>
        </w:rPr>
        <w:t xml:space="preserve">pathways are activated and over stimulated </w:t>
      </w:r>
      <w:r w:rsidR="004A697A">
        <w:rPr>
          <w:sz w:val="24"/>
          <w:szCs w:val="24"/>
        </w:rPr>
        <w:t>releasing</w:t>
      </w:r>
      <w:r w:rsidR="009E28AF">
        <w:rPr>
          <w:sz w:val="24"/>
          <w:szCs w:val="24"/>
        </w:rPr>
        <w:t xml:space="preserve"> </w:t>
      </w:r>
      <w:r w:rsidR="00657DCF">
        <w:rPr>
          <w:sz w:val="24"/>
          <w:szCs w:val="24"/>
        </w:rPr>
        <w:t xml:space="preserve">by products which </w:t>
      </w:r>
      <w:r w:rsidR="004A697A">
        <w:rPr>
          <w:sz w:val="24"/>
          <w:szCs w:val="24"/>
        </w:rPr>
        <w:t>saturate the body and lead to various dysfunctions or diseases.</w:t>
      </w:r>
      <w:r w:rsidR="00C12C97">
        <w:rPr>
          <w:sz w:val="24"/>
          <w:szCs w:val="24"/>
        </w:rPr>
        <w:t xml:space="preserve"> In the example given, blinking is essential for eyes lubrification and dust or other undesirable particles protection. </w:t>
      </w:r>
      <w:r w:rsidR="00A425A1">
        <w:rPr>
          <w:sz w:val="24"/>
          <w:szCs w:val="24"/>
        </w:rPr>
        <w:t xml:space="preserve">Integration of a super-tissue will need to intrinsically auto-control itself or </w:t>
      </w:r>
      <w:r w:rsidR="00064BCC">
        <w:rPr>
          <w:sz w:val="24"/>
          <w:szCs w:val="24"/>
        </w:rPr>
        <w:t>progressively releases signals to the cells and the rest of the body to adapt to its new enhanced capacities.</w:t>
      </w:r>
    </w:p>
    <w:p w14:paraId="28E603DE" w14:textId="77777777" w:rsidR="00F86BEB" w:rsidRDefault="00F86BEB" w:rsidP="00F847C3">
      <w:pPr>
        <w:rPr>
          <w:sz w:val="24"/>
          <w:szCs w:val="24"/>
        </w:rPr>
      </w:pPr>
    </w:p>
    <w:p w14:paraId="7C5B46F0" w14:textId="411464B5" w:rsidR="00F86BEB" w:rsidRPr="00F86BEB" w:rsidRDefault="00F86BEB" w:rsidP="00F86BEB">
      <w:pPr>
        <w:pStyle w:val="Bibliography"/>
        <w:rPr>
          <w:rFonts w:ascii="Calibri" w:cs="Calibri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F86BEB">
        <w:rPr>
          <w:rFonts w:ascii="Calibri" w:cs="Calibri"/>
          <w:sz w:val="24"/>
        </w:rPr>
        <w:t>[1]</w:t>
      </w:r>
      <w:r w:rsidRPr="00F86BEB">
        <w:rPr>
          <w:rFonts w:ascii="Calibri" w:cs="Calibri"/>
          <w:sz w:val="24"/>
        </w:rPr>
        <w:tab/>
        <w:t xml:space="preserve">N. I. Callaghan, L. J. Durland, R. G. Ireland, J. P. Santerre, C. A. Simmons, and L. Davenport Huyer, “Harnessing conserved signaling and metabolic pathways to enhance the maturation of functional engineered tissues,” </w:t>
      </w:r>
      <w:r w:rsidRPr="00F86BEB">
        <w:rPr>
          <w:rFonts w:ascii="Calibri" w:cs="Calibri"/>
          <w:i/>
          <w:iCs/>
          <w:sz w:val="24"/>
        </w:rPr>
        <w:t>npj Regen Med</w:t>
      </w:r>
      <w:r w:rsidRPr="00F86BEB">
        <w:rPr>
          <w:rFonts w:ascii="Calibri" w:cs="Calibri"/>
          <w:sz w:val="24"/>
        </w:rPr>
        <w:t>, vol. 7, no. 1, p. 44, Sep. 2022, doi: 10.1038/s41536-022-00246-3.</w:t>
      </w:r>
    </w:p>
    <w:p w14:paraId="54BD6491" w14:textId="77777777" w:rsidR="00F86BEB" w:rsidRPr="00F86BEB" w:rsidRDefault="00F86BEB" w:rsidP="00F86BEB">
      <w:pPr>
        <w:pStyle w:val="Bibliography"/>
        <w:rPr>
          <w:rFonts w:ascii="Calibri" w:cs="Calibri"/>
          <w:sz w:val="24"/>
        </w:rPr>
      </w:pPr>
      <w:r w:rsidRPr="00F86BEB">
        <w:rPr>
          <w:rFonts w:ascii="Calibri" w:cs="Calibri"/>
          <w:sz w:val="24"/>
        </w:rPr>
        <w:t>[2]</w:t>
      </w:r>
      <w:r w:rsidRPr="00F86BEB">
        <w:rPr>
          <w:rFonts w:ascii="Calibri" w:cs="Calibri"/>
          <w:sz w:val="24"/>
        </w:rPr>
        <w:tab/>
        <w:t xml:space="preserve">J. F. Eichinger, L. J. Haeusel, D. Paukner, R. C. Aydin, J. D. Humphrey, and C. J. Cyron, “Mechanical homeostasis in tissue equivalents: a review,” </w:t>
      </w:r>
      <w:r w:rsidRPr="00F86BEB">
        <w:rPr>
          <w:rFonts w:ascii="Calibri" w:cs="Calibri"/>
          <w:i/>
          <w:iCs/>
          <w:sz w:val="24"/>
        </w:rPr>
        <w:t>Biomech Model Mechanobiol</w:t>
      </w:r>
      <w:r w:rsidRPr="00F86BEB">
        <w:rPr>
          <w:rFonts w:ascii="Calibri" w:cs="Calibri"/>
          <w:sz w:val="24"/>
        </w:rPr>
        <w:t>, vol. 20, no. 3, pp. 833–850, Jun. 2021, doi: 10.1007/s10237-021-01433-9.</w:t>
      </w:r>
    </w:p>
    <w:p w14:paraId="00C7E06D" w14:textId="77777777" w:rsidR="00F86BEB" w:rsidRPr="00F86BEB" w:rsidRDefault="00F86BEB" w:rsidP="00F86BEB">
      <w:pPr>
        <w:pStyle w:val="Bibliography"/>
        <w:rPr>
          <w:rFonts w:ascii="Calibri" w:cs="Calibri"/>
          <w:sz w:val="24"/>
        </w:rPr>
      </w:pPr>
      <w:r w:rsidRPr="00F86BEB">
        <w:rPr>
          <w:rFonts w:ascii="Calibri" w:cs="Calibri"/>
          <w:sz w:val="24"/>
        </w:rPr>
        <w:t>[3]</w:t>
      </w:r>
      <w:r w:rsidRPr="00F86BEB">
        <w:rPr>
          <w:rFonts w:ascii="Calibri" w:cs="Calibri"/>
          <w:sz w:val="24"/>
        </w:rPr>
        <w:tab/>
        <w:t xml:space="preserve">P. Sousa-Victor, L. García-Prat, and P. Muñoz-Cánoves, “Control of satellite cell function in muscle regeneration and its disruption in ageing,” </w:t>
      </w:r>
      <w:r w:rsidRPr="00F86BEB">
        <w:rPr>
          <w:rFonts w:ascii="Calibri" w:cs="Calibri"/>
          <w:i/>
          <w:iCs/>
          <w:sz w:val="24"/>
        </w:rPr>
        <w:t>Nat Rev Mol Cell Biol</w:t>
      </w:r>
      <w:r w:rsidRPr="00F86BEB">
        <w:rPr>
          <w:rFonts w:ascii="Calibri" w:cs="Calibri"/>
          <w:sz w:val="24"/>
        </w:rPr>
        <w:t>, vol. 23, no. 3, Art. no. 3, Mar. 2022, doi: 10.1038/s41580-021-00421-2.</w:t>
      </w:r>
    </w:p>
    <w:p w14:paraId="64BCA115" w14:textId="765D5362" w:rsidR="00F86BEB" w:rsidRDefault="00F86BEB" w:rsidP="00F847C3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0BC5EEB7" w14:textId="42D55409" w:rsidR="00DA3114" w:rsidRDefault="00000000" w:rsidP="00F847C3">
      <w:hyperlink r:id="rId5" w:history="1">
        <w:r w:rsidR="008E5CC0">
          <w:rPr>
            <w:rStyle w:val="Hyperlink"/>
          </w:rPr>
          <w:t>Recent Approaches for Angiogenesis in Search of Successful Tissue. Engineering and Regeneration</w:t>
        </w:r>
      </w:hyperlink>
    </w:p>
    <w:p w14:paraId="7B1D5560" w14:textId="3DF81243" w:rsidR="008E5CC0" w:rsidRDefault="00000000" w:rsidP="00F847C3">
      <w:hyperlink r:id="rId6" w:history="1">
        <w:r w:rsidR="008E5CC0" w:rsidRPr="008E5CC0">
          <w:rPr>
            <w:rStyle w:val="Hyperlink"/>
          </w:rPr>
          <w:t>The Role of Mechanical Regulation in Cartilage Tissue Engineering</w:t>
        </w:r>
      </w:hyperlink>
    </w:p>
    <w:p w14:paraId="3F331F65" w14:textId="77777777" w:rsidR="008E5CC0" w:rsidRDefault="008E5CC0" w:rsidP="00F847C3"/>
    <w:sectPr w:rsidR="008E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0"/>
  </w:num>
  <w:num w:numId="2" w16cid:durableId="2126387073">
    <w:abstractNumId w:val="1"/>
  </w:num>
  <w:num w:numId="3" w16cid:durableId="1363626363">
    <w:abstractNumId w:val="3"/>
  </w:num>
  <w:num w:numId="4" w16cid:durableId="1721051360">
    <w:abstractNumId w:val="2"/>
  </w:num>
  <w:num w:numId="5" w16cid:durableId="76291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47699"/>
    <w:rsid w:val="00064BCC"/>
    <w:rsid w:val="000967F2"/>
    <w:rsid w:val="000A0BBC"/>
    <w:rsid w:val="000F4524"/>
    <w:rsid w:val="00157DB5"/>
    <w:rsid w:val="0016492A"/>
    <w:rsid w:val="00183303"/>
    <w:rsid w:val="001971C7"/>
    <w:rsid w:val="00245166"/>
    <w:rsid w:val="00327258"/>
    <w:rsid w:val="0034176B"/>
    <w:rsid w:val="0037244A"/>
    <w:rsid w:val="00387173"/>
    <w:rsid w:val="00390664"/>
    <w:rsid w:val="003D3632"/>
    <w:rsid w:val="003E20A0"/>
    <w:rsid w:val="003F6096"/>
    <w:rsid w:val="0044B65A"/>
    <w:rsid w:val="0047130C"/>
    <w:rsid w:val="004818C7"/>
    <w:rsid w:val="00494E85"/>
    <w:rsid w:val="0049589A"/>
    <w:rsid w:val="004A697A"/>
    <w:rsid w:val="005104BD"/>
    <w:rsid w:val="00535403"/>
    <w:rsid w:val="00544698"/>
    <w:rsid w:val="005812E2"/>
    <w:rsid w:val="00591749"/>
    <w:rsid w:val="005A640D"/>
    <w:rsid w:val="005B07FB"/>
    <w:rsid w:val="005B4271"/>
    <w:rsid w:val="005C30FD"/>
    <w:rsid w:val="00607035"/>
    <w:rsid w:val="00644FC1"/>
    <w:rsid w:val="00657DCF"/>
    <w:rsid w:val="0066406D"/>
    <w:rsid w:val="006B02C8"/>
    <w:rsid w:val="006B0BAA"/>
    <w:rsid w:val="006B6351"/>
    <w:rsid w:val="006B7813"/>
    <w:rsid w:val="006C1673"/>
    <w:rsid w:val="006D00FD"/>
    <w:rsid w:val="006D0E8F"/>
    <w:rsid w:val="007240AE"/>
    <w:rsid w:val="00746BCD"/>
    <w:rsid w:val="007535A5"/>
    <w:rsid w:val="00791AC3"/>
    <w:rsid w:val="007A396A"/>
    <w:rsid w:val="007C4376"/>
    <w:rsid w:val="007C5D06"/>
    <w:rsid w:val="007F764B"/>
    <w:rsid w:val="008005AE"/>
    <w:rsid w:val="00812796"/>
    <w:rsid w:val="00825A4D"/>
    <w:rsid w:val="008556F4"/>
    <w:rsid w:val="008649EE"/>
    <w:rsid w:val="008779B2"/>
    <w:rsid w:val="008818D8"/>
    <w:rsid w:val="008958BE"/>
    <w:rsid w:val="008E5CC0"/>
    <w:rsid w:val="008F3A94"/>
    <w:rsid w:val="00911C0F"/>
    <w:rsid w:val="00943BBD"/>
    <w:rsid w:val="00954E17"/>
    <w:rsid w:val="00981AAA"/>
    <w:rsid w:val="009926EF"/>
    <w:rsid w:val="009C16C0"/>
    <w:rsid w:val="009E28AF"/>
    <w:rsid w:val="009F2DB6"/>
    <w:rsid w:val="00A243D3"/>
    <w:rsid w:val="00A425A1"/>
    <w:rsid w:val="00A64D03"/>
    <w:rsid w:val="00A91361"/>
    <w:rsid w:val="00AB0C8C"/>
    <w:rsid w:val="00AB6E45"/>
    <w:rsid w:val="00B15C8E"/>
    <w:rsid w:val="00B62555"/>
    <w:rsid w:val="00C12C97"/>
    <w:rsid w:val="00C207DC"/>
    <w:rsid w:val="00C20AEE"/>
    <w:rsid w:val="00C47D48"/>
    <w:rsid w:val="00C632F3"/>
    <w:rsid w:val="00C676CC"/>
    <w:rsid w:val="00C75CBA"/>
    <w:rsid w:val="00C918F3"/>
    <w:rsid w:val="00CA3ACA"/>
    <w:rsid w:val="00CC570A"/>
    <w:rsid w:val="00D20FF2"/>
    <w:rsid w:val="00D31EB5"/>
    <w:rsid w:val="00D43372"/>
    <w:rsid w:val="00D454D2"/>
    <w:rsid w:val="00D4693A"/>
    <w:rsid w:val="00DA3114"/>
    <w:rsid w:val="00DA6DE7"/>
    <w:rsid w:val="00DD3E6B"/>
    <w:rsid w:val="00DF318F"/>
    <w:rsid w:val="00DF3EEF"/>
    <w:rsid w:val="00E10CC3"/>
    <w:rsid w:val="00E1792F"/>
    <w:rsid w:val="00E44A8E"/>
    <w:rsid w:val="00E81C47"/>
    <w:rsid w:val="00EE1FB8"/>
    <w:rsid w:val="00F04FAB"/>
    <w:rsid w:val="00F22005"/>
    <w:rsid w:val="00F4EB7E"/>
    <w:rsid w:val="00F639D5"/>
    <w:rsid w:val="00F76871"/>
    <w:rsid w:val="00F847C3"/>
    <w:rsid w:val="00F86BEB"/>
    <w:rsid w:val="00F9326B"/>
    <w:rsid w:val="00F96CD8"/>
    <w:rsid w:val="00FA0C18"/>
    <w:rsid w:val="00FA4937"/>
    <w:rsid w:val="00FC654C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-ncbi-nlm-nih-gov.proxy1.library.jhu.edu/33655877/" TargetMode="External"/><Relationship Id="rId5" Type="http://schemas.openxmlformats.org/officeDocument/2006/relationships/hyperlink" Target="https://pubmed.ncbi.nlm.nih.gov/31682212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2022-09-24T12:19:00Z</cp:lastPrinted>
  <dcterms:created xsi:type="dcterms:W3CDTF">2022-09-24T12:19:00Z</dcterms:created>
  <dcterms:modified xsi:type="dcterms:W3CDTF">2022-09-24T19:45:00Z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id="dcTElo4h"/&gt;&lt;style id="http://www.zotero.org/styles/ieee" locale="en-US" hasBibliography="1" bibliographyStyleHasBeenSet="1"/&gt;&lt;prefs&gt;&lt;pref name="fieldType" value="Field"/&gt;&lt;/prefs&gt;&lt;/data&gt;</vt:lpwstr>
  </property>
</Properties>
</file>