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F064" w14:textId="484C49D0" w:rsidR="00CA4464" w:rsidRPr="00CA4464" w:rsidRDefault="00AD7776" w:rsidP="00F21628">
      <w:pPr>
        <w:jc w:val="center"/>
        <w:rPr>
          <w:b/>
          <w:bCs/>
          <w:color w:val="0072CE" w:themeColor="text2"/>
          <w:sz w:val="36"/>
          <w:szCs w:val="36"/>
        </w:rPr>
      </w:pPr>
      <w:r w:rsidRPr="00CA4464">
        <w:rPr>
          <w:b/>
          <w:bCs/>
          <w:color w:val="0072CE" w:themeColor="text2"/>
          <w:sz w:val="36"/>
          <w:szCs w:val="36"/>
        </w:rPr>
        <w:t xml:space="preserve">Neural-Spinal </w:t>
      </w:r>
      <w:r w:rsidR="00CA4464">
        <w:rPr>
          <w:b/>
          <w:bCs/>
          <w:color w:val="0072CE" w:themeColor="text2"/>
          <w:sz w:val="36"/>
          <w:szCs w:val="36"/>
        </w:rPr>
        <w:t>S</w:t>
      </w:r>
      <w:r w:rsidRPr="00CA4464">
        <w:rPr>
          <w:b/>
          <w:bCs/>
          <w:color w:val="0072CE" w:themeColor="text2"/>
          <w:sz w:val="36"/>
          <w:szCs w:val="36"/>
        </w:rPr>
        <w:t xml:space="preserve">caffold </w:t>
      </w:r>
    </w:p>
    <w:p w14:paraId="369E71A8" w14:textId="7AFB4200" w:rsidR="00B84BEC" w:rsidRPr="00CA4464" w:rsidRDefault="00B84BEC" w:rsidP="00F21628">
      <w:pPr>
        <w:jc w:val="center"/>
        <w:rPr>
          <w:rFonts w:asciiTheme="majorHAnsi" w:eastAsiaTheme="majorEastAsia" w:hAnsiTheme="majorHAnsi" w:cstheme="majorBidi"/>
          <w:b/>
          <w:bCs/>
          <w:color w:val="0072CE" w:themeColor="text2"/>
          <w:sz w:val="36"/>
          <w:szCs w:val="36"/>
        </w:rPr>
      </w:pPr>
      <w:r w:rsidRPr="00CA4464">
        <w:rPr>
          <w:b/>
          <w:bCs/>
          <w:color w:val="0072CE" w:themeColor="text2"/>
          <w:sz w:val="36"/>
          <w:szCs w:val="36"/>
        </w:rPr>
        <w:t>A spinal cord Injury Regeneration Platform</w:t>
      </w:r>
    </w:p>
    <w:p w14:paraId="641230A6" w14:textId="77777777" w:rsidR="00F21628" w:rsidRDefault="00F21628" w:rsidP="00F21628">
      <w:pPr>
        <w:jc w:val="center"/>
        <w:rPr>
          <w:b/>
          <w:bCs/>
          <w:color w:val="000000" w:themeColor="text1"/>
        </w:rPr>
      </w:pPr>
    </w:p>
    <w:p w14:paraId="477126CA" w14:textId="016C3407" w:rsidR="00B84BEC" w:rsidRPr="00CA4464" w:rsidRDefault="00B84BEC" w:rsidP="00CA4464">
      <w:pPr>
        <w:jc w:val="center"/>
        <w:rPr>
          <w:b/>
          <w:bCs/>
          <w:color w:val="000000" w:themeColor="text1"/>
          <w:sz w:val="32"/>
          <w:szCs w:val="32"/>
        </w:rPr>
      </w:pPr>
      <w:r w:rsidRPr="00221B6D">
        <w:rPr>
          <w:b/>
          <w:bCs/>
          <w:color w:val="000000" w:themeColor="text1"/>
          <w:sz w:val="32"/>
          <w:szCs w:val="32"/>
        </w:rPr>
        <w:t xml:space="preserve">Yves </w:t>
      </w:r>
      <w:proofErr w:type="spellStart"/>
      <w:r w:rsidRPr="00221B6D">
        <w:rPr>
          <w:b/>
          <w:bCs/>
          <w:color w:val="000000" w:themeColor="text1"/>
          <w:sz w:val="32"/>
          <w:szCs w:val="32"/>
        </w:rPr>
        <w:t>Greatti</w:t>
      </w:r>
      <w:proofErr w:type="spellEnd"/>
      <w:r w:rsidR="00F21628" w:rsidRPr="00221B6D">
        <w:rPr>
          <w:b/>
          <w:bCs/>
          <w:color w:val="000000" w:themeColor="text1"/>
          <w:sz w:val="32"/>
          <w:szCs w:val="32"/>
        </w:rPr>
        <w:t xml:space="preserve"> </w:t>
      </w:r>
    </w:p>
    <w:p w14:paraId="5DA3C79F" w14:textId="77777777" w:rsidR="00F21628" w:rsidRPr="00F21628" w:rsidRDefault="00F21628" w:rsidP="00F21628">
      <w:pPr>
        <w:rPr>
          <w:color w:val="000000" w:themeColor="text1"/>
        </w:rPr>
      </w:pPr>
      <w:r w:rsidRPr="00F21628">
        <w:rPr>
          <w:color w:val="000000" w:themeColor="text1"/>
        </w:rPr>
        <w:t>10/08/2022</w:t>
      </w:r>
    </w:p>
    <w:p w14:paraId="6F77AFE5" w14:textId="0A5C093A" w:rsidR="00F21628" w:rsidRPr="00F21628" w:rsidRDefault="00F21628" w:rsidP="00F216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AACC6" wp14:editId="3AE194B0">
                <wp:simplePos x="0" y="0"/>
                <wp:positionH relativeFrom="column">
                  <wp:posOffset>2356</wp:posOffset>
                </wp:positionH>
                <wp:positionV relativeFrom="paragraph">
                  <wp:posOffset>187528</wp:posOffset>
                </wp:positionV>
                <wp:extent cx="6627043" cy="0"/>
                <wp:effectExtent l="25400" t="38100" r="40640" b="508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043" cy="0"/>
                        </a:xfrm>
                        <a:prstGeom prst="line">
                          <a:avLst/>
                        </a:prstGeom>
                        <a:ln w="31750" cap="flat">
                          <a:solidFill>
                            <a:schemeClr val="tx2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BC68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4.75pt" to="522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" strokecolor="#0072ce [3215]" strokeweight="2.5pt">
                <v:shadow on="t" color="black" opacity="0" origin=",.5" offset="0,.55556mm"/>
              </v:line>
            </w:pict>
          </mc:Fallback>
        </mc:AlternateContent>
      </w:r>
    </w:p>
    <w:p w14:paraId="38F53A27" w14:textId="5AE9DCBC" w:rsidR="00FF5B3A" w:rsidRPr="00833E3B" w:rsidRDefault="00274369" w:rsidP="00565D82">
      <w:pPr>
        <w:pStyle w:val="Heading2"/>
        <w:spacing w:before="120" w:after="0"/>
      </w:pPr>
      <w:r>
        <w:t xml:space="preserve">Topic  </w:t>
      </w:r>
    </w:p>
    <w:p w14:paraId="1130929B" w14:textId="3BBDB5CE" w:rsidR="0035753C" w:rsidRDefault="006976DB" w:rsidP="005012FA">
      <w:pPr>
        <w:rPr>
          <w:rFonts w:cs="Tahoma"/>
        </w:rPr>
      </w:pPr>
      <w:r>
        <w:rPr>
          <w:rFonts w:cs="Tahoma"/>
        </w:rPr>
        <w:t xml:space="preserve">Spinal cord injury (SCI) is a devastating trauma in the life of a patient and has severe costs on our society. </w:t>
      </w:r>
      <w:r w:rsidR="0035753C">
        <w:rPr>
          <w:rFonts w:cs="Tahoma"/>
        </w:rPr>
        <w:t>There are approximately 17,000 new acute SCI cases in the U.S. diagnosed each year</w:t>
      </w:r>
      <w:r w:rsidR="003354B5">
        <w:rPr>
          <w:rStyle w:val="FootnoteReference"/>
          <w:rFonts w:cs="Tahoma"/>
        </w:rPr>
        <w:footnoteReference w:id="2"/>
      </w:r>
      <w:r w:rsidR="0035753C">
        <w:rPr>
          <w:rFonts w:cs="Tahoma"/>
        </w:rPr>
        <w:t>. Today there are about 285,000 people in the U.S living with SCI and the cost of care range from $350,000 to $1 million per patient for the first year and thereafter.</w:t>
      </w:r>
      <w:r w:rsidR="003354B5">
        <w:rPr>
          <w:rFonts w:cs="Tahoma"/>
        </w:rPr>
        <w:t xml:space="preserve"> Mortality rates in the first years after the injury, have fallen by some 50%, however beyond</w:t>
      </w:r>
      <w:r w:rsidR="00C473E9">
        <w:rPr>
          <w:rFonts w:cs="Tahoma"/>
        </w:rPr>
        <w:t xml:space="preserve"> </w:t>
      </w:r>
      <w:r w:rsidR="003354B5">
        <w:rPr>
          <w:rFonts w:cs="Tahoma"/>
        </w:rPr>
        <w:t xml:space="preserve">this period, </w:t>
      </w:r>
      <w:r w:rsidR="00C473E9">
        <w:rPr>
          <w:rFonts w:cs="Tahoma"/>
        </w:rPr>
        <w:t>there</w:t>
      </w:r>
      <w:r w:rsidR="003354B5">
        <w:rPr>
          <w:rFonts w:cs="Tahoma"/>
        </w:rPr>
        <w:t xml:space="preserve"> ha</w:t>
      </w:r>
      <w:r w:rsidR="00C473E9">
        <w:rPr>
          <w:rFonts w:cs="Tahoma"/>
        </w:rPr>
        <w:t>ve</w:t>
      </w:r>
      <w:r w:rsidR="003354B5">
        <w:rPr>
          <w:rFonts w:cs="Tahoma"/>
        </w:rPr>
        <w:t xml:space="preserve"> no</w:t>
      </w:r>
      <w:r w:rsidR="00C473E9">
        <w:rPr>
          <w:rFonts w:cs="Tahoma"/>
        </w:rPr>
        <w:t>t been</w:t>
      </w:r>
      <w:r w:rsidR="003354B5">
        <w:rPr>
          <w:rFonts w:cs="Tahoma"/>
        </w:rPr>
        <w:t xml:space="preserve"> significant improvements</w:t>
      </w:r>
      <w:r w:rsidR="00C55B1E">
        <w:rPr>
          <w:rStyle w:val="FootnoteReference"/>
          <w:rFonts w:cs="Tahoma"/>
        </w:rPr>
        <w:footnoteReference w:id="3"/>
      </w:r>
      <w:r w:rsidR="003354B5">
        <w:rPr>
          <w:rFonts w:cs="Tahoma"/>
        </w:rPr>
        <w:t>.</w:t>
      </w:r>
      <w:r w:rsidR="00C55B1E">
        <w:rPr>
          <w:rFonts w:cs="Tahoma"/>
        </w:rPr>
        <w:t xml:space="preserve"> Older people have half</w:t>
      </w:r>
      <w:r w:rsidR="005B69E7">
        <w:rPr>
          <w:rFonts w:cs="Tahoma"/>
        </w:rPr>
        <w:t xml:space="preserve"> of the </w:t>
      </w:r>
      <w:r w:rsidR="00C55B1E">
        <w:rPr>
          <w:rFonts w:cs="Tahoma"/>
        </w:rPr>
        <w:t>life expectancy</w:t>
      </w:r>
      <w:r w:rsidR="005B69E7">
        <w:rPr>
          <w:rFonts w:cs="Tahoma"/>
        </w:rPr>
        <w:t xml:space="preserve"> of younger people</w:t>
      </w:r>
      <w:r w:rsidR="00C55B1E">
        <w:rPr>
          <w:rFonts w:cs="Tahoma"/>
        </w:rPr>
        <w:t xml:space="preserve"> and people in their twenties have a life-expectancy </w:t>
      </w:r>
      <w:r w:rsidR="005B69E7">
        <w:rPr>
          <w:rFonts w:cs="Tahoma"/>
        </w:rPr>
        <w:t xml:space="preserve">of </w:t>
      </w:r>
      <w:r w:rsidR="00C55B1E">
        <w:rPr>
          <w:rFonts w:cs="Tahoma"/>
        </w:rPr>
        <w:t xml:space="preserve">about </w:t>
      </w:r>
      <w:r w:rsidR="00BD0F87">
        <w:rPr>
          <w:rFonts w:cs="Tahoma"/>
        </w:rPr>
        <w:t>3</w:t>
      </w:r>
      <w:r w:rsidR="00C55B1E">
        <w:rPr>
          <w:rFonts w:cs="Tahoma"/>
        </w:rPr>
        <w:t>0 years or 15 years depending whether they are dependent on a ventilator</w:t>
      </w:r>
      <w:r w:rsidR="008F0840">
        <w:rPr>
          <w:rStyle w:val="FootnoteReference"/>
          <w:rFonts w:cs="Tahoma"/>
        </w:rPr>
        <w:footnoteReference w:id="4"/>
      </w:r>
      <w:r w:rsidR="00C55B1E">
        <w:rPr>
          <w:rFonts w:cs="Tahoma"/>
        </w:rPr>
        <w:t>.</w:t>
      </w:r>
    </w:p>
    <w:p w14:paraId="07169322" w14:textId="33A02CD3" w:rsidR="0035753C" w:rsidRDefault="00CA0A14" w:rsidP="005012FA">
      <w:pPr>
        <w:rPr>
          <w:rFonts w:cs="Tahoma"/>
        </w:rPr>
      </w:pPr>
      <w:r>
        <w:rPr>
          <w:rFonts w:cs="Tahoma"/>
        </w:rPr>
        <w:t xml:space="preserve">People sustaining a spinal cord injury often have permanent and profound injury complications occurring in multiples (bladder, bowel, skin, movements, etc.) with functional </w:t>
      </w:r>
      <w:r w:rsidR="007A786F">
        <w:rPr>
          <w:rFonts w:cs="Tahoma"/>
        </w:rPr>
        <w:t>loss or</w:t>
      </w:r>
      <w:r w:rsidR="0046048E">
        <w:rPr>
          <w:rFonts w:cs="Tahoma"/>
        </w:rPr>
        <w:t xml:space="preserve"> disability, and potential neurologic disorders (</w:t>
      </w:r>
      <w:r w:rsidR="00053DB1">
        <w:rPr>
          <w:rFonts w:cs="Tahoma"/>
        </w:rPr>
        <w:t>M</w:t>
      </w:r>
      <w:r w:rsidR="0046048E">
        <w:rPr>
          <w:rFonts w:cs="Tahoma"/>
        </w:rPr>
        <w:t xml:space="preserve">ultiple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clerosis, </w:t>
      </w:r>
      <w:r w:rsidR="00053DB1">
        <w:rPr>
          <w:rFonts w:cs="Tahoma"/>
        </w:rPr>
        <w:t>A</w:t>
      </w:r>
      <w:r w:rsidR="0046048E">
        <w:rPr>
          <w:rFonts w:cs="Tahoma"/>
        </w:rPr>
        <w:t xml:space="preserve">myotrophic </w:t>
      </w:r>
      <w:r w:rsidR="00053DB1">
        <w:rPr>
          <w:rFonts w:cs="Tahoma"/>
        </w:rPr>
        <w:t>L</w:t>
      </w:r>
      <w:r w:rsidR="0046048E">
        <w:rPr>
          <w:rFonts w:cs="Tahoma"/>
        </w:rPr>
        <w:t xml:space="preserve">ateral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clerosis, </w:t>
      </w:r>
      <w:r w:rsidR="00053DB1">
        <w:rPr>
          <w:rFonts w:cs="Tahoma"/>
        </w:rPr>
        <w:t>P</w:t>
      </w:r>
      <w:r w:rsidR="0046048E">
        <w:rPr>
          <w:rFonts w:cs="Tahoma"/>
        </w:rPr>
        <w:t>ost-</w:t>
      </w:r>
      <w:r w:rsidR="00053DB1">
        <w:rPr>
          <w:rFonts w:cs="Tahoma"/>
        </w:rPr>
        <w:t>P</w:t>
      </w:r>
      <w:r w:rsidR="0046048E">
        <w:rPr>
          <w:rFonts w:cs="Tahoma"/>
        </w:rPr>
        <w:t xml:space="preserve">olio,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pina </w:t>
      </w:r>
      <w:r w:rsidR="00053DB1">
        <w:rPr>
          <w:rFonts w:cs="Tahoma"/>
        </w:rPr>
        <w:t>B</w:t>
      </w:r>
      <w:r w:rsidR="0046048E">
        <w:rPr>
          <w:rFonts w:cs="Tahoma"/>
        </w:rPr>
        <w:t xml:space="preserve">ifida, </w:t>
      </w:r>
      <w:r w:rsidR="00053DB1">
        <w:rPr>
          <w:rFonts w:cs="Tahoma"/>
        </w:rPr>
        <w:t>T</w:t>
      </w:r>
      <w:r w:rsidR="0046048E">
        <w:rPr>
          <w:rFonts w:cs="Tahoma"/>
        </w:rPr>
        <w:t xml:space="preserve">ransverse </w:t>
      </w:r>
      <w:r w:rsidR="00053DB1">
        <w:rPr>
          <w:rFonts w:cs="Tahoma"/>
        </w:rPr>
        <w:t>M</w:t>
      </w:r>
      <w:r w:rsidR="0046048E">
        <w:rPr>
          <w:rFonts w:cs="Tahoma"/>
        </w:rPr>
        <w:t xml:space="preserve">yelitis,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yringomyelia, </w:t>
      </w:r>
      <w:r w:rsidR="005C2F1A">
        <w:rPr>
          <w:rFonts w:cs="Tahoma"/>
        </w:rPr>
        <w:t>B</w:t>
      </w:r>
      <w:r w:rsidR="0046048E">
        <w:rPr>
          <w:rFonts w:cs="Tahoma"/>
        </w:rPr>
        <w:t>rown-</w:t>
      </w:r>
      <w:r w:rsidR="005C2F1A">
        <w:rPr>
          <w:rFonts w:cs="Tahoma"/>
        </w:rPr>
        <w:t>Sequard</w:t>
      </w:r>
      <w:r w:rsidR="0046048E">
        <w:rPr>
          <w:rFonts w:cs="Tahoma"/>
        </w:rPr>
        <w:t xml:space="preserve"> syndrome, </w:t>
      </w:r>
      <w:r w:rsidR="00053DB1">
        <w:rPr>
          <w:rFonts w:cs="Tahoma"/>
        </w:rPr>
        <w:t>C</w:t>
      </w:r>
      <w:r w:rsidR="0046048E">
        <w:rPr>
          <w:rFonts w:cs="Tahoma"/>
        </w:rPr>
        <w:t xml:space="preserve">auda </w:t>
      </w:r>
      <w:r w:rsidR="00053DB1">
        <w:rPr>
          <w:rFonts w:cs="Tahoma"/>
        </w:rPr>
        <w:t>E</w:t>
      </w:r>
      <w:r w:rsidR="0046048E">
        <w:rPr>
          <w:rFonts w:cs="Tahoma"/>
        </w:rPr>
        <w:t xml:space="preserve">quina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yndrome). </w:t>
      </w:r>
    </w:p>
    <w:p w14:paraId="3567DF1F" w14:textId="56F834B5" w:rsidR="00173B03" w:rsidRPr="00914777" w:rsidRDefault="000E1EA9" w:rsidP="00914777">
      <w:pPr>
        <w:pStyle w:val="Body"/>
      </w:pPr>
      <w:proofErr w:type="spellStart"/>
      <w:r w:rsidRPr="000E1EA9">
        <w:rPr>
          <w:b/>
          <w:bCs w:val="0"/>
        </w:rPr>
        <w:t>Invivo</w:t>
      </w:r>
      <w:proofErr w:type="spellEnd"/>
      <w:r w:rsidRPr="000E1EA9">
        <w:rPr>
          <w:b/>
          <w:bCs w:val="0"/>
        </w:rPr>
        <w:t xml:space="preserve"> </w:t>
      </w:r>
      <w:r w:rsidR="00C86333">
        <w:rPr>
          <w:b/>
          <w:bCs w:val="0"/>
        </w:rPr>
        <w:t>T</w:t>
      </w:r>
      <w:r w:rsidRPr="000E1EA9">
        <w:rPr>
          <w:b/>
          <w:bCs w:val="0"/>
        </w:rPr>
        <w:t>herapeutics</w:t>
      </w:r>
      <w:r>
        <w:t xml:space="preserve"> develops a scaffold platform, the </w:t>
      </w:r>
      <w:r w:rsidRPr="000E1EA9">
        <w:rPr>
          <w:b/>
          <w:bCs w:val="0"/>
        </w:rPr>
        <w:t>Neural-Spinal scaffold</w:t>
      </w:r>
      <w:r>
        <w:t>, and has completed single-arm clinical study for patients with a complete thoracic spinal cord injury. FDA has accepted the preclinical version of the Neural-Spinal scaffol</w:t>
      </w:r>
      <w:r w:rsidR="00914777">
        <w:t xml:space="preserve">d. </w:t>
      </w:r>
      <w:r w:rsidR="00221B6D">
        <w:rPr>
          <w:rFonts w:cs="Tahoma"/>
        </w:rPr>
        <w:t xml:space="preserve">The company has started a two-arm clinical study looking for 20% or greater improvement in the treatment group compared to the control group on the Abbreviated Injury Scale (AIS) grade. The results of this study are expected in Q1 2023. </w:t>
      </w:r>
      <w:r w:rsidR="005011BE">
        <w:rPr>
          <w:rFonts w:cs="Tahoma"/>
        </w:rPr>
        <w:t xml:space="preserve">This platform will </w:t>
      </w:r>
      <w:r w:rsidR="007A786F">
        <w:rPr>
          <w:rFonts w:cs="Tahoma"/>
        </w:rPr>
        <w:t xml:space="preserve">be </w:t>
      </w:r>
      <w:r w:rsidR="005011BE">
        <w:rPr>
          <w:rFonts w:cs="Tahoma"/>
        </w:rPr>
        <w:t xml:space="preserve">used </w:t>
      </w:r>
      <w:r w:rsidR="007A786F">
        <w:rPr>
          <w:rFonts w:cs="Tahoma"/>
        </w:rPr>
        <w:t>in conjunction with</w:t>
      </w:r>
      <w:r w:rsidR="005011BE">
        <w:rPr>
          <w:rFonts w:cs="Tahoma"/>
        </w:rPr>
        <w:t xml:space="preserve"> stem cell </w:t>
      </w:r>
      <w:r w:rsidR="007A786F">
        <w:rPr>
          <w:rFonts w:cs="Tahoma"/>
        </w:rPr>
        <w:t>therapies as drug screening a</w:t>
      </w:r>
      <w:r w:rsidR="00176855">
        <w:rPr>
          <w:rFonts w:cs="Tahoma"/>
        </w:rPr>
        <w:t xml:space="preserve">nd drug </w:t>
      </w:r>
      <w:r w:rsidR="007A786F">
        <w:rPr>
          <w:rFonts w:cs="Tahoma"/>
        </w:rPr>
        <w:t>delivery tool opening the door to improved and novel therapies that will promote the recovery and quality of life of patients afflicted with SCI.</w:t>
      </w:r>
    </w:p>
    <w:p w14:paraId="60CB05A5" w14:textId="1C60E320" w:rsidR="00167B74" w:rsidRDefault="00167B74" w:rsidP="00565D82">
      <w:pPr>
        <w:pStyle w:val="Heading2"/>
        <w:spacing w:before="120" w:after="0"/>
      </w:pPr>
      <w:r w:rsidRPr="005730F3">
        <w:t>Problem statement</w:t>
      </w:r>
      <w:r>
        <w:t xml:space="preserve"> </w:t>
      </w:r>
    </w:p>
    <w:p w14:paraId="7F8B3836" w14:textId="6032BF9F" w:rsidR="00453730" w:rsidRDefault="00CE19A8" w:rsidP="00565D82">
      <w:pPr>
        <w:pStyle w:val="JHEPBody"/>
        <w:rPr>
          <w:rFonts w:cs="Tahoma"/>
        </w:rPr>
      </w:pPr>
      <w:r>
        <w:rPr>
          <w:rFonts w:cs="Tahoma"/>
        </w:rPr>
        <w:t>As of today</w:t>
      </w:r>
      <w:r w:rsidR="00447F35">
        <w:rPr>
          <w:rFonts w:cs="Tahoma"/>
        </w:rPr>
        <w:t>,</w:t>
      </w:r>
      <w:r>
        <w:rPr>
          <w:rFonts w:cs="Tahoma"/>
        </w:rPr>
        <w:t xml:space="preserve"> there </w:t>
      </w:r>
      <w:r w:rsidR="00447F35">
        <w:rPr>
          <w:rFonts w:cs="Tahoma"/>
        </w:rPr>
        <w:t>is</w:t>
      </w:r>
      <w:r>
        <w:rPr>
          <w:rFonts w:cs="Tahoma"/>
        </w:rPr>
        <w:t xml:space="preserve"> no effective treatments</w:t>
      </w:r>
      <w:r w:rsidR="00891790">
        <w:rPr>
          <w:rFonts w:cs="Tahoma"/>
        </w:rPr>
        <w:t xml:space="preserve"> </w:t>
      </w:r>
      <w:r w:rsidR="00447F35">
        <w:rPr>
          <w:rFonts w:cs="Tahoma"/>
        </w:rPr>
        <w:t xml:space="preserve">for </w:t>
      </w:r>
      <w:r w:rsidR="002F4F5F">
        <w:rPr>
          <w:rFonts w:cs="Tahoma"/>
        </w:rPr>
        <w:t xml:space="preserve">spinal cord injury (SCI) </w:t>
      </w:r>
      <w:r w:rsidR="00891790">
        <w:rPr>
          <w:rFonts w:cs="Tahoma"/>
        </w:rPr>
        <w:t>that</w:t>
      </w:r>
      <w:r w:rsidR="00EF1726">
        <w:rPr>
          <w:rFonts w:cs="Tahoma"/>
        </w:rPr>
        <w:t xml:space="preserve"> </w:t>
      </w:r>
      <w:r w:rsidR="00891790">
        <w:rPr>
          <w:rFonts w:cs="Tahoma"/>
        </w:rPr>
        <w:t>can generate the spinal cord after injury.</w:t>
      </w:r>
      <w:r w:rsidR="00EC3E0C">
        <w:rPr>
          <w:rFonts w:cs="Tahoma"/>
        </w:rPr>
        <w:t xml:space="preserve"> </w:t>
      </w:r>
      <w:r w:rsidR="009E1C63">
        <w:rPr>
          <w:rFonts w:cs="Tahoma"/>
        </w:rPr>
        <w:t>There is a need for tissue-engineered construct to provide an environment promoting environment and guidance cues for axonal regeneration</w:t>
      </w:r>
      <w:r w:rsidR="002F4F5F">
        <w:rPr>
          <w:rFonts w:cs="Tahoma"/>
        </w:rPr>
        <w:t xml:space="preserve">. </w:t>
      </w:r>
    </w:p>
    <w:p w14:paraId="4B1566A8" w14:textId="1DBDC187" w:rsidR="00666E12" w:rsidRDefault="00F558B0" w:rsidP="00565D82">
      <w:pPr>
        <w:pStyle w:val="JHEPBody"/>
        <w:rPr>
          <w:rFonts w:cs="Tahoma"/>
        </w:rPr>
      </w:pPr>
      <w:r>
        <w:rPr>
          <w:rFonts w:cs="Tahoma"/>
        </w:rPr>
        <w:t xml:space="preserve">The </w:t>
      </w:r>
      <w:r w:rsidR="00164555">
        <w:rPr>
          <w:rFonts w:cs="Tahoma"/>
        </w:rPr>
        <w:t xml:space="preserve">product </w:t>
      </w:r>
      <w:r>
        <w:rPr>
          <w:rFonts w:cs="Tahoma"/>
        </w:rPr>
        <w:t>is composed of two biocompatible and bioresorbable polymers which together form a</w:t>
      </w:r>
      <w:r w:rsidR="00164555">
        <w:rPr>
          <w:rFonts w:cs="Tahoma"/>
        </w:rPr>
        <w:t xml:space="preserve">n adhesive matrix </w:t>
      </w:r>
      <w:r>
        <w:rPr>
          <w:rFonts w:cs="Tahoma"/>
        </w:rPr>
        <w:t xml:space="preserve">that can </w:t>
      </w:r>
      <w:r w:rsidR="00164555">
        <w:rPr>
          <w:rFonts w:cs="Tahoma"/>
        </w:rPr>
        <w:t xml:space="preserve">deliver the cells </w:t>
      </w:r>
      <w:r w:rsidR="00385282">
        <w:rPr>
          <w:rFonts w:cs="Tahoma"/>
        </w:rPr>
        <w:t xml:space="preserve">near the injury site </w:t>
      </w:r>
      <w:r w:rsidR="00164555">
        <w:rPr>
          <w:rFonts w:cs="Tahoma"/>
        </w:rPr>
        <w:t>for enhancing axon guidance</w:t>
      </w:r>
      <w:r w:rsidR="00E33606">
        <w:rPr>
          <w:rFonts w:cs="Tahoma"/>
        </w:rPr>
        <w:t xml:space="preserve"> </w:t>
      </w:r>
      <w:r w:rsidR="00385282">
        <w:rPr>
          <w:rFonts w:cs="Tahoma"/>
        </w:rPr>
        <w:t>in the spinal cord.</w:t>
      </w:r>
      <w:r w:rsidR="0021559A">
        <w:rPr>
          <w:rFonts w:cs="Tahoma"/>
        </w:rPr>
        <w:t xml:space="preserve"> This matrix </w:t>
      </w:r>
      <w:r>
        <w:rPr>
          <w:rFonts w:cs="Tahoma"/>
        </w:rPr>
        <w:t>is</w:t>
      </w:r>
      <w:r w:rsidR="00243F95">
        <w:rPr>
          <w:rFonts w:cs="Tahoma"/>
        </w:rPr>
        <w:t xml:space="preserve"> able to </w:t>
      </w:r>
      <w:r w:rsidR="00394D40">
        <w:rPr>
          <w:rFonts w:cs="Tahoma"/>
        </w:rPr>
        <w:t>provide graded, spatially and temporarily</w:t>
      </w:r>
      <w:r w:rsidR="00243F95">
        <w:rPr>
          <w:rFonts w:cs="Tahoma"/>
        </w:rPr>
        <w:t xml:space="preserve"> </w:t>
      </w:r>
      <w:r w:rsidR="0021559A">
        <w:rPr>
          <w:rFonts w:cs="Tahoma"/>
        </w:rPr>
        <w:t>neurotrophic factors</w:t>
      </w:r>
      <w:r w:rsidR="00E33606">
        <w:rPr>
          <w:rFonts w:cs="Tahoma"/>
        </w:rPr>
        <w:t xml:space="preserve">, </w:t>
      </w:r>
      <w:r w:rsidR="00F36539">
        <w:rPr>
          <w:rFonts w:cs="Tahoma"/>
        </w:rPr>
        <w:t xml:space="preserve">and </w:t>
      </w:r>
      <w:r w:rsidR="00E33606">
        <w:rPr>
          <w:rFonts w:cs="Tahoma"/>
        </w:rPr>
        <w:t>other cues to improve cell survival</w:t>
      </w:r>
      <w:r w:rsidR="00CA2BB1">
        <w:rPr>
          <w:rFonts w:cs="Tahoma"/>
        </w:rPr>
        <w:t xml:space="preserve"> and potential </w:t>
      </w:r>
      <w:r w:rsidR="00243F95">
        <w:rPr>
          <w:rFonts w:cs="Tahoma"/>
        </w:rPr>
        <w:t xml:space="preserve">pro-generative </w:t>
      </w:r>
      <w:r w:rsidR="00CA2BB1">
        <w:rPr>
          <w:rFonts w:cs="Tahoma"/>
        </w:rPr>
        <w:t>dru</w:t>
      </w:r>
      <w:r w:rsidR="00243F95">
        <w:rPr>
          <w:rFonts w:cs="Tahoma"/>
        </w:rPr>
        <w:t>gs</w:t>
      </w:r>
      <w:r w:rsidR="00E33606">
        <w:rPr>
          <w:rFonts w:cs="Tahoma"/>
        </w:rPr>
        <w:t>.</w:t>
      </w:r>
      <w:r w:rsidR="00FF67C7">
        <w:rPr>
          <w:rFonts w:cs="Tahoma"/>
        </w:rPr>
        <w:t xml:space="preserve"> </w:t>
      </w:r>
      <w:r w:rsidR="00530FE4">
        <w:rPr>
          <w:rFonts w:cs="Tahoma"/>
        </w:rPr>
        <w:t>S</w:t>
      </w:r>
      <w:r w:rsidR="00453730">
        <w:rPr>
          <w:rFonts w:cs="Tahoma"/>
        </w:rPr>
        <w:t>trateg</w:t>
      </w:r>
      <w:r w:rsidR="00A15BDD">
        <w:rPr>
          <w:rFonts w:cs="Tahoma"/>
        </w:rPr>
        <w:t>ies</w:t>
      </w:r>
      <w:r w:rsidR="00453730">
        <w:rPr>
          <w:rFonts w:cs="Tahoma"/>
        </w:rPr>
        <w:t xml:space="preserve"> for cell transplantation</w:t>
      </w:r>
      <w:r w:rsidR="00862E2B">
        <w:rPr>
          <w:rFonts w:cs="Tahoma"/>
        </w:rPr>
        <w:t xml:space="preserve"> within the conduit</w:t>
      </w:r>
      <w:r w:rsidR="00164555">
        <w:rPr>
          <w:rFonts w:cs="Tahoma"/>
        </w:rPr>
        <w:t xml:space="preserve">, </w:t>
      </w:r>
      <w:r w:rsidR="00666E12">
        <w:rPr>
          <w:rFonts w:cs="Tahoma"/>
        </w:rPr>
        <w:t>can</w:t>
      </w:r>
      <w:r w:rsidR="00453730">
        <w:rPr>
          <w:rFonts w:cs="Tahoma"/>
        </w:rPr>
        <w:t xml:space="preserve"> </w:t>
      </w:r>
      <w:r w:rsidR="00FF67C7">
        <w:rPr>
          <w:rFonts w:cs="Tahoma"/>
        </w:rPr>
        <w:t xml:space="preserve">also </w:t>
      </w:r>
      <w:r w:rsidR="00854596">
        <w:rPr>
          <w:rFonts w:cs="Tahoma"/>
        </w:rPr>
        <w:t>include</w:t>
      </w:r>
      <w:r w:rsidR="00453730">
        <w:rPr>
          <w:rFonts w:cs="Tahoma"/>
        </w:rPr>
        <w:t xml:space="preserve"> </w:t>
      </w:r>
      <w:r w:rsidR="00862E2B">
        <w:rPr>
          <w:rFonts w:cs="Tahoma"/>
        </w:rPr>
        <w:t xml:space="preserve">remyelination of non-damaged axons which has been established as an important mechanism for SCI recovery. </w:t>
      </w:r>
    </w:p>
    <w:p w14:paraId="04CDED53" w14:textId="31204C5E" w:rsidR="005012FA" w:rsidRPr="005012FA" w:rsidRDefault="00666E12" w:rsidP="00565D82">
      <w:pPr>
        <w:pStyle w:val="JHEPBody"/>
        <w:rPr>
          <w:rFonts w:cs="Tahoma"/>
        </w:rPr>
      </w:pPr>
      <w:r>
        <w:rPr>
          <w:rFonts w:cs="Tahoma"/>
        </w:rPr>
        <w:t>The scaffold is surgically implanted into the gap in the spinal cord at the site of injury, and is resorbed over several weeks.</w:t>
      </w:r>
      <w:r w:rsidR="00786589">
        <w:rPr>
          <w:rFonts w:cs="Tahoma"/>
        </w:rPr>
        <w:t xml:space="preserve">  </w:t>
      </w:r>
    </w:p>
    <w:sectPr w:rsidR="005012FA" w:rsidRPr="005012FA" w:rsidSect="005363B2">
      <w:pgSz w:w="12240" w:h="15840"/>
      <w:pgMar w:top="720" w:right="1080" w:bottom="172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C274" w14:textId="77777777" w:rsidR="000F2D61" w:rsidRDefault="000F2D61" w:rsidP="00B657A0">
      <w:r>
        <w:separator/>
      </w:r>
    </w:p>
  </w:endnote>
  <w:endnote w:type="continuationSeparator" w:id="0">
    <w:p w14:paraId="2031FE07" w14:textId="77777777" w:rsidR="000F2D61" w:rsidRDefault="000F2D61" w:rsidP="00B657A0">
      <w:r>
        <w:continuationSeparator/>
      </w:r>
    </w:p>
  </w:endnote>
  <w:endnote w:type="continuationNotice" w:id="1">
    <w:p w14:paraId="2D44091E" w14:textId="77777777" w:rsidR="000F2D61" w:rsidRDefault="000F2D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04F32" w14:textId="77777777" w:rsidR="000F2D61" w:rsidRDefault="000F2D61" w:rsidP="00B657A0">
      <w:r>
        <w:separator/>
      </w:r>
    </w:p>
  </w:footnote>
  <w:footnote w:type="continuationSeparator" w:id="0">
    <w:p w14:paraId="08F3D9E6" w14:textId="77777777" w:rsidR="000F2D61" w:rsidRDefault="000F2D61" w:rsidP="00B657A0">
      <w:r>
        <w:continuationSeparator/>
      </w:r>
    </w:p>
  </w:footnote>
  <w:footnote w:type="continuationNotice" w:id="1">
    <w:p w14:paraId="744241C9" w14:textId="77777777" w:rsidR="000F2D61" w:rsidRDefault="000F2D61"/>
  </w:footnote>
  <w:footnote w:id="2">
    <w:p w14:paraId="00D0C84D" w14:textId="2E7E9520" w:rsidR="003354B5" w:rsidRDefault="003354B5">
      <w:pPr>
        <w:pStyle w:val="FootnoteText"/>
      </w:pPr>
      <w:r>
        <w:rPr>
          <w:rStyle w:val="FootnoteReference"/>
        </w:rPr>
        <w:footnoteRef/>
      </w:r>
      <w:r>
        <w:t xml:space="preserve"> National spinal cord injury statistical center.</w:t>
      </w:r>
    </w:p>
  </w:footnote>
  <w:footnote w:id="3">
    <w:p w14:paraId="735F5851" w14:textId="32771BBE" w:rsidR="00C55B1E" w:rsidRDefault="00C55B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55B1E">
        <w:t>lifeexpectancy.org</w:t>
      </w:r>
    </w:p>
  </w:footnote>
  <w:footnote w:id="4">
    <w:p w14:paraId="154E7E83" w14:textId="56D9C9B5" w:rsidR="008F0840" w:rsidRDefault="008F0840">
      <w:pPr>
        <w:pStyle w:val="FootnoteText"/>
      </w:pPr>
      <w:r>
        <w:rPr>
          <w:rStyle w:val="FootnoteReference"/>
        </w:rPr>
        <w:footnoteRef/>
      </w:r>
      <w:r>
        <w:t xml:space="preserve"> Using</w:t>
      </w:r>
      <w:r w:rsidRPr="008F0840">
        <w:t xml:space="preserve"> Life Expectancy Calculator tool at uab.edu/NSCISC.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B86D5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7C36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3EF3A82"/>
    <w:multiLevelType w:val="hybridMultilevel"/>
    <w:tmpl w:val="D4C0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8D774EE"/>
    <w:multiLevelType w:val="hybridMultilevel"/>
    <w:tmpl w:val="42926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6036B6"/>
    <w:multiLevelType w:val="hybridMultilevel"/>
    <w:tmpl w:val="DEEA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31D1A"/>
    <w:multiLevelType w:val="hybridMultilevel"/>
    <w:tmpl w:val="D4C053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57EFC"/>
    <w:multiLevelType w:val="hybridMultilevel"/>
    <w:tmpl w:val="0ACA3C66"/>
    <w:lvl w:ilvl="0" w:tplc="71E4A5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4263620"/>
    <w:multiLevelType w:val="hybridMultilevel"/>
    <w:tmpl w:val="74FA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94B1F"/>
    <w:multiLevelType w:val="hybridMultilevel"/>
    <w:tmpl w:val="9EBADA6A"/>
    <w:lvl w:ilvl="0" w:tplc="CBFAEC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253885"/>
    <w:multiLevelType w:val="hybridMultilevel"/>
    <w:tmpl w:val="F2A6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51B02"/>
    <w:multiLevelType w:val="hybridMultilevel"/>
    <w:tmpl w:val="78002BEA"/>
    <w:lvl w:ilvl="0" w:tplc="1696B9C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6FE6293"/>
    <w:multiLevelType w:val="hybridMultilevel"/>
    <w:tmpl w:val="663213CC"/>
    <w:lvl w:ilvl="0" w:tplc="9DA8DE3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52D67"/>
    <w:multiLevelType w:val="hybridMultilevel"/>
    <w:tmpl w:val="FB1E586E"/>
    <w:lvl w:ilvl="0" w:tplc="FC366A1C">
      <w:numFmt w:val="bullet"/>
      <w:lvlText w:val="-"/>
      <w:lvlJc w:val="left"/>
      <w:pPr>
        <w:ind w:left="110" w:hanging="96"/>
      </w:pPr>
      <w:rPr>
        <w:rFonts w:ascii="Calibri" w:eastAsia="Calibri" w:hAnsi="Calibri" w:cs="Calibri" w:hint="default"/>
        <w:color w:val="A6A6A6"/>
        <w:w w:val="104"/>
        <w:sz w:val="17"/>
        <w:szCs w:val="17"/>
        <w:lang w:val="en-US" w:eastAsia="en-US" w:bidi="en-US"/>
      </w:rPr>
    </w:lvl>
    <w:lvl w:ilvl="1" w:tplc="38D25CC6">
      <w:numFmt w:val="bullet"/>
      <w:lvlText w:val="•"/>
      <w:lvlJc w:val="left"/>
      <w:pPr>
        <w:ind w:left="341" w:hanging="96"/>
      </w:pPr>
      <w:rPr>
        <w:rFonts w:hint="default"/>
        <w:lang w:val="en-US" w:eastAsia="en-US" w:bidi="en-US"/>
      </w:rPr>
    </w:lvl>
    <w:lvl w:ilvl="2" w:tplc="755CCEFE">
      <w:numFmt w:val="bullet"/>
      <w:lvlText w:val="•"/>
      <w:lvlJc w:val="left"/>
      <w:pPr>
        <w:ind w:left="562" w:hanging="96"/>
      </w:pPr>
      <w:rPr>
        <w:rFonts w:hint="default"/>
        <w:lang w:val="en-US" w:eastAsia="en-US" w:bidi="en-US"/>
      </w:rPr>
    </w:lvl>
    <w:lvl w:ilvl="3" w:tplc="64462BDA">
      <w:numFmt w:val="bullet"/>
      <w:lvlText w:val="•"/>
      <w:lvlJc w:val="left"/>
      <w:pPr>
        <w:ind w:left="783" w:hanging="96"/>
      </w:pPr>
      <w:rPr>
        <w:rFonts w:hint="default"/>
        <w:lang w:val="en-US" w:eastAsia="en-US" w:bidi="en-US"/>
      </w:rPr>
    </w:lvl>
    <w:lvl w:ilvl="4" w:tplc="CA022BFA">
      <w:numFmt w:val="bullet"/>
      <w:lvlText w:val="•"/>
      <w:lvlJc w:val="left"/>
      <w:pPr>
        <w:ind w:left="1005" w:hanging="96"/>
      </w:pPr>
      <w:rPr>
        <w:rFonts w:hint="default"/>
        <w:lang w:val="en-US" w:eastAsia="en-US" w:bidi="en-US"/>
      </w:rPr>
    </w:lvl>
    <w:lvl w:ilvl="5" w:tplc="720238E8">
      <w:numFmt w:val="bullet"/>
      <w:lvlText w:val="•"/>
      <w:lvlJc w:val="left"/>
      <w:pPr>
        <w:ind w:left="1226" w:hanging="96"/>
      </w:pPr>
      <w:rPr>
        <w:rFonts w:hint="default"/>
        <w:lang w:val="en-US" w:eastAsia="en-US" w:bidi="en-US"/>
      </w:rPr>
    </w:lvl>
    <w:lvl w:ilvl="6" w:tplc="861A2FBA">
      <w:numFmt w:val="bullet"/>
      <w:lvlText w:val="•"/>
      <w:lvlJc w:val="left"/>
      <w:pPr>
        <w:ind w:left="1447" w:hanging="96"/>
      </w:pPr>
      <w:rPr>
        <w:rFonts w:hint="default"/>
        <w:lang w:val="en-US" w:eastAsia="en-US" w:bidi="en-US"/>
      </w:rPr>
    </w:lvl>
    <w:lvl w:ilvl="7" w:tplc="737CDFCA">
      <w:numFmt w:val="bullet"/>
      <w:lvlText w:val="•"/>
      <w:lvlJc w:val="left"/>
      <w:pPr>
        <w:ind w:left="1669" w:hanging="96"/>
      </w:pPr>
      <w:rPr>
        <w:rFonts w:hint="default"/>
        <w:lang w:val="en-US" w:eastAsia="en-US" w:bidi="en-US"/>
      </w:rPr>
    </w:lvl>
    <w:lvl w:ilvl="8" w:tplc="DD3AAFE8">
      <w:numFmt w:val="bullet"/>
      <w:lvlText w:val="•"/>
      <w:lvlJc w:val="left"/>
      <w:pPr>
        <w:ind w:left="1890" w:hanging="96"/>
      </w:pPr>
      <w:rPr>
        <w:rFonts w:hint="default"/>
        <w:lang w:val="en-US" w:eastAsia="en-US" w:bidi="en-US"/>
      </w:rPr>
    </w:lvl>
  </w:abstractNum>
  <w:abstractNum w:abstractNumId="17" w15:restartNumberingAfterBreak="0">
    <w:nsid w:val="7AE73957"/>
    <w:multiLevelType w:val="hybridMultilevel"/>
    <w:tmpl w:val="F9025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2C253F"/>
    <w:multiLevelType w:val="hybridMultilevel"/>
    <w:tmpl w:val="6D40C2D4"/>
    <w:lvl w:ilvl="0" w:tplc="B7829C72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707529">
    <w:abstractNumId w:val="9"/>
  </w:num>
  <w:num w:numId="2" w16cid:durableId="591012818">
    <w:abstractNumId w:val="14"/>
  </w:num>
  <w:num w:numId="3" w16cid:durableId="179856923">
    <w:abstractNumId w:val="3"/>
  </w:num>
  <w:num w:numId="4" w16cid:durableId="3915848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1637646">
    <w:abstractNumId w:val="0"/>
  </w:num>
  <w:num w:numId="6" w16cid:durableId="796024509">
    <w:abstractNumId w:val="5"/>
  </w:num>
  <w:num w:numId="7" w16cid:durableId="2132432314">
    <w:abstractNumId w:val="2"/>
  </w:num>
  <w:num w:numId="8" w16cid:durableId="1193693858">
    <w:abstractNumId w:val="1"/>
  </w:num>
  <w:num w:numId="9" w16cid:durableId="803236281">
    <w:abstractNumId w:val="11"/>
  </w:num>
  <w:num w:numId="10" w16cid:durableId="1214929145">
    <w:abstractNumId w:val="11"/>
  </w:num>
  <w:num w:numId="11" w16cid:durableId="1534925248">
    <w:abstractNumId w:val="12"/>
  </w:num>
  <w:num w:numId="12" w16cid:durableId="1204631859">
    <w:abstractNumId w:val="10"/>
  </w:num>
  <w:num w:numId="13" w16cid:durableId="1999653488">
    <w:abstractNumId w:val="6"/>
  </w:num>
  <w:num w:numId="14" w16cid:durableId="1948655657">
    <w:abstractNumId w:val="17"/>
  </w:num>
  <w:num w:numId="15" w16cid:durableId="1426876100">
    <w:abstractNumId w:val="13"/>
  </w:num>
  <w:num w:numId="16" w16cid:durableId="148448031">
    <w:abstractNumId w:val="7"/>
  </w:num>
  <w:num w:numId="17" w16cid:durableId="432239574">
    <w:abstractNumId w:val="18"/>
  </w:num>
  <w:num w:numId="18" w16cid:durableId="1902785539">
    <w:abstractNumId w:val="4"/>
  </w:num>
  <w:num w:numId="19" w16cid:durableId="2016347357">
    <w:abstractNumId w:val="8"/>
  </w:num>
  <w:num w:numId="20" w16cid:durableId="1604259620">
    <w:abstractNumId w:val="16"/>
  </w:num>
  <w:num w:numId="21" w16cid:durableId="13416616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stylePaneFormatFilter w:val="5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F2"/>
    <w:rsid w:val="0001659E"/>
    <w:rsid w:val="000268CD"/>
    <w:rsid w:val="00027200"/>
    <w:rsid w:val="00027881"/>
    <w:rsid w:val="0003264A"/>
    <w:rsid w:val="00035E18"/>
    <w:rsid w:val="0004712D"/>
    <w:rsid w:val="00053DB1"/>
    <w:rsid w:val="00057001"/>
    <w:rsid w:val="00057654"/>
    <w:rsid w:val="00060906"/>
    <w:rsid w:val="00061762"/>
    <w:rsid w:val="000806C2"/>
    <w:rsid w:val="00082C06"/>
    <w:rsid w:val="000A6413"/>
    <w:rsid w:val="000A64D4"/>
    <w:rsid w:val="000B452E"/>
    <w:rsid w:val="000B4CB2"/>
    <w:rsid w:val="000B7D9B"/>
    <w:rsid w:val="000C1E44"/>
    <w:rsid w:val="000C64D8"/>
    <w:rsid w:val="000E1EA9"/>
    <w:rsid w:val="000E3018"/>
    <w:rsid w:val="000E4D0E"/>
    <w:rsid w:val="000F2D61"/>
    <w:rsid w:val="0010099F"/>
    <w:rsid w:val="00101D0A"/>
    <w:rsid w:val="00112196"/>
    <w:rsid w:val="0011427A"/>
    <w:rsid w:val="00114746"/>
    <w:rsid w:val="001153AF"/>
    <w:rsid w:val="00120765"/>
    <w:rsid w:val="0012408D"/>
    <w:rsid w:val="001308D6"/>
    <w:rsid w:val="00133B5F"/>
    <w:rsid w:val="00135AFF"/>
    <w:rsid w:val="00142E4C"/>
    <w:rsid w:val="00163066"/>
    <w:rsid w:val="00164555"/>
    <w:rsid w:val="00166392"/>
    <w:rsid w:val="0016660F"/>
    <w:rsid w:val="00166E18"/>
    <w:rsid w:val="00167B74"/>
    <w:rsid w:val="00173B03"/>
    <w:rsid w:val="00176855"/>
    <w:rsid w:val="00186157"/>
    <w:rsid w:val="0018724C"/>
    <w:rsid w:val="00195531"/>
    <w:rsid w:val="001A656F"/>
    <w:rsid w:val="001B287C"/>
    <w:rsid w:val="001B4B77"/>
    <w:rsid w:val="001C7A67"/>
    <w:rsid w:val="001D05A1"/>
    <w:rsid w:val="001D134D"/>
    <w:rsid w:val="001D5A89"/>
    <w:rsid w:val="001E453C"/>
    <w:rsid w:val="001E62E8"/>
    <w:rsid w:val="001F1385"/>
    <w:rsid w:val="00200922"/>
    <w:rsid w:val="00213E68"/>
    <w:rsid w:val="0021559A"/>
    <w:rsid w:val="00215D9D"/>
    <w:rsid w:val="00221859"/>
    <w:rsid w:val="00221B6D"/>
    <w:rsid w:val="00227871"/>
    <w:rsid w:val="00233E85"/>
    <w:rsid w:val="00234800"/>
    <w:rsid w:val="00234F4F"/>
    <w:rsid w:val="00243F95"/>
    <w:rsid w:val="00257BF3"/>
    <w:rsid w:val="00264668"/>
    <w:rsid w:val="00270D5F"/>
    <w:rsid w:val="00274369"/>
    <w:rsid w:val="00277DDB"/>
    <w:rsid w:val="00281D3C"/>
    <w:rsid w:val="002849BA"/>
    <w:rsid w:val="00286FCE"/>
    <w:rsid w:val="00293456"/>
    <w:rsid w:val="002A1561"/>
    <w:rsid w:val="002A3ED6"/>
    <w:rsid w:val="002B1421"/>
    <w:rsid w:val="002C1D5E"/>
    <w:rsid w:val="002D1199"/>
    <w:rsid w:val="002D4C78"/>
    <w:rsid w:val="002D5742"/>
    <w:rsid w:val="002D78E1"/>
    <w:rsid w:val="002E6779"/>
    <w:rsid w:val="002F0A0D"/>
    <w:rsid w:val="002F4F5F"/>
    <w:rsid w:val="002F7AE7"/>
    <w:rsid w:val="00302A2C"/>
    <w:rsid w:val="00305298"/>
    <w:rsid w:val="003214CE"/>
    <w:rsid w:val="0032283D"/>
    <w:rsid w:val="00325CDD"/>
    <w:rsid w:val="00326BD3"/>
    <w:rsid w:val="00330B7C"/>
    <w:rsid w:val="003354B5"/>
    <w:rsid w:val="003440C1"/>
    <w:rsid w:val="0034779A"/>
    <w:rsid w:val="00352D15"/>
    <w:rsid w:val="00354968"/>
    <w:rsid w:val="0035753C"/>
    <w:rsid w:val="00361E35"/>
    <w:rsid w:val="00371AB4"/>
    <w:rsid w:val="00385282"/>
    <w:rsid w:val="00390509"/>
    <w:rsid w:val="00394D40"/>
    <w:rsid w:val="00395CD2"/>
    <w:rsid w:val="003A39B6"/>
    <w:rsid w:val="003B492B"/>
    <w:rsid w:val="003B55EE"/>
    <w:rsid w:val="003C3185"/>
    <w:rsid w:val="003D1CC2"/>
    <w:rsid w:val="003F3C3E"/>
    <w:rsid w:val="00400168"/>
    <w:rsid w:val="00401D49"/>
    <w:rsid w:val="00404F22"/>
    <w:rsid w:val="00413465"/>
    <w:rsid w:val="00426977"/>
    <w:rsid w:val="004323E3"/>
    <w:rsid w:val="00440E19"/>
    <w:rsid w:val="004434B5"/>
    <w:rsid w:val="00447F35"/>
    <w:rsid w:val="00453730"/>
    <w:rsid w:val="00455C01"/>
    <w:rsid w:val="0046048E"/>
    <w:rsid w:val="00461998"/>
    <w:rsid w:val="00463D7E"/>
    <w:rsid w:val="004653BB"/>
    <w:rsid w:val="00465CF1"/>
    <w:rsid w:val="0046670F"/>
    <w:rsid w:val="00474F64"/>
    <w:rsid w:val="00477804"/>
    <w:rsid w:val="00481092"/>
    <w:rsid w:val="004835CD"/>
    <w:rsid w:val="00490F68"/>
    <w:rsid w:val="004920A8"/>
    <w:rsid w:val="004A07BA"/>
    <w:rsid w:val="004B411F"/>
    <w:rsid w:val="004D288E"/>
    <w:rsid w:val="004D2C44"/>
    <w:rsid w:val="004D45A4"/>
    <w:rsid w:val="004E3DA3"/>
    <w:rsid w:val="004E7B46"/>
    <w:rsid w:val="004F4DC9"/>
    <w:rsid w:val="005011BE"/>
    <w:rsid w:val="005012FA"/>
    <w:rsid w:val="0050524A"/>
    <w:rsid w:val="0051604D"/>
    <w:rsid w:val="0051677F"/>
    <w:rsid w:val="0052728B"/>
    <w:rsid w:val="00530CE3"/>
    <w:rsid w:val="00530FE4"/>
    <w:rsid w:val="00532FEF"/>
    <w:rsid w:val="00535BEC"/>
    <w:rsid w:val="005363B2"/>
    <w:rsid w:val="005448CC"/>
    <w:rsid w:val="00551058"/>
    <w:rsid w:val="00551497"/>
    <w:rsid w:val="005559BB"/>
    <w:rsid w:val="0056064F"/>
    <w:rsid w:val="00565D82"/>
    <w:rsid w:val="005710FB"/>
    <w:rsid w:val="00571D0C"/>
    <w:rsid w:val="005730F3"/>
    <w:rsid w:val="00576764"/>
    <w:rsid w:val="00576936"/>
    <w:rsid w:val="0058650F"/>
    <w:rsid w:val="00586F7D"/>
    <w:rsid w:val="00590C85"/>
    <w:rsid w:val="00591DBC"/>
    <w:rsid w:val="00596DCD"/>
    <w:rsid w:val="00597ED6"/>
    <w:rsid w:val="005A7F09"/>
    <w:rsid w:val="005B69E7"/>
    <w:rsid w:val="005B6A4F"/>
    <w:rsid w:val="005B6F74"/>
    <w:rsid w:val="005C2F1A"/>
    <w:rsid w:val="005D015A"/>
    <w:rsid w:val="005D4D53"/>
    <w:rsid w:val="005D52DF"/>
    <w:rsid w:val="005D6CC6"/>
    <w:rsid w:val="005E1094"/>
    <w:rsid w:val="005E3547"/>
    <w:rsid w:val="005E3B7F"/>
    <w:rsid w:val="005F1607"/>
    <w:rsid w:val="005F1878"/>
    <w:rsid w:val="005F3322"/>
    <w:rsid w:val="005F5C75"/>
    <w:rsid w:val="0060043C"/>
    <w:rsid w:val="00606C1B"/>
    <w:rsid w:val="00607DB4"/>
    <w:rsid w:val="00611842"/>
    <w:rsid w:val="00616389"/>
    <w:rsid w:val="006262F8"/>
    <w:rsid w:val="00626973"/>
    <w:rsid w:val="00631DB9"/>
    <w:rsid w:val="00637550"/>
    <w:rsid w:val="00645CFC"/>
    <w:rsid w:val="00654D6D"/>
    <w:rsid w:val="006554C7"/>
    <w:rsid w:val="00665250"/>
    <w:rsid w:val="00665811"/>
    <w:rsid w:val="00666E12"/>
    <w:rsid w:val="00671488"/>
    <w:rsid w:val="00676BF0"/>
    <w:rsid w:val="00677343"/>
    <w:rsid w:val="00682F78"/>
    <w:rsid w:val="006830EF"/>
    <w:rsid w:val="00683BF2"/>
    <w:rsid w:val="0068539E"/>
    <w:rsid w:val="006976DB"/>
    <w:rsid w:val="006A11B0"/>
    <w:rsid w:val="006B46C8"/>
    <w:rsid w:val="006C0E35"/>
    <w:rsid w:val="006C1B0D"/>
    <w:rsid w:val="006C753D"/>
    <w:rsid w:val="006D05FF"/>
    <w:rsid w:val="006D6FA5"/>
    <w:rsid w:val="006D7727"/>
    <w:rsid w:val="006E6CBE"/>
    <w:rsid w:val="006F17F3"/>
    <w:rsid w:val="006F6478"/>
    <w:rsid w:val="0070184A"/>
    <w:rsid w:val="00712BC3"/>
    <w:rsid w:val="00712E49"/>
    <w:rsid w:val="007204BA"/>
    <w:rsid w:val="007211E2"/>
    <w:rsid w:val="007217F7"/>
    <w:rsid w:val="00721831"/>
    <w:rsid w:val="007228F1"/>
    <w:rsid w:val="00724C85"/>
    <w:rsid w:val="00730FD9"/>
    <w:rsid w:val="00735565"/>
    <w:rsid w:val="00740841"/>
    <w:rsid w:val="0074555B"/>
    <w:rsid w:val="00745EB2"/>
    <w:rsid w:val="00746457"/>
    <w:rsid w:val="00746BEA"/>
    <w:rsid w:val="007539B9"/>
    <w:rsid w:val="0076194B"/>
    <w:rsid w:val="0076569D"/>
    <w:rsid w:val="007708A3"/>
    <w:rsid w:val="00773149"/>
    <w:rsid w:val="00786589"/>
    <w:rsid w:val="00792AA1"/>
    <w:rsid w:val="007957AE"/>
    <w:rsid w:val="007A11CA"/>
    <w:rsid w:val="007A786F"/>
    <w:rsid w:val="007B4431"/>
    <w:rsid w:val="007B5FF2"/>
    <w:rsid w:val="007D40FA"/>
    <w:rsid w:val="007D7210"/>
    <w:rsid w:val="007E342D"/>
    <w:rsid w:val="007E7E4D"/>
    <w:rsid w:val="007F6BD5"/>
    <w:rsid w:val="007F7D1C"/>
    <w:rsid w:val="00806525"/>
    <w:rsid w:val="00807EC5"/>
    <w:rsid w:val="00811526"/>
    <w:rsid w:val="00817BCB"/>
    <w:rsid w:val="00823809"/>
    <w:rsid w:val="00833E3B"/>
    <w:rsid w:val="008425D1"/>
    <w:rsid w:val="00843423"/>
    <w:rsid w:val="00854596"/>
    <w:rsid w:val="008574B6"/>
    <w:rsid w:val="00857FA7"/>
    <w:rsid w:val="00860536"/>
    <w:rsid w:val="00862393"/>
    <w:rsid w:val="00862E2B"/>
    <w:rsid w:val="00873957"/>
    <w:rsid w:val="00891790"/>
    <w:rsid w:val="008A3268"/>
    <w:rsid w:val="008A3B7E"/>
    <w:rsid w:val="008A5518"/>
    <w:rsid w:val="008B1806"/>
    <w:rsid w:val="008B7517"/>
    <w:rsid w:val="008D69E8"/>
    <w:rsid w:val="008F0840"/>
    <w:rsid w:val="008F1475"/>
    <w:rsid w:val="008F1BBC"/>
    <w:rsid w:val="008F4047"/>
    <w:rsid w:val="00900886"/>
    <w:rsid w:val="00900920"/>
    <w:rsid w:val="00901982"/>
    <w:rsid w:val="009039C7"/>
    <w:rsid w:val="00904BFD"/>
    <w:rsid w:val="00914777"/>
    <w:rsid w:val="00923B1B"/>
    <w:rsid w:val="009407F4"/>
    <w:rsid w:val="00944BE1"/>
    <w:rsid w:val="009551D4"/>
    <w:rsid w:val="00955CB3"/>
    <w:rsid w:val="00955D45"/>
    <w:rsid w:val="00974719"/>
    <w:rsid w:val="009A017A"/>
    <w:rsid w:val="009A165C"/>
    <w:rsid w:val="009B0AEE"/>
    <w:rsid w:val="009B3375"/>
    <w:rsid w:val="009C17CE"/>
    <w:rsid w:val="009C27FA"/>
    <w:rsid w:val="009C2987"/>
    <w:rsid w:val="009D13C5"/>
    <w:rsid w:val="009D5022"/>
    <w:rsid w:val="009D6626"/>
    <w:rsid w:val="009E13FB"/>
    <w:rsid w:val="009E18B4"/>
    <w:rsid w:val="009E1C63"/>
    <w:rsid w:val="00A04AD7"/>
    <w:rsid w:val="00A15BDD"/>
    <w:rsid w:val="00A17305"/>
    <w:rsid w:val="00A34DA6"/>
    <w:rsid w:val="00A4664A"/>
    <w:rsid w:val="00A654DD"/>
    <w:rsid w:val="00A661AF"/>
    <w:rsid w:val="00A6627B"/>
    <w:rsid w:val="00AA119B"/>
    <w:rsid w:val="00AA202B"/>
    <w:rsid w:val="00AA7B38"/>
    <w:rsid w:val="00AB3639"/>
    <w:rsid w:val="00AB586D"/>
    <w:rsid w:val="00AB5B69"/>
    <w:rsid w:val="00AC32EA"/>
    <w:rsid w:val="00AC6117"/>
    <w:rsid w:val="00AD1558"/>
    <w:rsid w:val="00AD7776"/>
    <w:rsid w:val="00AF0151"/>
    <w:rsid w:val="00B0788C"/>
    <w:rsid w:val="00B12241"/>
    <w:rsid w:val="00B12D09"/>
    <w:rsid w:val="00B1488B"/>
    <w:rsid w:val="00B26C43"/>
    <w:rsid w:val="00B30A1C"/>
    <w:rsid w:val="00B32730"/>
    <w:rsid w:val="00B4678E"/>
    <w:rsid w:val="00B51CAB"/>
    <w:rsid w:val="00B63A1C"/>
    <w:rsid w:val="00B657A0"/>
    <w:rsid w:val="00B6644C"/>
    <w:rsid w:val="00B71413"/>
    <w:rsid w:val="00B756D6"/>
    <w:rsid w:val="00B83268"/>
    <w:rsid w:val="00B84BEC"/>
    <w:rsid w:val="00B929AF"/>
    <w:rsid w:val="00B9364C"/>
    <w:rsid w:val="00BA4AF0"/>
    <w:rsid w:val="00BC6A7E"/>
    <w:rsid w:val="00BD0F87"/>
    <w:rsid w:val="00BD6FBB"/>
    <w:rsid w:val="00BD72E9"/>
    <w:rsid w:val="00BF1759"/>
    <w:rsid w:val="00BF7C8E"/>
    <w:rsid w:val="00C038E4"/>
    <w:rsid w:val="00C0478F"/>
    <w:rsid w:val="00C04F1B"/>
    <w:rsid w:val="00C06073"/>
    <w:rsid w:val="00C07363"/>
    <w:rsid w:val="00C17335"/>
    <w:rsid w:val="00C23033"/>
    <w:rsid w:val="00C23C4B"/>
    <w:rsid w:val="00C23F60"/>
    <w:rsid w:val="00C26008"/>
    <w:rsid w:val="00C31653"/>
    <w:rsid w:val="00C33784"/>
    <w:rsid w:val="00C33F33"/>
    <w:rsid w:val="00C36AAE"/>
    <w:rsid w:val="00C473E9"/>
    <w:rsid w:val="00C527D0"/>
    <w:rsid w:val="00C52842"/>
    <w:rsid w:val="00C55B1E"/>
    <w:rsid w:val="00C57E35"/>
    <w:rsid w:val="00C63533"/>
    <w:rsid w:val="00C6401F"/>
    <w:rsid w:val="00C671F4"/>
    <w:rsid w:val="00C67505"/>
    <w:rsid w:val="00C73273"/>
    <w:rsid w:val="00C76ED0"/>
    <w:rsid w:val="00C84C52"/>
    <w:rsid w:val="00C86333"/>
    <w:rsid w:val="00C86645"/>
    <w:rsid w:val="00C86EC9"/>
    <w:rsid w:val="00C9133F"/>
    <w:rsid w:val="00C91504"/>
    <w:rsid w:val="00C915BE"/>
    <w:rsid w:val="00CA07CB"/>
    <w:rsid w:val="00CA0A14"/>
    <w:rsid w:val="00CA2BB1"/>
    <w:rsid w:val="00CA4464"/>
    <w:rsid w:val="00CA7B90"/>
    <w:rsid w:val="00CC516A"/>
    <w:rsid w:val="00CE1935"/>
    <w:rsid w:val="00CE19A8"/>
    <w:rsid w:val="00D062D5"/>
    <w:rsid w:val="00D1051A"/>
    <w:rsid w:val="00D135B7"/>
    <w:rsid w:val="00D2614C"/>
    <w:rsid w:val="00D33E93"/>
    <w:rsid w:val="00D351F1"/>
    <w:rsid w:val="00D35CE5"/>
    <w:rsid w:val="00D410A3"/>
    <w:rsid w:val="00D46AFF"/>
    <w:rsid w:val="00D5304B"/>
    <w:rsid w:val="00D575D9"/>
    <w:rsid w:val="00D57AFE"/>
    <w:rsid w:val="00D6427A"/>
    <w:rsid w:val="00D67489"/>
    <w:rsid w:val="00D739E1"/>
    <w:rsid w:val="00D777F8"/>
    <w:rsid w:val="00D81B25"/>
    <w:rsid w:val="00D82F74"/>
    <w:rsid w:val="00D83402"/>
    <w:rsid w:val="00D97EE6"/>
    <w:rsid w:val="00DA1E60"/>
    <w:rsid w:val="00DA2185"/>
    <w:rsid w:val="00DB0621"/>
    <w:rsid w:val="00DC5C07"/>
    <w:rsid w:val="00DD05AB"/>
    <w:rsid w:val="00DD0642"/>
    <w:rsid w:val="00DD15DF"/>
    <w:rsid w:val="00DD1AA7"/>
    <w:rsid w:val="00DD3ED7"/>
    <w:rsid w:val="00DD4975"/>
    <w:rsid w:val="00DD5EA9"/>
    <w:rsid w:val="00DD7A4A"/>
    <w:rsid w:val="00DE28EB"/>
    <w:rsid w:val="00DF1464"/>
    <w:rsid w:val="00DF6DFA"/>
    <w:rsid w:val="00E01888"/>
    <w:rsid w:val="00E0739F"/>
    <w:rsid w:val="00E07F77"/>
    <w:rsid w:val="00E113BD"/>
    <w:rsid w:val="00E15F5D"/>
    <w:rsid w:val="00E262AC"/>
    <w:rsid w:val="00E33606"/>
    <w:rsid w:val="00E3475C"/>
    <w:rsid w:val="00E35B7B"/>
    <w:rsid w:val="00E42006"/>
    <w:rsid w:val="00E42B96"/>
    <w:rsid w:val="00E81074"/>
    <w:rsid w:val="00E925DF"/>
    <w:rsid w:val="00E96AA1"/>
    <w:rsid w:val="00EA33CE"/>
    <w:rsid w:val="00EB44C2"/>
    <w:rsid w:val="00EB5ECE"/>
    <w:rsid w:val="00EC3E0C"/>
    <w:rsid w:val="00EC4C7F"/>
    <w:rsid w:val="00ED63AB"/>
    <w:rsid w:val="00EE033B"/>
    <w:rsid w:val="00EE0771"/>
    <w:rsid w:val="00EE3203"/>
    <w:rsid w:val="00EF1726"/>
    <w:rsid w:val="00F10F8E"/>
    <w:rsid w:val="00F1522E"/>
    <w:rsid w:val="00F162AE"/>
    <w:rsid w:val="00F17F33"/>
    <w:rsid w:val="00F20B42"/>
    <w:rsid w:val="00F21628"/>
    <w:rsid w:val="00F22299"/>
    <w:rsid w:val="00F2455A"/>
    <w:rsid w:val="00F31AA8"/>
    <w:rsid w:val="00F33895"/>
    <w:rsid w:val="00F3538F"/>
    <w:rsid w:val="00F36539"/>
    <w:rsid w:val="00F51E4D"/>
    <w:rsid w:val="00F558B0"/>
    <w:rsid w:val="00F57C2E"/>
    <w:rsid w:val="00F62CFF"/>
    <w:rsid w:val="00F63A38"/>
    <w:rsid w:val="00F710BC"/>
    <w:rsid w:val="00F727D6"/>
    <w:rsid w:val="00F876F3"/>
    <w:rsid w:val="00F95EB6"/>
    <w:rsid w:val="00FA181F"/>
    <w:rsid w:val="00FC1B4A"/>
    <w:rsid w:val="00FC54C7"/>
    <w:rsid w:val="00FD1D72"/>
    <w:rsid w:val="00FD33E7"/>
    <w:rsid w:val="00FD7F6F"/>
    <w:rsid w:val="00FE7DAB"/>
    <w:rsid w:val="00FF2E09"/>
    <w:rsid w:val="00FF5B3A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544FEC"/>
  <w15:docId w15:val="{31F9CE47-8E0F-44DC-B1E7-AD028854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D81B25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2"/>
    <w:rsid w:val="00D77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7458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uiPriority w:val="2"/>
    <w:unhideWhenUsed/>
    <w:qFormat/>
    <w:rsid w:val="004B411F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072CE" w:themeColor="text2"/>
      <w:sz w:val="28"/>
      <w:szCs w:val="26"/>
    </w:rPr>
  </w:style>
  <w:style w:type="paragraph" w:styleId="Heading3">
    <w:name w:val="heading 3"/>
    <w:basedOn w:val="JHEPBody"/>
    <w:link w:val="Heading3Char"/>
    <w:unhideWhenUsed/>
    <w:qFormat/>
    <w:rsid w:val="000C64D8"/>
    <w:pPr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semiHidden/>
    <w:unhideWhenUsed/>
    <w:qFormat/>
    <w:rsid w:val="004B41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458" w:themeColor="accent1" w:themeShade="BF"/>
    </w:rPr>
  </w:style>
  <w:style w:type="paragraph" w:styleId="Heading5">
    <w:name w:val="heading 5"/>
    <w:basedOn w:val="Normal"/>
    <w:link w:val="Heading5Char"/>
    <w:semiHidden/>
    <w:unhideWhenUsed/>
    <w:qFormat/>
    <w:rsid w:val="004B41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458" w:themeColor="accent1" w:themeShade="BF"/>
    </w:rPr>
  </w:style>
  <w:style w:type="paragraph" w:styleId="Heading6">
    <w:name w:val="heading 6"/>
    <w:basedOn w:val="Normal"/>
    <w:link w:val="Heading6Char"/>
    <w:semiHidden/>
    <w:unhideWhenUsed/>
    <w:qFormat/>
    <w:rsid w:val="004B41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D3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B657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3214CE"/>
    <w:rPr>
      <w:sz w:val="20"/>
      <w:szCs w:val="20"/>
    </w:rPr>
  </w:style>
  <w:style w:type="character" w:styleId="FootnoteReference">
    <w:name w:val="footnote reference"/>
    <w:uiPriority w:val="2"/>
    <w:rsid w:val="00B657A0"/>
    <w:rPr>
      <w:vertAlign w:val="superscript"/>
    </w:rPr>
  </w:style>
  <w:style w:type="paragraph" w:styleId="Header">
    <w:name w:val="header"/>
    <w:basedOn w:val="Normal"/>
    <w:link w:val="HeaderChar"/>
    <w:uiPriority w:val="2"/>
    <w:rsid w:val="00FC1B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3214CE"/>
  </w:style>
  <w:style w:type="paragraph" w:customStyle="1" w:styleId="CourseName">
    <w:name w:val="Course Name"/>
    <w:basedOn w:val="Normal"/>
    <w:uiPriority w:val="1"/>
    <w:qFormat/>
    <w:rsid w:val="004B411F"/>
    <w:pPr>
      <w:keepNext/>
      <w:autoSpaceDE w:val="0"/>
      <w:autoSpaceDN w:val="0"/>
      <w:adjustRightInd w:val="0"/>
      <w:spacing w:after="360"/>
      <w:outlineLvl w:val="1"/>
    </w:pPr>
    <w:rPr>
      <w:rFonts w:asciiTheme="majorHAnsi" w:hAnsiTheme="majorHAnsi" w:cs="Arial"/>
      <w:b/>
      <w:bCs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1B28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3214CE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ormal"/>
    <w:uiPriority w:val="2"/>
    <w:qFormat/>
    <w:rsid w:val="000806C2"/>
    <w:pPr>
      <w:numPr>
        <w:numId w:val="15"/>
      </w:numPr>
      <w:spacing w:after="60"/>
      <w:ind w:left="360"/>
    </w:pPr>
    <w:rPr>
      <w:rFonts w:cs="Arial"/>
      <w:bCs/>
      <w:szCs w:val="22"/>
    </w:rPr>
  </w:style>
  <w:style w:type="paragraph" w:customStyle="1" w:styleId="SubsectionTitle">
    <w:name w:val="Subsection Title"/>
    <w:basedOn w:val="Normal"/>
    <w:next w:val="Normal"/>
    <w:uiPriority w:val="2"/>
    <w:qFormat/>
    <w:rsid w:val="004B411F"/>
    <w:pPr>
      <w:spacing w:before="240" w:after="240"/>
    </w:pPr>
    <w:rPr>
      <w:rFonts w:asciiTheme="majorHAnsi" w:hAnsiTheme="majorHAnsi" w:cs="Arial"/>
      <w:b/>
      <w:bCs/>
      <w:szCs w:val="22"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rsid w:val="004B411F"/>
    <w:rPr>
      <w:rFonts w:asciiTheme="majorHAnsi" w:eastAsiaTheme="majorEastAsia" w:hAnsiTheme="majorHAnsi" w:cstheme="majorBidi"/>
      <w:b/>
      <w:color w:val="0072CE" w:themeColor="text2"/>
      <w:sz w:val="28"/>
      <w:szCs w:val="26"/>
    </w:rPr>
  </w:style>
  <w:style w:type="numbering" w:customStyle="1" w:styleId="NumberListstrong">
    <w:name w:val="Number List (strong)"/>
    <w:basedOn w:val="NoList"/>
    <w:rsid w:val="003A39B6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3A39B6"/>
    <w:pPr>
      <w:spacing w:after="60"/>
      <w:ind w:left="360" w:hanging="360"/>
    </w:pPr>
    <w:rPr>
      <w:bCs/>
    </w:rPr>
  </w:style>
  <w:style w:type="paragraph" w:customStyle="1" w:styleId="Body">
    <w:name w:val="Body"/>
    <w:basedOn w:val="Normal"/>
    <w:uiPriority w:val="2"/>
    <w:rsid w:val="003A39B6"/>
    <w:rPr>
      <w:bCs/>
    </w:rPr>
  </w:style>
  <w:style w:type="paragraph" w:customStyle="1" w:styleId="JHEPBody">
    <w:name w:val="JHEP Body"/>
    <w:basedOn w:val="Normal"/>
    <w:uiPriority w:val="2"/>
    <w:qFormat/>
    <w:rsid w:val="002D78E1"/>
    <w:rPr>
      <w:rFonts w:cs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D77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4CE"/>
  </w:style>
  <w:style w:type="character" w:customStyle="1" w:styleId="Heading1Char">
    <w:name w:val="Heading 1 Char"/>
    <w:basedOn w:val="DefaultParagraphFont"/>
    <w:link w:val="Heading1"/>
    <w:uiPriority w:val="2"/>
    <w:rsid w:val="003214CE"/>
    <w:rPr>
      <w:rFonts w:asciiTheme="majorHAnsi" w:eastAsiaTheme="majorEastAsia" w:hAnsiTheme="majorHAnsi" w:cstheme="majorBidi"/>
      <w:b/>
      <w:color w:val="007458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4B411F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asciiTheme="majorHAnsi" w:eastAsiaTheme="majorEastAsia" w:hAnsiTheme="majorHAnsi" w:cs="Arial"/>
      <w:b/>
      <w:color w:val="002D72" w:themeColor="accent2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B411F"/>
    <w:rPr>
      <w:rFonts w:asciiTheme="majorHAnsi" w:eastAsiaTheme="majorEastAsia" w:hAnsiTheme="majorHAnsi" w:cs="Arial"/>
      <w:b/>
      <w:color w:val="002D72" w:themeColor="accent2"/>
      <w:kern w:val="36"/>
      <w:sz w:val="36"/>
      <w:szCs w:val="36"/>
    </w:rPr>
  </w:style>
  <w:style w:type="paragraph" w:styleId="ListParagraph">
    <w:name w:val="List Paragraph"/>
    <w:basedOn w:val="Normal"/>
    <w:uiPriority w:val="34"/>
    <w:qFormat/>
    <w:rsid w:val="000806C2"/>
    <w:pPr>
      <w:numPr>
        <w:numId w:val="10"/>
      </w:numPr>
      <w:spacing w:before="240" w:after="240" w:line="259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3Char">
    <w:name w:val="Heading 3 Char"/>
    <w:basedOn w:val="DefaultParagraphFont"/>
    <w:link w:val="Heading3"/>
    <w:rsid w:val="000C64D8"/>
    <w:rPr>
      <w:rFonts w:ascii="Tahoma" w:hAnsi="Tahoma" w:cs="Arial"/>
      <w:b/>
      <w:bCs/>
      <w:i/>
      <w:iCs/>
      <w:szCs w:val="22"/>
    </w:rPr>
  </w:style>
  <w:style w:type="character" w:customStyle="1" w:styleId="Heading4Char">
    <w:name w:val="Heading 4 Char"/>
    <w:basedOn w:val="DefaultParagraphFont"/>
    <w:link w:val="Heading4"/>
    <w:semiHidden/>
    <w:rsid w:val="004B411F"/>
    <w:rPr>
      <w:rFonts w:asciiTheme="majorHAnsi" w:eastAsiaTheme="majorEastAsia" w:hAnsiTheme="majorHAnsi" w:cstheme="majorBidi"/>
      <w:i/>
      <w:iCs/>
      <w:color w:val="007458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4B411F"/>
    <w:rPr>
      <w:rFonts w:asciiTheme="majorHAnsi" w:eastAsiaTheme="majorEastAsia" w:hAnsiTheme="majorHAnsi" w:cstheme="majorBidi"/>
      <w:color w:val="007458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4B411F"/>
    <w:rPr>
      <w:rFonts w:asciiTheme="majorHAnsi" w:eastAsiaTheme="majorEastAsia" w:hAnsiTheme="majorHAnsi" w:cstheme="majorBidi"/>
      <w:color w:val="004D3A" w:themeColor="accent1" w:themeShade="7F"/>
    </w:rPr>
  </w:style>
  <w:style w:type="character" w:styleId="Hyperlink">
    <w:name w:val="Hyperlink"/>
    <w:basedOn w:val="DefaultParagraphFont"/>
    <w:uiPriority w:val="2"/>
    <w:rsid w:val="00B12241"/>
    <w:rPr>
      <w:color w:val="0072C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41"/>
    <w:rPr>
      <w:color w:val="605E5C"/>
      <w:shd w:val="clear" w:color="auto" w:fill="E1DFDD"/>
    </w:rPr>
  </w:style>
  <w:style w:type="table" w:styleId="TableGrid">
    <w:name w:val="Table Grid"/>
    <w:basedOn w:val="TableNormal"/>
    <w:rsid w:val="002D7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F162AE"/>
    <w:tblPr>
      <w:tblStyleRowBandSize w:val="1"/>
      <w:tblStyleColBandSize w:val="1"/>
      <w:tblBorders>
        <w:top w:val="single" w:sz="4" w:space="0" w:color="609EFF" w:themeColor="accent2" w:themeTint="66"/>
        <w:left w:val="single" w:sz="4" w:space="0" w:color="609EFF" w:themeColor="accent2" w:themeTint="66"/>
        <w:bottom w:val="single" w:sz="4" w:space="0" w:color="609EFF" w:themeColor="accent2" w:themeTint="66"/>
        <w:right w:val="single" w:sz="4" w:space="0" w:color="609EFF" w:themeColor="accent2" w:themeTint="66"/>
        <w:insideH w:val="single" w:sz="4" w:space="0" w:color="609EFF" w:themeColor="accent2" w:themeTint="66"/>
        <w:insideV w:val="single" w:sz="4" w:space="0" w:color="609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16E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16E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DD7A4A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OneDrive%20-%20Johns%20Hopkins\Teaching\585.729%20Cell%20and%20Tissue%20Engineering%20(Redesign)\_Document%20Templates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EP Colors">
      <a:dk1>
        <a:srgbClr val="000000"/>
      </a:dk1>
      <a:lt1>
        <a:sysClr val="window" lastClr="FFFFFF"/>
      </a:lt1>
      <a:dk2>
        <a:srgbClr val="0072CE"/>
      </a:dk2>
      <a:lt2>
        <a:srgbClr val="FFFFFF"/>
      </a:lt2>
      <a:accent1>
        <a:srgbClr val="009B77"/>
      </a:accent1>
      <a:accent2>
        <a:srgbClr val="002D72"/>
      </a:accent2>
      <a:accent3>
        <a:srgbClr val="418FDE"/>
      </a:accent3>
      <a:accent4>
        <a:srgbClr val="727272"/>
      </a:accent4>
      <a:accent5>
        <a:srgbClr val="000000"/>
      </a:accent5>
      <a:accent6>
        <a:srgbClr val="42494C"/>
      </a:accent6>
      <a:hlink>
        <a:srgbClr val="0072CE"/>
      </a:hlink>
      <a:folHlink>
        <a:srgbClr val="727272"/>
      </a:folHlink>
    </a:clrScheme>
    <a:fontScheme name="EP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B81209776AF40B8AAD3C366C78D42" ma:contentTypeVersion="12" ma:contentTypeDescription="Create a new document." ma:contentTypeScope="" ma:versionID="036ba4e26ecc6a93039296b35ff93deb">
  <xsd:schema xmlns:xsd="http://www.w3.org/2001/XMLSchema" xmlns:xs="http://www.w3.org/2001/XMLSchema" xmlns:p="http://schemas.microsoft.com/office/2006/metadata/properties" xmlns:ns2="e3b5c32c-df6c-443f-b08b-73d85d62f2b5" xmlns:ns3="168931df-3f45-4445-be76-105235143e52" targetNamespace="http://schemas.microsoft.com/office/2006/metadata/properties" ma:root="true" ma:fieldsID="6479c46f14338b542629158efca55e4f" ns2:_="" ns3:_="">
    <xsd:import namespace="e3b5c32c-df6c-443f-b08b-73d85d62f2b5"/>
    <xsd:import namespace="168931df-3f45-4445-be76-105235143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5c32c-df6c-443f-b08b-73d85d62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31df-3f45-4445-be76-105235143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1799D8-B4DE-4F44-BA66-7F96FAE0C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5c32c-df6c-443f-b08b-73d85d62f2b5"/>
    <ds:schemaRef ds:uri="168931df-3f45-4445-be76-105235143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4494D3-158E-4582-A8D0-53AF8FB6A6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79351-65DF-4C6E-9D22-18A8FDD157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8FD332-7843-4A9A-A11D-7C189DC8C0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C:\Users\Ethan\OneDrive - Johns Hopkins\Teaching\585.729 Cell and Tissue Engineering (Redesign)\_Document Templates\Word Template.dotx</Template>
  <TotalTime>1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2896</CharactersWithSpaces>
  <SharedDoc>false</SharedDoc>
  <HLinks>
    <vt:vector size="18" baseType="variant">
      <vt:variant>
        <vt:i4>3735599</vt:i4>
      </vt:variant>
      <vt:variant>
        <vt:i4>6</vt:i4>
      </vt:variant>
      <vt:variant>
        <vt:i4>0</vt:i4>
      </vt:variant>
      <vt:variant>
        <vt:i4>5</vt:i4>
      </vt:variant>
      <vt:variant>
        <vt:lpwstr>https://www.thermofisher.com/us/en/home/industrial/pharma-biopharma/drug-discovery-development/target-and-lead-identification-and-validation/g-protein-coupled/cell-based-second-messenger-assays/fura-2-calcium-indicator.html</vt:lpwstr>
      </vt:variant>
      <vt:variant>
        <vt:lpwstr/>
      </vt:variant>
      <vt:variant>
        <vt:i4>5373966</vt:i4>
      </vt:variant>
      <vt:variant>
        <vt:i4>3</vt:i4>
      </vt:variant>
      <vt:variant>
        <vt:i4>0</vt:i4>
      </vt:variant>
      <vt:variant>
        <vt:i4>5</vt:i4>
      </vt:variant>
      <vt:variant>
        <vt:lpwstr>https://www.cell.com/neuron/pdfExtended/S0896-6273(19)30172-2</vt:lpwstr>
      </vt:variant>
      <vt:variant>
        <vt:lpwstr/>
      </vt:variant>
      <vt:variant>
        <vt:i4>1114134</vt:i4>
      </vt:variant>
      <vt:variant>
        <vt:i4>0</vt:i4>
      </vt:variant>
      <vt:variant>
        <vt:i4>0</vt:i4>
      </vt:variant>
      <vt:variant>
        <vt:i4>5</vt:i4>
      </vt:variant>
      <vt:variant>
        <vt:lpwstr>https://www.thermofisher.com/us/en/home/life-science/cell-analysis/cell-viability-and-regulation/apoptosis/mitochondria-function.html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Nyberg</dc:creator>
  <cp:keywords/>
  <dc:description/>
  <cp:lastModifiedBy>Microsoft Office User</cp:lastModifiedBy>
  <cp:revision>4</cp:revision>
  <cp:lastPrinted>2022-10-10T00:01:00Z</cp:lastPrinted>
  <dcterms:created xsi:type="dcterms:W3CDTF">2022-10-10T00:01:00Z</dcterms:created>
  <dcterms:modified xsi:type="dcterms:W3CDTF">2022-10-10T00:02:00Z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0x010100681B81209776AF40B8AAD3C366C78D42</vt:lpwstr>
  </property>
  <property fmtid="{D5CDD505-2E9C-101B-9397-08002B2CF9AE}" pid="3" name="ZOTERO_PREF_1">
    <vt:lpwstr>&lt;data data-version="3" zotero-version="6.0.15"&gt;&lt;session id="vhFDUNDx"/&gt;&lt;style id="http://www.zotero.org/styles/modern-language-association" locale="en-US" hasBibliography="1" bibliographyStyleHasBeenSet="1"/&gt;&lt;prefs&gt;&lt;pref name="fieldType" value="Field"/&gt;&lt;/</vt:lpwstr>
  </property>
  <property fmtid="{D5CDD505-2E9C-101B-9397-08002B2CF9AE}" pid="4" name="ZOTERO_PREF_2">
    <vt:lpwstr>prefs&gt;&lt;/data&gt;</vt:lpwstr>
  </property>
</Properties>
</file>