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88947" w14:textId="5955F568" w:rsidR="00227871" w:rsidRPr="00712448" w:rsidRDefault="00227871" w:rsidP="005012FA">
      <w:pPr>
        <w:pStyle w:val="SubsectionTitle"/>
        <w:spacing w:before="0" w:after="0"/>
        <w:rPr>
          <w:rFonts w:eastAsiaTheme="majorEastAsia"/>
          <w:color w:val="418FDE" w:themeColor="accent3"/>
          <w:sz w:val="32"/>
          <w:szCs w:val="32"/>
        </w:rPr>
      </w:pPr>
      <w:r w:rsidRPr="00712448">
        <w:rPr>
          <w:rFonts w:eastAsiaTheme="majorEastAsia"/>
          <w:color w:val="418FDE" w:themeColor="accent3"/>
          <w:sz w:val="32"/>
          <w:szCs w:val="32"/>
        </w:rPr>
        <w:t>Problem Description</w:t>
      </w:r>
    </w:p>
    <w:p w14:paraId="73AFD33A" w14:textId="38F03D51" w:rsidR="00591DBC" w:rsidRDefault="00631DB9" w:rsidP="00C86EC9">
      <w:pPr>
        <w:rPr>
          <w:rFonts w:eastAsiaTheme="majorEastAsia"/>
        </w:rPr>
      </w:pPr>
      <w:r>
        <w:rPr>
          <w:rFonts w:eastAsiaTheme="majorEastAsia"/>
        </w:rPr>
        <w:t xml:space="preserve">Traumatic spinal cord injury (SCI) is a debilitating neurological condition with severe </w:t>
      </w:r>
      <w:r w:rsidR="000C1E44">
        <w:rPr>
          <w:rFonts w:eastAsiaTheme="majorEastAsia"/>
        </w:rPr>
        <w:t>socioeconomic impact on the health care system.</w:t>
      </w:r>
      <w:r w:rsidR="00FE7DAB">
        <w:rPr>
          <w:rFonts w:eastAsiaTheme="majorEastAsia"/>
        </w:rPr>
        <w:t xml:space="preserve"> Since 2015, about 30% of persons with SCI are re-hospitalized for disease of the skin, or respiratory, digestive </w:t>
      </w:r>
      <w:r w:rsidR="0012408D">
        <w:rPr>
          <w:rFonts w:eastAsiaTheme="majorEastAsia"/>
        </w:rPr>
        <w:t>circulatory,</w:t>
      </w:r>
      <w:r w:rsidR="00FE7DAB">
        <w:rPr>
          <w:rFonts w:eastAsiaTheme="majorEastAsia"/>
        </w:rPr>
        <w:t xml:space="preserve"> and musculoskeletal diseases</w:t>
      </w:r>
      <w:r w:rsidR="00EE3203">
        <w:rPr>
          <w:rStyle w:val="FootnoteReference"/>
          <w:rFonts w:eastAsiaTheme="majorEastAsia"/>
        </w:rPr>
        <w:footnoteReference w:id="2"/>
      </w:r>
      <w:r w:rsidR="00FE7DAB">
        <w:rPr>
          <w:rFonts w:eastAsiaTheme="majorEastAsia"/>
        </w:rPr>
        <w:t>.</w:t>
      </w:r>
      <w:r w:rsidR="002A3ED6">
        <w:rPr>
          <w:rFonts w:eastAsiaTheme="majorEastAsia"/>
        </w:rPr>
        <w:t xml:space="preserve"> </w:t>
      </w:r>
      <w:r w:rsidR="0012408D">
        <w:rPr>
          <w:rFonts w:eastAsiaTheme="majorEastAsia"/>
        </w:rPr>
        <w:t>There are approximatively 54 new cases of SCI per one million people (17,730 new cases)</w:t>
      </w:r>
      <w:r w:rsidR="0012408D">
        <w:rPr>
          <w:rStyle w:val="FootnoteReference"/>
          <w:rFonts w:eastAsiaTheme="majorEastAsia"/>
        </w:rPr>
        <w:footnoteReference w:id="3"/>
      </w:r>
      <w:r w:rsidR="0012408D">
        <w:rPr>
          <w:rFonts w:eastAsiaTheme="majorEastAsia"/>
        </w:rPr>
        <w:t>.</w:t>
      </w:r>
      <w:r w:rsidR="00665811">
        <w:rPr>
          <w:rFonts w:eastAsiaTheme="majorEastAsia"/>
        </w:rPr>
        <w:t xml:space="preserve"> The injured individuals are predominantly male</w:t>
      </w:r>
      <w:r w:rsidR="005E3547">
        <w:rPr>
          <w:rFonts w:eastAsiaTheme="majorEastAsia"/>
        </w:rPr>
        <w:t>. The age distribution is bimodal with a first peak involving young adults and a second peak for adults over the age of 60. Injuries in this last group, usually result from falls</w:t>
      </w:r>
      <w:r w:rsidR="00035E18">
        <w:rPr>
          <w:rFonts w:eastAsiaTheme="majorEastAsia"/>
        </w:rPr>
        <w:t xml:space="preserve"> and </w:t>
      </w:r>
      <w:r w:rsidR="00591DBC">
        <w:rPr>
          <w:rFonts w:eastAsiaTheme="majorEastAsia"/>
        </w:rPr>
        <w:t>these patients</w:t>
      </w:r>
      <w:r w:rsidR="00035E18">
        <w:rPr>
          <w:rFonts w:eastAsiaTheme="majorEastAsia"/>
        </w:rPr>
        <w:t xml:space="preserve"> have worst outcomes than younger patients. </w:t>
      </w:r>
      <w:r w:rsidR="002A3ED6">
        <w:rPr>
          <w:rFonts w:eastAsiaTheme="majorEastAsia"/>
        </w:rPr>
        <w:t>More than 90% of SCI cases are traumatic such as traffic accidents, violence, sports or falls</w:t>
      </w:r>
      <w:r w:rsidR="0070709C">
        <w:rPr>
          <w:rFonts w:eastAsiaTheme="majorEastAsia"/>
        </w:rPr>
        <w:t xml:space="preserve"> (</w:t>
      </w:r>
      <w:r w:rsidR="0070709C">
        <w:rPr>
          <w:rFonts w:eastAsiaTheme="majorEastAsia"/>
          <w:b/>
          <w:bCs/>
        </w:rPr>
        <w:t>F</w:t>
      </w:r>
      <w:r w:rsidR="0070709C" w:rsidRPr="0070709C">
        <w:rPr>
          <w:rFonts w:eastAsiaTheme="majorEastAsia"/>
          <w:b/>
          <w:bCs/>
        </w:rPr>
        <w:t>igure</w:t>
      </w:r>
      <w:r w:rsidR="0070709C">
        <w:rPr>
          <w:rFonts w:eastAsiaTheme="majorEastAsia"/>
          <w:b/>
          <w:bCs/>
        </w:rPr>
        <w:t xml:space="preserve"> </w:t>
      </w:r>
      <w:r w:rsidR="0070709C" w:rsidRPr="0070709C">
        <w:rPr>
          <w:rFonts w:eastAsiaTheme="majorEastAsia"/>
          <w:b/>
          <w:bCs/>
        </w:rPr>
        <w:t>1</w:t>
      </w:r>
      <w:r w:rsidR="0070709C">
        <w:rPr>
          <w:rFonts w:eastAsiaTheme="majorEastAsia"/>
        </w:rPr>
        <w:t xml:space="preserve"> below)</w:t>
      </w:r>
      <w:r w:rsidR="002A3ED6">
        <w:rPr>
          <w:rFonts w:eastAsiaTheme="majorEastAsia"/>
        </w:rPr>
        <w:t>.</w:t>
      </w:r>
      <w:r w:rsidR="001308D6">
        <w:rPr>
          <w:rFonts w:eastAsiaTheme="majorEastAsia"/>
        </w:rPr>
        <w:t xml:space="preserve"> Incomplete tetraplegia is the most frequent neurological outcome</w:t>
      </w:r>
      <w:r w:rsidR="0070709C">
        <w:rPr>
          <w:rFonts w:eastAsiaTheme="majorEastAsia"/>
        </w:rPr>
        <w:t xml:space="preserve"> (</w:t>
      </w:r>
      <w:r w:rsidR="0070709C" w:rsidRPr="0070709C">
        <w:rPr>
          <w:rFonts w:eastAsiaTheme="majorEastAsia"/>
          <w:b/>
          <w:bCs/>
        </w:rPr>
        <w:t>Figure 2</w:t>
      </w:r>
      <w:r w:rsidR="0070709C">
        <w:rPr>
          <w:rFonts w:eastAsiaTheme="majorEastAsia"/>
        </w:rPr>
        <w:t xml:space="preserve"> below)</w:t>
      </w:r>
      <w:r w:rsidR="001308D6">
        <w:rPr>
          <w:rFonts w:eastAsiaTheme="majorEastAsia"/>
        </w:rPr>
        <w:t>.</w:t>
      </w:r>
      <w:r w:rsidR="00135AFF">
        <w:rPr>
          <w:rFonts w:eastAsiaTheme="majorEastAsia"/>
        </w:rPr>
        <w:t xml:space="preserve"> The </w:t>
      </w:r>
      <w:r w:rsidR="00591DBC">
        <w:rPr>
          <w:rFonts w:eastAsiaTheme="majorEastAsia"/>
        </w:rPr>
        <w:t>estimated lifetime costs average 1 to 5 million per individual</w:t>
      </w:r>
      <w:r w:rsidR="00591DBC">
        <w:rPr>
          <w:rStyle w:val="FootnoteReference"/>
          <w:rFonts w:eastAsiaTheme="majorEastAsia"/>
        </w:rPr>
        <w:footnoteReference w:id="4"/>
      </w:r>
      <w:r w:rsidR="00591DBC">
        <w:rPr>
          <w:rFonts w:eastAsiaTheme="majorEastAsia"/>
        </w:rPr>
        <w:t>.</w:t>
      </w:r>
    </w:p>
    <w:p w14:paraId="3BCE6E2F" w14:textId="77777777" w:rsidR="00135AFF" w:rsidRPr="00135AFF" w:rsidRDefault="00135AFF" w:rsidP="00135AFF">
      <w:pPr>
        <w:pStyle w:val="Body"/>
        <w:rPr>
          <w:rFonts w:eastAsiaTheme="majorEastAsia"/>
        </w:rPr>
      </w:pPr>
    </w:p>
    <w:tbl>
      <w:tblPr>
        <w:tblStyle w:val="TableGrid"/>
        <w:tblW w:w="0" w:type="auto"/>
        <w:tblLook w:val="04A0" w:firstRow="1" w:lastRow="0" w:firstColumn="1" w:lastColumn="0" w:noHBand="0" w:noVBand="1"/>
      </w:tblPr>
      <w:tblGrid>
        <w:gridCol w:w="10070"/>
      </w:tblGrid>
      <w:tr w:rsidR="0070709C" w14:paraId="1F72BC30" w14:textId="77777777" w:rsidTr="0070709C">
        <w:tc>
          <w:tcPr>
            <w:tcW w:w="10070" w:type="dxa"/>
            <w:shd w:val="clear" w:color="auto" w:fill="BFBFBF" w:themeFill="background1" w:themeFillShade="BF"/>
          </w:tcPr>
          <w:p w14:paraId="5C2F58E9" w14:textId="2BF2CB53" w:rsidR="0070709C" w:rsidRDefault="0070709C" w:rsidP="002A3ED6">
            <w:pPr>
              <w:pStyle w:val="Body"/>
              <w:rPr>
                <w:rFonts w:eastAsiaTheme="majorEastAsia"/>
              </w:rPr>
            </w:pPr>
            <w:r w:rsidRPr="00B9364C">
              <w:rPr>
                <w:rFonts w:eastAsiaTheme="majorEastAsia"/>
                <w:b/>
                <w:bCs w:val="0"/>
              </w:rPr>
              <w:t>Figure 1: Cause</w:t>
            </w:r>
          </w:p>
        </w:tc>
      </w:tr>
      <w:tr w:rsidR="0070709C" w14:paraId="0F7C6EAD" w14:textId="77777777" w:rsidTr="00712448">
        <w:trPr>
          <w:trHeight w:val="2663"/>
        </w:trPr>
        <w:tc>
          <w:tcPr>
            <w:tcW w:w="10070" w:type="dxa"/>
          </w:tcPr>
          <w:p w14:paraId="0FAA333D" w14:textId="02AE7DC6" w:rsidR="0070709C" w:rsidRDefault="0070709C" w:rsidP="0070709C">
            <w:pPr>
              <w:pStyle w:val="Body"/>
              <w:jc w:val="center"/>
              <w:rPr>
                <w:rFonts w:eastAsiaTheme="majorEastAsia"/>
              </w:rPr>
            </w:pPr>
            <w:r>
              <w:rPr>
                <w:rFonts w:eastAsiaTheme="majorEastAsia"/>
                <w:noProof/>
              </w:rPr>
              <w:drawing>
                <wp:inline distT="0" distB="0" distL="0" distR="0" wp14:anchorId="7B1BD849" wp14:editId="76457409">
                  <wp:extent cx="3386580" cy="1555422"/>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9183" cy="1607139"/>
                          </a:xfrm>
                          <a:prstGeom prst="rect">
                            <a:avLst/>
                          </a:prstGeom>
                        </pic:spPr>
                      </pic:pic>
                    </a:graphicData>
                  </a:graphic>
                </wp:inline>
              </w:drawing>
            </w:r>
          </w:p>
        </w:tc>
      </w:tr>
      <w:tr w:rsidR="0070709C" w14:paraId="49D2B675" w14:textId="77777777" w:rsidTr="0070709C">
        <w:tc>
          <w:tcPr>
            <w:tcW w:w="10070" w:type="dxa"/>
            <w:shd w:val="clear" w:color="auto" w:fill="BFBFBF" w:themeFill="background1" w:themeFillShade="BF"/>
          </w:tcPr>
          <w:p w14:paraId="33AE8936" w14:textId="6458E2D5" w:rsidR="0070709C" w:rsidRDefault="0070709C" w:rsidP="002A3ED6">
            <w:pPr>
              <w:pStyle w:val="Body"/>
              <w:rPr>
                <w:rFonts w:eastAsiaTheme="majorEastAsia"/>
              </w:rPr>
            </w:pPr>
            <w:r w:rsidRPr="00B9364C">
              <w:rPr>
                <w:rFonts w:eastAsiaTheme="majorEastAsia"/>
                <w:b/>
                <w:bCs w:val="0"/>
              </w:rPr>
              <w:t>Figure 2: Neurological Level</w:t>
            </w:r>
          </w:p>
        </w:tc>
      </w:tr>
      <w:tr w:rsidR="0070709C" w14:paraId="47452FBD" w14:textId="77777777" w:rsidTr="00712448">
        <w:trPr>
          <w:trHeight w:val="2663"/>
        </w:trPr>
        <w:tc>
          <w:tcPr>
            <w:tcW w:w="10070" w:type="dxa"/>
          </w:tcPr>
          <w:p w14:paraId="33AE782D" w14:textId="089B72D5" w:rsidR="0070709C" w:rsidRDefault="0070709C" w:rsidP="0070709C">
            <w:pPr>
              <w:pStyle w:val="Body"/>
              <w:jc w:val="center"/>
              <w:rPr>
                <w:rFonts w:eastAsiaTheme="majorEastAsia"/>
              </w:rPr>
            </w:pPr>
            <w:r>
              <w:rPr>
                <w:rFonts w:eastAsiaTheme="majorEastAsia"/>
                <w:noProof/>
              </w:rPr>
              <w:drawing>
                <wp:inline distT="0" distB="0" distL="0" distR="0" wp14:anchorId="4E9111B2" wp14:editId="2E60BBF9">
                  <wp:extent cx="3531700" cy="151961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5354" cy="1568521"/>
                          </a:xfrm>
                          <a:prstGeom prst="rect">
                            <a:avLst/>
                          </a:prstGeom>
                        </pic:spPr>
                      </pic:pic>
                    </a:graphicData>
                  </a:graphic>
                </wp:inline>
              </w:drawing>
            </w:r>
          </w:p>
        </w:tc>
      </w:tr>
    </w:tbl>
    <w:p w14:paraId="4729579C" w14:textId="1812CBA0" w:rsidR="002A3ED6" w:rsidRDefault="002A3ED6" w:rsidP="002A3ED6">
      <w:pPr>
        <w:pStyle w:val="Body"/>
        <w:rPr>
          <w:rFonts w:eastAsiaTheme="majorEastAsia"/>
        </w:rPr>
      </w:pPr>
    </w:p>
    <w:p w14:paraId="2C8488ED" w14:textId="4F0FAB82" w:rsidR="007957AE" w:rsidRPr="00746457" w:rsidRDefault="00712448" w:rsidP="0070709C">
      <w:pPr>
        <w:pStyle w:val="Body"/>
        <w:rPr>
          <w:sz w:val="16"/>
          <w:szCs w:val="16"/>
        </w:rPr>
      </w:pPr>
      <w:r>
        <w:rPr>
          <w:sz w:val="16"/>
          <w:szCs w:val="16"/>
        </w:rPr>
        <w:t xml:space="preserve">Source: </w:t>
      </w:r>
      <w:r w:rsidR="00746457" w:rsidRPr="00746457">
        <w:rPr>
          <w:sz w:val="16"/>
          <w:szCs w:val="16"/>
        </w:rPr>
        <w:t>National spinal cord injury statistical center</w:t>
      </w:r>
    </w:p>
    <w:p w14:paraId="573FADA2" w14:textId="77777777" w:rsidR="0070709C" w:rsidRDefault="0070709C" w:rsidP="007957AE">
      <w:pPr>
        <w:pStyle w:val="Body"/>
      </w:pPr>
    </w:p>
    <w:p w14:paraId="6378BBDB" w14:textId="767BFD17" w:rsidR="00C0478F" w:rsidRDefault="001F1385" w:rsidP="007957AE">
      <w:pPr>
        <w:pStyle w:val="Body"/>
      </w:pPr>
      <w:r>
        <w:t xml:space="preserve">SCI </w:t>
      </w:r>
      <w:r w:rsidR="00A34DA6">
        <w:t>are</w:t>
      </w:r>
      <w:r>
        <w:t xml:space="preserve"> mostly contusion</w:t>
      </w:r>
      <w:r w:rsidR="00A34DA6">
        <w:t xml:space="preserve"> </w:t>
      </w:r>
      <w:r>
        <w:t>(49% of cases), or lacerations (21%)</w:t>
      </w:r>
      <w:r w:rsidR="00A34DA6">
        <w:t xml:space="preserve"> cases</w:t>
      </w:r>
      <w:r>
        <w:t>.</w:t>
      </w:r>
      <w:r w:rsidR="00A34DA6">
        <w:t xml:space="preserve"> </w:t>
      </w:r>
      <w:r w:rsidR="00F727D6">
        <w:t>Compression shows no breach or disruption in the surface anatomy, and presents areas of hemorrhage and necrosis. In contrast, l</w:t>
      </w:r>
      <w:r w:rsidR="00A34DA6">
        <w:t>aceration results in clear-cut of the spinal cord</w:t>
      </w:r>
      <w:r w:rsidR="00F727D6">
        <w:t xml:space="preserve">, the lesions are dominated with </w:t>
      </w:r>
      <w:r w:rsidR="00F727D6">
        <w:lastRenderedPageBreak/>
        <w:t>collagenous connective tissue. I</w:t>
      </w:r>
      <w:r w:rsidR="00A34DA6">
        <w:t>n massive compression, the cord is pulpified to a varying degree</w:t>
      </w:r>
      <w:r w:rsidR="00F727D6">
        <w:t xml:space="preserve"> with extensive fibrous scarring</w:t>
      </w:r>
      <w:r w:rsidR="00C0478F">
        <w:fldChar w:fldCharType="begin"/>
      </w:r>
      <w:r w:rsidR="00CD788B">
        <w:instrText xml:space="preserve"> ADDIN ZOTERO_ITEM CSL_CITATION {"citationID":"4l9nXuFr","properties":{"formattedCitation":"[1]","plainCitation":"[1]","noteIndex":0},"citationItems":[{"id":4044,"uris":["http://zotero.org/users/7286058/items/5696QITW"],"itemData":{"id":4044,"type":"article-journal","abstract":"This article reviews the pathology of human spinal cord injury (SCI), focusing on potential differences between humans and experimental animals, as well as on aspects that may have mechanistic or therapeutic relevance. Importance is placed on astrocyte and microglial reactions. These cells carry out a myriad of functions and we review the evidence that supports their beneficial or detrimental effects. Likewise, vascular responses and the role of inflammation and demyelination in the mechanism of SCI are reviewed. Lastly, schwannosis is discussed, highlighting its high frequency and potential role when designing therapeutic interventions. We anticipate that a better understanding of the pathological responses in the human will be useful to investigators in their studies on the pathogenesis and therapy of SCI.","container-title":"Journal of Neurotrauma","DOI":"10.1089/089771504323004575","ISSN":"0897-7151, 1557-9042","issue":"4","journalAbbreviation":"Journal of Neurotrauma","language":"en","page":"429-440","source":"DOI.org (Crossref)","title":"The Pathology of Human Spinal Cord Injury: Defining the Problems","title-short":"The Pathology of Human Spinal Cord Injury","URL":"http://www.liebertpub.com/doi/10.1089/089771504323004575","volume":"21","author":[{"family":"Norenberg","given":"Michael D."},{"family":"Smith","given":"Jon"},{"family":"Marcillo","given":"Alex"}],"accessed":{"date-parts":[["2022",10,4]]},"issued":{"date-parts":[["2004",4]]}}}],"schema":"https://github.com/citation-style-language/schema/raw/master/csl-citation.json"} </w:instrText>
      </w:r>
      <w:r w:rsidR="00C0478F">
        <w:fldChar w:fldCharType="separate"/>
      </w:r>
      <w:r w:rsidR="00CD788B">
        <w:rPr>
          <w:noProof/>
        </w:rPr>
        <w:t>[1]</w:t>
      </w:r>
      <w:r w:rsidR="00C0478F">
        <w:fldChar w:fldCharType="end"/>
      </w:r>
      <w:r w:rsidR="00F727D6">
        <w:t>.</w:t>
      </w:r>
      <w:r w:rsidR="00576764">
        <w:t xml:space="preserve"> </w:t>
      </w:r>
    </w:p>
    <w:p w14:paraId="1A142AC6" w14:textId="12B9B3EA" w:rsidR="00B000D3" w:rsidRDefault="00B000D3" w:rsidP="007957AE">
      <w:pPr>
        <w:pStyle w:val="Body"/>
      </w:pPr>
    </w:p>
    <w:p w14:paraId="2EF90CDE" w14:textId="704F8243" w:rsidR="00C0478F" w:rsidRPr="001C67A2" w:rsidRDefault="00B000D3" w:rsidP="007957AE">
      <w:pPr>
        <w:pStyle w:val="Body"/>
        <w:rPr>
          <w:b/>
          <w:bCs w:val="0"/>
        </w:rPr>
      </w:pPr>
      <w:r w:rsidRPr="001C67A2">
        <w:rPr>
          <w:b/>
          <w:bCs w:val="0"/>
        </w:rPr>
        <w:t xml:space="preserve">Figure </w:t>
      </w:r>
      <w:r w:rsidR="001C67A2" w:rsidRPr="001C67A2">
        <w:rPr>
          <w:b/>
          <w:bCs w:val="0"/>
        </w:rPr>
        <w:t>3</w:t>
      </w:r>
      <w:r w:rsidRPr="001C67A2">
        <w:rPr>
          <w:b/>
          <w:bCs w:val="0"/>
        </w:rPr>
        <w:t xml:space="preserve">: </w:t>
      </w:r>
      <w:r w:rsidR="001C67A2" w:rsidRPr="001C67A2">
        <w:rPr>
          <w:b/>
          <w:bCs w:val="0"/>
        </w:rPr>
        <w:t>“The Pathology of Human Spinal Cord Injury: Defining the Problems”</w:t>
      </w:r>
    </w:p>
    <w:p w14:paraId="03510667" w14:textId="78FF2C89" w:rsidR="00C0478F" w:rsidRDefault="00C0478F" w:rsidP="007957AE">
      <w:pPr>
        <w:pStyle w:val="Body"/>
      </w:pPr>
      <w:r>
        <w:rPr>
          <w:noProof/>
        </w:rPr>
        <mc:AlternateContent>
          <mc:Choice Requires="wps">
            <w:drawing>
              <wp:anchor distT="0" distB="0" distL="114300" distR="114300" simplePos="0" relativeHeight="251659264" behindDoc="0" locked="0" layoutInCell="1" allowOverlap="1" wp14:anchorId="35840259" wp14:editId="7178A18E">
                <wp:simplePos x="0" y="0"/>
                <wp:positionH relativeFrom="column">
                  <wp:posOffset>72010</wp:posOffset>
                </wp:positionH>
                <wp:positionV relativeFrom="paragraph">
                  <wp:posOffset>2901485</wp:posOffset>
                </wp:positionV>
                <wp:extent cx="486528" cy="141219"/>
                <wp:effectExtent l="50800" t="25400" r="21590" b="62230"/>
                <wp:wrapNone/>
                <wp:docPr id="8" name="Rounded Rectangle 8"/>
                <wp:cNvGraphicFramePr/>
                <a:graphic xmlns:a="http://schemas.openxmlformats.org/drawingml/2006/main">
                  <a:graphicData uri="http://schemas.microsoft.com/office/word/2010/wordprocessingShape">
                    <wps:wsp>
                      <wps:cNvSpPr/>
                      <wps:spPr>
                        <a:xfrm flipV="1">
                          <a:off x="0" y="0"/>
                          <a:ext cx="486528" cy="141219"/>
                        </a:xfrm>
                        <a:prstGeom prst="roundRect">
                          <a:avLst/>
                        </a:prstGeom>
                        <a:solidFill>
                          <a:schemeClr val="bg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B6DB6" id="Rounded Rectangle 8" o:spid="_x0000_s1026" style="position:absolute;margin-left:5.65pt;margin-top:228.45pt;width:38.3pt;height:11.1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" fillcolor="white [3212]" stroked="f">
                <v:shadow on="t" color="black" opacity="22937f" origin=",.5" offset="0,.63889mm"/>
              </v:roundrect>
            </w:pict>
          </mc:Fallback>
        </mc:AlternateContent>
      </w:r>
      <w:r>
        <w:rPr>
          <w:noProof/>
        </w:rPr>
        <w:drawing>
          <wp:inline distT="0" distB="0" distL="0" distR="0" wp14:anchorId="1BFFC89E" wp14:editId="4D8BDA87">
            <wp:extent cx="6400800" cy="3526790"/>
            <wp:effectExtent l="12700" t="12700" r="1270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526790"/>
                    </a:xfrm>
                    <a:prstGeom prst="rect">
                      <a:avLst/>
                    </a:prstGeom>
                    <a:ln>
                      <a:solidFill>
                        <a:schemeClr val="tx1"/>
                      </a:solidFill>
                    </a:ln>
                  </pic:spPr>
                </pic:pic>
              </a:graphicData>
            </a:graphic>
          </wp:inline>
        </w:drawing>
      </w:r>
    </w:p>
    <w:p w14:paraId="0819513E" w14:textId="77777777" w:rsidR="00C0478F" w:rsidRDefault="00C0478F" w:rsidP="007957AE">
      <w:pPr>
        <w:pStyle w:val="Body"/>
      </w:pPr>
    </w:p>
    <w:p w14:paraId="7F0FFED9" w14:textId="33275F32" w:rsidR="007957AE" w:rsidRDefault="00576764" w:rsidP="007957AE">
      <w:pPr>
        <w:pStyle w:val="Body"/>
      </w:pPr>
      <w:r>
        <w:t>The initial primary injury causes</w:t>
      </w:r>
      <w:r w:rsidR="007B5FF2">
        <w:t xml:space="preserve"> neuronal death</w:t>
      </w:r>
      <w:r w:rsidR="005F5C75">
        <w:t xml:space="preserve"> (axons and oligodendrocytes)</w:t>
      </w:r>
      <w:r w:rsidR="007B5FF2">
        <w:t>, increase in the level of pro-</w:t>
      </w:r>
      <w:r w:rsidR="003C3185">
        <w:t>inflammatory</w:t>
      </w:r>
      <w:r w:rsidR="007B5FF2">
        <w:t xml:space="preserve"> </w:t>
      </w:r>
      <w:r w:rsidR="003C3185">
        <w:t>cytokines</w:t>
      </w:r>
      <w:r w:rsidR="007B5FF2">
        <w:t xml:space="preserve">, and </w:t>
      </w:r>
      <w:r w:rsidR="000B4CB2">
        <w:t xml:space="preserve">recruits </w:t>
      </w:r>
      <w:r w:rsidR="007B5FF2">
        <w:t xml:space="preserve">inflammatory cells, such as </w:t>
      </w:r>
      <w:r w:rsidR="003C3185">
        <w:t>macrophages</w:t>
      </w:r>
      <w:r w:rsidR="007B5FF2">
        <w:t xml:space="preserve">, </w:t>
      </w:r>
      <w:r w:rsidR="003C3185">
        <w:t>neutrophils</w:t>
      </w:r>
      <w:r w:rsidR="007B5FF2">
        <w:t xml:space="preserve"> and lymphocytes</w:t>
      </w:r>
      <w:r w:rsidR="003C3185">
        <w:t xml:space="preserve"> </w:t>
      </w:r>
      <w:r w:rsidR="007B5FF2">
        <w:t>in the spinal cord</w:t>
      </w:r>
      <w:r w:rsidR="003C3185">
        <w:t>,</w:t>
      </w:r>
      <w:r w:rsidR="000B4CB2">
        <w:t xml:space="preserve"> demyelination, </w:t>
      </w:r>
      <w:r w:rsidR="003C3185">
        <w:t xml:space="preserve">ischemia and hypoxia. </w:t>
      </w:r>
      <w:r>
        <w:t xml:space="preserve"> </w:t>
      </w:r>
      <w:r w:rsidR="008F1475">
        <w:t>This process persists for weeks and initiate</w:t>
      </w:r>
      <w:r w:rsidR="00215D9D">
        <w:t>s</w:t>
      </w:r>
      <w:r w:rsidR="008F1475">
        <w:t xml:space="preserve"> a second wave </w:t>
      </w:r>
      <w:r w:rsidR="008F4047">
        <w:t>o</w:t>
      </w:r>
      <w:r w:rsidR="008F1475">
        <w:t xml:space="preserve">f apoptosis in neurons and </w:t>
      </w:r>
      <w:r w:rsidR="00215D9D">
        <w:t>oligodendrocytes</w:t>
      </w:r>
      <w:r w:rsidR="008F1475">
        <w:t xml:space="preserve">. </w:t>
      </w:r>
      <w:r w:rsidR="00DF6DFA">
        <w:t>In the late phase (weeks to months/years), t</w:t>
      </w:r>
      <w:r w:rsidR="008F4047">
        <w:t xml:space="preserve">he injured tissue is isolated from the environment by reactive astrocytes through the formation of a </w:t>
      </w:r>
      <w:r w:rsidR="00DF6DFA">
        <w:t>mesenchymal</w:t>
      </w:r>
      <w:r w:rsidR="008F4047">
        <w:t xml:space="preserve"> scar</w:t>
      </w:r>
      <w:r w:rsidR="00DF6DFA">
        <w:t>. This phase is also characterized by developments of cysts, and syrinx</w:t>
      </w:r>
      <w:r w:rsidR="00D575D9">
        <w:t xml:space="preserve">, and </w:t>
      </w:r>
      <w:proofErr w:type="spellStart"/>
      <w:r w:rsidR="00B8243C">
        <w:t>S</w:t>
      </w:r>
      <w:r w:rsidR="00D575D9">
        <w:t>chwannosis</w:t>
      </w:r>
      <w:proofErr w:type="spellEnd"/>
      <w:r w:rsidR="00EC44C4">
        <w:t xml:space="preserve"> </w:t>
      </w:r>
      <w:r w:rsidR="00EC44C4">
        <w:fldChar w:fldCharType="begin"/>
      </w:r>
      <w:r w:rsidR="00CD788B">
        <w:instrText xml:space="preserve"> ADDIN ZOTERO_ITEM CSL_CITATION {"citationID":"AImzamLe","properties":{"formattedCitation":"[1]","plainCitation":"[1]","noteIndex":0},"citationItems":[{"id":4044,"uris":["http://zotero.org/users/7286058/items/5696QITW"],"itemData":{"id":4044,"type":"article-journal","abstract":"This article reviews the pathology of human spinal cord injury (SCI), focusing on potential differences between humans and experimental animals, as well as on aspects that may have mechanistic or therapeutic relevance. Importance is placed on astrocyte and microglial reactions. These cells carry out a myriad of functions and we review the evidence that supports their beneficial or detrimental effects. Likewise, vascular responses and the role of inflammation and demyelination in the mechanism of SCI are reviewed. Lastly, schwannosis is discussed, highlighting its high frequency and potential role when designing therapeutic interventions. We anticipate that a better understanding of the pathological responses in the human will be useful to investigators in their studies on the pathogenesis and therapy of SCI.","container-title":"Journal of Neurotrauma","DOI":"10.1089/089771504323004575","ISSN":"0897-7151, 1557-9042","issue":"4","journalAbbreviation":"Journal of Neurotrauma","language":"en","page":"429-440","source":"DOI.org (Crossref)","title":"The Pathology of Human Spinal Cord Injury: Defining the Problems","title-short":"The Pathology of Human Spinal Cord Injury","URL":"http://www.liebertpub.com/doi/10.1089/089771504323004575","volume":"21","author":[{"family":"Norenberg","given":"Michael D."},{"family":"Smith","given":"Jon"},{"family":"Marcillo","given":"Alex"}],"accessed":{"date-parts":[["2022",10,4]]},"issued":{"date-parts":[["2004",4]]}}}],"schema":"https://github.com/citation-style-language/schema/raw/master/csl-citation.json"} </w:instrText>
      </w:r>
      <w:r w:rsidR="00EC44C4">
        <w:fldChar w:fldCharType="separate"/>
      </w:r>
      <w:r w:rsidR="00CD788B">
        <w:rPr>
          <w:noProof/>
        </w:rPr>
        <w:t>[1]</w:t>
      </w:r>
      <w:r w:rsidR="00EC44C4">
        <w:fldChar w:fldCharType="end"/>
      </w:r>
      <w:r w:rsidR="003C2709">
        <w:t xml:space="preserve"> (</w:t>
      </w:r>
      <w:r w:rsidR="00CD788B">
        <w:rPr>
          <w:b/>
          <w:bCs w:val="0"/>
        </w:rPr>
        <w:t>Figure 4 and 5</w:t>
      </w:r>
      <w:r w:rsidR="003C2709">
        <w:t xml:space="preserve"> below)</w:t>
      </w:r>
      <w:r w:rsidR="00D575D9">
        <w:t>.</w:t>
      </w:r>
    </w:p>
    <w:p w14:paraId="2829E590" w14:textId="5253BB70" w:rsidR="001F1385" w:rsidRDefault="001F1385" w:rsidP="007957AE">
      <w:pPr>
        <w:pStyle w:val="Body"/>
      </w:pPr>
    </w:p>
    <w:tbl>
      <w:tblPr>
        <w:tblStyle w:val="TableGrid"/>
        <w:tblW w:w="0" w:type="auto"/>
        <w:tblLook w:val="04A0" w:firstRow="1" w:lastRow="0" w:firstColumn="1" w:lastColumn="0" w:noHBand="0" w:noVBand="1"/>
      </w:tblPr>
      <w:tblGrid>
        <w:gridCol w:w="4734"/>
        <w:gridCol w:w="5336"/>
      </w:tblGrid>
      <w:tr w:rsidR="003C2709" w14:paraId="5013451F" w14:textId="6ED26917" w:rsidTr="002C1D7E">
        <w:tc>
          <w:tcPr>
            <w:tcW w:w="4734" w:type="dxa"/>
          </w:tcPr>
          <w:p w14:paraId="3DDFE01B" w14:textId="77777777" w:rsidR="003C2709" w:rsidRDefault="003C2709" w:rsidP="003C2709">
            <w:pPr>
              <w:pStyle w:val="Body"/>
              <w:rPr>
                <w:b/>
                <w:bCs w:val="0"/>
                <w:sz w:val="16"/>
                <w:szCs w:val="16"/>
              </w:rPr>
            </w:pPr>
            <w:r w:rsidRPr="003C2709">
              <w:rPr>
                <w:b/>
                <w:bCs w:val="0"/>
                <w:sz w:val="16"/>
                <w:szCs w:val="16"/>
              </w:rPr>
              <w:t xml:space="preserve">Figure 4: </w:t>
            </w:r>
            <w:proofErr w:type="spellStart"/>
            <w:r w:rsidRPr="003C2709">
              <w:rPr>
                <w:b/>
                <w:bCs w:val="0"/>
                <w:sz w:val="16"/>
                <w:szCs w:val="16"/>
              </w:rPr>
              <w:t>Norenberg</w:t>
            </w:r>
            <w:proofErr w:type="spellEnd"/>
            <w:r w:rsidRPr="003C2709">
              <w:rPr>
                <w:b/>
                <w:bCs w:val="0"/>
                <w:sz w:val="16"/>
                <w:szCs w:val="16"/>
              </w:rPr>
              <w:t xml:space="preserve"> et al. </w:t>
            </w:r>
          </w:p>
          <w:p w14:paraId="6657C451" w14:textId="7CF42943" w:rsidR="003C2709" w:rsidRPr="003C2709" w:rsidRDefault="003C2709" w:rsidP="003C2709">
            <w:pPr>
              <w:pStyle w:val="Body"/>
              <w:rPr>
                <w:b/>
                <w:bCs w:val="0"/>
                <w:sz w:val="16"/>
                <w:szCs w:val="16"/>
              </w:rPr>
            </w:pPr>
            <w:r w:rsidRPr="003C2709">
              <w:rPr>
                <w:b/>
                <w:bCs w:val="0"/>
                <w:sz w:val="16"/>
                <w:szCs w:val="16"/>
              </w:rPr>
              <w:t>Pathophysiology of traumatic. SCI</w:t>
            </w:r>
          </w:p>
        </w:tc>
        <w:tc>
          <w:tcPr>
            <w:tcW w:w="5336" w:type="dxa"/>
          </w:tcPr>
          <w:p w14:paraId="718FEA67" w14:textId="3F081EF7" w:rsidR="003C2709" w:rsidRDefault="003C2709" w:rsidP="003C2709">
            <w:pPr>
              <w:pStyle w:val="Body"/>
              <w:rPr>
                <w:b/>
                <w:bCs w:val="0"/>
                <w:sz w:val="16"/>
                <w:szCs w:val="16"/>
              </w:rPr>
            </w:pPr>
            <w:r w:rsidRPr="003C2709">
              <w:rPr>
                <w:b/>
                <w:bCs w:val="0"/>
                <w:sz w:val="16"/>
                <w:szCs w:val="16"/>
              </w:rPr>
              <w:t xml:space="preserve">Figure 5:  </w:t>
            </w:r>
            <w:r w:rsidR="00E70C07">
              <w:rPr>
                <w:b/>
                <w:bCs w:val="0"/>
                <w:sz w:val="16"/>
                <w:szCs w:val="16"/>
              </w:rPr>
              <w:fldChar w:fldCharType="begin"/>
            </w:r>
            <w:r w:rsidR="00CD788B">
              <w:rPr>
                <w:b/>
                <w:bCs w:val="0"/>
                <w:sz w:val="16"/>
                <w:szCs w:val="16"/>
              </w:rPr>
              <w:instrText xml:space="preserve"> ADDIN ZOTERO_ITEM CSL_CITATION {"citationID":"iioCHILm","properties":{"formattedCitation":"[2]","plainCitation":"[2]","noteIndex":0},"citationItems":[{"id":4074,"uris":["http://zotero.org/users/7286058/items/SESBV4F5"],"itemData":{"id":4074,"type":"article-journal","container-title":"Trends in Molecular Medicine","DOI":"10.1016/j.molmed.2017.06.005","ISSN":"14714914","issue":"8","journalAbbreviation":"Trends in Molecular Medicine","language":"en","page":"756-768","source":"DOI.org (Crossref)","title":"Molecular Pathophysiology of Gout","URL":"https://linkinghub.elsevier.com/retrieve/pii/S1471491417301041","volume":"23","author":[{"family":"Desai","given":"Jyaysi"},{"family":"Steiger","given":"Stefanie"},{"family":"Anders","given":"Hans-Joachim"}],"accessed":{"date-parts":[["2022",10,9]]},"issued":{"date-parts":[["2017",8]]}}}],"schema":"https://github.com/citation-style-language/schema/raw/master/csl-citation.json"} </w:instrText>
            </w:r>
            <w:r w:rsidR="00E70C07">
              <w:rPr>
                <w:b/>
                <w:bCs w:val="0"/>
                <w:sz w:val="16"/>
                <w:szCs w:val="16"/>
              </w:rPr>
              <w:fldChar w:fldCharType="separate"/>
            </w:r>
            <w:r w:rsidR="00CD788B">
              <w:rPr>
                <w:b/>
                <w:bCs w:val="0"/>
                <w:noProof/>
                <w:sz w:val="16"/>
                <w:szCs w:val="16"/>
              </w:rPr>
              <w:t>[2]</w:t>
            </w:r>
            <w:r w:rsidR="00E70C07">
              <w:rPr>
                <w:b/>
                <w:bCs w:val="0"/>
                <w:sz w:val="16"/>
                <w:szCs w:val="16"/>
              </w:rPr>
              <w:fldChar w:fldCharType="end"/>
            </w:r>
          </w:p>
          <w:p w14:paraId="19167E3C" w14:textId="50A553E2" w:rsidR="003C2709" w:rsidRPr="003C2709" w:rsidRDefault="003C2709" w:rsidP="003C2709">
            <w:pPr>
              <w:pStyle w:val="Body"/>
              <w:rPr>
                <w:b/>
                <w:bCs w:val="0"/>
              </w:rPr>
            </w:pPr>
            <w:r w:rsidRPr="003C2709">
              <w:rPr>
                <w:b/>
                <w:bCs w:val="0"/>
                <w:sz w:val="16"/>
                <w:szCs w:val="16"/>
              </w:rPr>
              <w:t>Main cellular targets of cell therapy in SCI</w:t>
            </w:r>
          </w:p>
        </w:tc>
      </w:tr>
      <w:tr w:rsidR="003C2709" w14:paraId="1CE50C4B" w14:textId="0EF58669" w:rsidTr="002C1D7E">
        <w:tc>
          <w:tcPr>
            <w:tcW w:w="4734" w:type="dxa"/>
          </w:tcPr>
          <w:p w14:paraId="0E4F8D1B" w14:textId="54EC7093" w:rsidR="003C2709" w:rsidRDefault="003C2709" w:rsidP="003C2709">
            <w:pPr>
              <w:pStyle w:val="Body"/>
              <w:jc w:val="center"/>
            </w:pPr>
            <w:r>
              <w:rPr>
                <w:noProof/>
              </w:rPr>
              <w:drawing>
                <wp:inline distT="0" distB="0" distL="0" distR="0" wp14:anchorId="0DA7A028" wp14:editId="49CD55F8">
                  <wp:extent cx="2045617" cy="18430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1636" cy="1884547"/>
                          </a:xfrm>
                          <a:prstGeom prst="rect">
                            <a:avLst/>
                          </a:prstGeom>
                        </pic:spPr>
                      </pic:pic>
                    </a:graphicData>
                  </a:graphic>
                </wp:inline>
              </w:drawing>
            </w:r>
          </w:p>
        </w:tc>
        <w:tc>
          <w:tcPr>
            <w:tcW w:w="5336" w:type="dxa"/>
          </w:tcPr>
          <w:p w14:paraId="7C322FF9" w14:textId="71E51F26" w:rsidR="003C2709" w:rsidRDefault="003C2709" w:rsidP="003C2709">
            <w:pPr>
              <w:pStyle w:val="Body"/>
              <w:jc w:val="center"/>
              <w:rPr>
                <w:noProof/>
              </w:rPr>
            </w:pPr>
            <w:r>
              <w:rPr>
                <w:noProof/>
              </w:rPr>
              <w:drawing>
                <wp:inline distT="0" distB="0" distL="0" distR="0" wp14:anchorId="7DE8E7E4" wp14:editId="4EC33F10">
                  <wp:extent cx="2564091" cy="1925866"/>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1268" cy="1961300"/>
                          </a:xfrm>
                          <a:prstGeom prst="rect">
                            <a:avLst/>
                          </a:prstGeom>
                        </pic:spPr>
                      </pic:pic>
                    </a:graphicData>
                  </a:graphic>
                </wp:inline>
              </w:drawing>
            </w:r>
          </w:p>
        </w:tc>
      </w:tr>
    </w:tbl>
    <w:p w14:paraId="714A89BB" w14:textId="5392C72A" w:rsidR="002C1D7E" w:rsidRDefault="002C1D7E" w:rsidP="007957AE">
      <w:pPr>
        <w:pStyle w:val="Body"/>
      </w:pPr>
    </w:p>
    <w:p w14:paraId="40EF7664" w14:textId="77777777" w:rsidR="002C1D7E" w:rsidRDefault="002C1D7E" w:rsidP="007957AE">
      <w:pPr>
        <w:pStyle w:val="Body"/>
      </w:pPr>
    </w:p>
    <w:p w14:paraId="12398385" w14:textId="53507C26" w:rsidR="007957AE" w:rsidRDefault="007957AE" w:rsidP="005012FA">
      <w:pPr>
        <w:pStyle w:val="SubsectionTitle"/>
        <w:spacing w:before="0" w:after="0"/>
        <w:rPr>
          <w:rFonts w:eastAsiaTheme="majorEastAsia"/>
        </w:rPr>
      </w:pPr>
      <w:r>
        <w:rPr>
          <w:rFonts w:eastAsiaTheme="majorEastAsia"/>
        </w:rPr>
        <w:t>Motivation</w:t>
      </w:r>
    </w:p>
    <w:p w14:paraId="51B79073" w14:textId="60D3982B" w:rsidR="00354968" w:rsidRPr="00354968" w:rsidRDefault="00354968" w:rsidP="00354968">
      <w:pPr>
        <w:rPr>
          <w:rFonts w:eastAsiaTheme="majorEastAsia"/>
        </w:rPr>
      </w:pPr>
      <w:r>
        <w:rPr>
          <w:rFonts w:eastAsiaTheme="majorEastAsia"/>
        </w:rPr>
        <w:t>According to Coherent Market Insight, the spinal cord injury therapeutic market is estimated to be valued at USD 6.7 million in 2021 and is expected to have a compound annual growth rate (CAGR) of 5.1% to reach USD 9.6 million in 2028.</w:t>
      </w:r>
      <w:r w:rsidR="00955CB3">
        <w:rPr>
          <w:rFonts w:eastAsiaTheme="majorEastAsia"/>
        </w:rPr>
        <w:t xml:space="preserve"> North America represents the largest market with 42.1%.</w:t>
      </w:r>
    </w:p>
    <w:p w14:paraId="2A5D395F" w14:textId="23E57FCF" w:rsidR="0060043C" w:rsidRDefault="0060043C" w:rsidP="009D5022">
      <w:pPr>
        <w:pStyle w:val="JHEPBody"/>
        <w:jc w:val="center"/>
        <w:rPr>
          <w:rFonts w:cs="Tahoma"/>
        </w:rPr>
      </w:pPr>
    </w:p>
    <w:p w14:paraId="04EA30BF" w14:textId="092BF848" w:rsidR="00773149" w:rsidRPr="00607DB4" w:rsidRDefault="00DD7A4A" w:rsidP="00607DB4">
      <w:pPr>
        <w:pStyle w:val="JHEPBody"/>
        <w:jc w:val="center"/>
        <w:rPr>
          <w:rFonts w:cs="Tahoma"/>
        </w:rPr>
      </w:pPr>
      <w:r>
        <w:rPr>
          <w:rFonts w:cs="Tahoma"/>
          <w:noProof/>
        </w:rPr>
        <w:drawing>
          <wp:inline distT="0" distB="0" distL="0" distR="0" wp14:anchorId="76E08585" wp14:editId="44E83C0A">
            <wp:extent cx="6400800" cy="2973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400800" cy="2973070"/>
                    </a:xfrm>
                    <a:prstGeom prst="rect">
                      <a:avLst/>
                    </a:prstGeom>
                  </pic:spPr>
                </pic:pic>
              </a:graphicData>
            </a:graphic>
          </wp:inline>
        </w:drawing>
      </w:r>
    </w:p>
    <w:p w14:paraId="64AF934C" w14:textId="30924D91" w:rsidR="00AF0151" w:rsidRDefault="002F2CBA" w:rsidP="002F2CBA">
      <w:r w:rsidRPr="002F2CBA">
        <w:t>Neuro-Spinal graft targets patients who have suffered a</w:t>
      </w:r>
      <w:r>
        <w:t xml:space="preserve"> thoracic AIS (American Spinal Injury Association Impairment scale) A traumatic spinal cord injury at neurological level of injury of T2-T12.  </w:t>
      </w:r>
      <w:r w:rsidR="00B976C4">
        <w:t>Compared to a neurological “incomplete” injury (AIS-B, C or D), AIS-A has the least potential improvement, the lowest lifetime survival</w:t>
      </w:r>
      <w:r w:rsidR="00EC44C4">
        <w:t xml:space="preserve"> </w:t>
      </w:r>
      <w:r w:rsidR="00EC44C4">
        <w:fldChar w:fldCharType="begin"/>
      </w:r>
      <w:r w:rsidR="00CD788B">
        <w:instrText xml:space="preserve"> ADDIN ZOTERO_ITEM CSL_CITATION {"citationID":"DRw1gMWi","properties":{"formattedCitation":"[3]","plainCitation":"[3]","noteIndex":0},"citationItems":[{"id":4065,"uris":["http://zotero.org/users/7286058/items/MGZL4222"],"itemData":{"id":4065,"type":"article-journal","abstract":"BACKGROUND\nThe lifetime economic burden of thoracic spinal cord injury (SCI) is known to be high, but evidence of variability of costs in relation to the American Spinal Injury Association Impairment Scale (AIS) grade is limited.\n\nOBJECTIVE\nTo estimate lifetime economic costs of hospitalization by AIS grade in thoracic SCI.\n\nMETHODS\nUsing SCI Model Systems data from January 2000 to March 2016 from the National Spinal Cord Injury Statistical Center, we estimated mean total annual days of all-cause hospitalization by AIS grade among persons with thoracic SCI, based on assessments 1, 5, and 10 yr post-injury. We combined this information with secondary cost data and projections of life expectancy to estimate lifetime economic costs of hospitalization by AIS grade in persons aged 35 yr at time of thoracic SCI. Future costs were discounted to present value at 3% annually.\n\nRESULTS\nOne year post-injury, mean total annual days of hospitalization ranged from 2.1 for persons with AIS-D injuries to 5.9 for those who were AIS-A. Similar differences were noted 5 and 10 yr post-SCI. The estimated net present value of expected lifetime costs of hospitalization following thoracic SCI at age 35 yr was $321 534, $249 514, $188 989, and $68 120 (2015 US$) for AIS-A, AIS-B, AIS-C, and AIS-D injuries, respectively.\n\nCONCLUSION\nPersons with less severe thoracic SCI, as reflected in AIS grade, spend fewer days in hospital over their lifetimes, leading to lower costs of inpatient care. Therapies improving AIS grade following thoracic SCI may provide cost savings in addition to addressing substantial unmet need.","container-title":"Neurosurgery","DOI":"10.1093/neuros/nyx425","ISSN":"0148-396X","issue":"3","journalAbbreviation":"Neurosurgery","note":"PMID: 28945855\nPMCID: PMC6096161","page":"445-451","source":"PubMed Central","title":"Relationship of American Spinal Injury Association Impairment Scale Grade to Post-injury Hospitalization and Costs in Thoracic Spinal Cord Injury","URL":"https://www.ncbi.nlm.nih.gov/pmc/articles/PMC6096161/","volume":"83","author":[{"family":"Dukes","given":"Ellen M"},{"family":"Kirshblum","given":"Steven"},{"family":"Aimetti","given":"Alex A"},{"family":"Qin","given":"Sarah S"},{"family":"Bornheimer","given":"Rebecca K"},{"family":"Oster","given":"Gerry"}],"accessed":{"date-parts":[["2022",10,9]]},"issued":{"date-parts":[["2018",9]]}}}],"schema":"https://github.com/citation-style-language/schema/raw/master/csl-citation.json"} </w:instrText>
      </w:r>
      <w:r w:rsidR="00EC44C4">
        <w:fldChar w:fldCharType="separate"/>
      </w:r>
      <w:r w:rsidR="00CD788B">
        <w:rPr>
          <w:noProof/>
        </w:rPr>
        <w:t>[3]</w:t>
      </w:r>
      <w:r w:rsidR="00EC44C4">
        <w:fldChar w:fldCharType="end"/>
      </w:r>
      <w:r w:rsidR="00122DB6">
        <w:t>(</w:t>
      </w:r>
      <w:r w:rsidR="00122DB6" w:rsidRPr="00B03882">
        <w:rPr>
          <w:b/>
          <w:bCs/>
        </w:rPr>
        <w:t xml:space="preserve">Figure </w:t>
      </w:r>
      <w:r w:rsidR="007B4779">
        <w:rPr>
          <w:b/>
          <w:bCs/>
        </w:rPr>
        <w:t>6</w:t>
      </w:r>
      <w:r w:rsidR="00B03882" w:rsidRPr="00B03882">
        <w:rPr>
          <w:b/>
          <w:bCs/>
        </w:rPr>
        <w:t xml:space="preserve"> </w:t>
      </w:r>
      <w:r w:rsidR="00B03882" w:rsidRPr="007B4779">
        <w:t>below</w:t>
      </w:r>
      <w:r w:rsidR="00122DB6">
        <w:t>)</w:t>
      </w:r>
      <w:r w:rsidR="00B976C4">
        <w:t xml:space="preserve">. In term of costs, Medicaid is the only national program covering services that SCI survivors require. </w:t>
      </w:r>
      <w:r w:rsidR="00DE7847">
        <w:t xml:space="preserve"> Mean annual cost oof hospitalization are the highest among persons with AIS-A, AIS-B, or AIS-C injuries with a daily cost of $2601 (2015 US$)</w:t>
      </w:r>
      <w:r w:rsidR="00EC44C4">
        <w:t xml:space="preserve"> </w:t>
      </w:r>
      <w:r w:rsidR="00EC44C4">
        <w:fldChar w:fldCharType="begin"/>
      </w:r>
      <w:r w:rsidR="00CD788B">
        <w:instrText xml:space="preserve"> ADDIN ZOTERO_ITEM CSL_CITATION {"citationID":"1dqw8Zsv","properties":{"formattedCitation":"[3]","plainCitation":"[3]","noteIndex":0},"citationItems":[{"id":4065,"uris":["http://zotero.org/users/7286058/items/MGZL4222"],"itemData":{"id":4065,"type":"article-journal","abstract":"BACKGROUND\nThe lifetime economic burden of thoracic spinal cord injury (SCI) is known to be high, but evidence of variability of costs in relation to the American Spinal Injury Association Impairment Scale (AIS) grade is limited.\n\nOBJECTIVE\nTo estimate lifetime economic costs of hospitalization by AIS grade in thoracic SCI.\n\nMETHODS\nUsing SCI Model Systems data from January 2000 to March 2016 from the National Spinal Cord Injury Statistical Center, we estimated mean total annual days of all-cause hospitalization by AIS grade among persons with thoracic SCI, based on assessments 1, 5, and 10 yr post-injury. We combined this information with secondary cost data and projections of life expectancy to estimate lifetime economic costs of hospitalization by AIS grade in persons aged 35 yr at time of thoracic SCI. Future costs were discounted to present value at 3% annually.\n\nRESULTS\nOne year post-injury, mean total annual days of hospitalization ranged from 2.1 for persons with AIS-D injuries to 5.9 for those who were AIS-A. Similar differences were noted 5 and 10 yr post-SCI. The estimated net present value of expected lifetime costs of hospitalization following thoracic SCI at age 35 yr was $321 534, $249 514, $188 989, and $68 120 (2015 US$) for AIS-A, AIS-B, AIS-C, and AIS-D injuries, respectively.\n\nCONCLUSION\nPersons with less severe thoracic SCI, as reflected in AIS grade, spend fewer days in hospital over their lifetimes, leading to lower costs of inpatient care. Therapies improving AIS grade following thoracic SCI may provide cost savings in addition to addressing substantial unmet need.","container-title":"Neurosurgery","DOI":"10.1093/neuros/nyx425","ISSN":"0148-396X","issue":"3","journalAbbreviation":"Neurosurgery","note":"PMID: 28945855\nPMCID: PMC6096161","page":"445-451","source":"PubMed Central","title":"Relationship of American Spinal Injury Association Impairment Scale Grade to Post-injury Hospitalization and Costs in Thoracic Spinal Cord Injury","URL":"https://www.ncbi.nlm.nih.gov/pmc/articles/PMC6096161/","volume":"83","author":[{"family":"Dukes","given":"Ellen M"},{"family":"Kirshblum","given":"Steven"},{"family":"Aimetti","given":"Alex A"},{"family":"Qin","given":"Sarah S"},{"family":"Bornheimer","given":"Rebecca K"},{"family":"Oster","given":"Gerry"}],"accessed":{"date-parts":[["2022",10,9]]},"issued":{"date-parts":[["2018",9]]}}}],"schema":"https://github.com/citation-style-language/schema/raw/master/csl-citation.json"} </w:instrText>
      </w:r>
      <w:r w:rsidR="00EC44C4">
        <w:fldChar w:fldCharType="separate"/>
      </w:r>
      <w:r w:rsidR="00CD788B">
        <w:rPr>
          <w:noProof/>
        </w:rPr>
        <w:t>[3]</w:t>
      </w:r>
      <w:r w:rsidR="00EC44C4">
        <w:fldChar w:fldCharType="end"/>
      </w:r>
      <w:r w:rsidR="00122DB6">
        <w:t xml:space="preserve"> (</w:t>
      </w:r>
      <w:r w:rsidR="00122DB6" w:rsidRPr="00B03882">
        <w:rPr>
          <w:b/>
          <w:bCs/>
        </w:rPr>
        <w:t xml:space="preserve">Figure </w:t>
      </w:r>
      <w:r w:rsidR="007B4779">
        <w:rPr>
          <w:b/>
          <w:bCs/>
        </w:rPr>
        <w:t>7</w:t>
      </w:r>
      <w:r w:rsidR="00B03882" w:rsidRPr="00B03882">
        <w:rPr>
          <w:b/>
          <w:bCs/>
        </w:rPr>
        <w:t xml:space="preserve"> </w:t>
      </w:r>
      <w:r w:rsidR="00B03882" w:rsidRPr="007B4779">
        <w:t>below</w:t>
      </w:r>
      <w:r w:rsidR="00122DB6">
        <w:t>)</w:t>
      </w:r>
      <w:r w:rsidR="00DE7847">
        <w:t>.</w:t>
      </w:r>
    </w:p>
    <w:p w14:paraId="458F5C2E" w14:textId="27D03737" w:rsidR="00B000D3" w:rsidRDefault="00B000D3" w:rsidP="00B000D3">
      <w:pPr>
        <w:pStyle w:val="Body"/>
      </w:pPr>
    </w:p>
    <w:p w14:paraId="79E2FF09" w14:textId="77777777" w:rsidR="00B000D3" w:rsidRPr="00B000D3" w:rsidRDefault="00B000D3" w:rsidP="00B000D3">
      <w:pPr>
        <w:pStyle w:val="Body"/>
      </w:pPr>
    </w:p>
    <w:tbl>
      <w:tblPr>
        <w:tblStyle w:val="TableGrid"/>
        <w:tblW w:w="0" w:type="auto"/>
        <w:tblLook w:val="04A0" w:firstRow="1" w:lastRow="0" w:firstColumn="1" w:lastColumn="0" w:noHBand="0" w:noVBand="1"/>
      </w:tblPr>
      <w:tblGrid>
        <w:gridCol w:w="5035"/>
        <w:gridCol w:w="81"/>
        <w:gridCol w:w="4954"/>
      </w:tblGrid>
      <w:tr w:rsidR="00122DB6" w14:paraId="295F9062" w14:textId="4482C51E" w:rsidTr="00B03882">
        <w:tc>
          <w:tcPr>
            <w:tcW w:w="5035" w:type="dxa"/>
            <w:shd w:val="clear" w:color="auto" w:fill="BFBFBF" w:themeFill="background1" w:themeFillShade="BF"/>
          </w:tcPr>
          <w:p w14:paraId="38AB9428" w14:textId="68968789" w:rsidR="00122DB6" w:rsidRPr="00B03882" w:rsidRDefault="00122DB6" w:rsidP="003A0D49">
            <w:pPr>
              <w:pStyle w:val="Body"/>
              <w:rPr>
                <w:b/>
                <w:bCs w:val="0"/>
              </w:rPr>
            </w:pPr>
            <w:r w:rsidRPr="00B03882">
              <w:rPr>
                <w:b/>
                <w:bCs w:val="0"/>
              </w:rPr>
              <w:t xml:space="preserve">Figure </w:t>
            </w:r>
            <w:r w:rsidR="007B4779">
              <w:rPr>
                <w:b/>
                <w:bCs w:val="0"/>
              </w:rPr>
              <w:t>6</w:t>
            </w:r>
            <w:r w:rsidRPr="00B03882">
              <w:rPr>
                <w:b/>
                <w:bCs w:val="0"/>
              </w:rPr>
              <w:t xml:space="preserve">: </w:t>
            </w:r>
            <w:r w:rsidR="00B03882" w:rsidRPr="00B03882">
              <w:rPr>
                <w:b/>
                <w:bCs w:val="0"/>
              </w:rPr>
              <w:t>ASIA Impairment Scale Grade</w:t>
            </w:r>
          </w:p>
        </w:tc>
        <w:tc>
          <w:tcPr>
            <w:tcW w:w="5035" w:type="dxa"/>
            <w:gridSpan w:val="2"/>
            <w:shd w:val="clear" w:color="auto" w:fill="BFBFBF" w:themeFill="background1" w:themeFillShade="BF"/>
          </w:tcPr>
          <w:p w14:paraId="67D0E0AB" w14:textId="1F5013BB" w:rsidR="00122DB6" w:rsidRPr="00B03882" w:rsidRDefault="00122DB6" w:rsidP="003A0D49">
            <w:pPr>
              <w:pStyle w:val="Body"/>
              <w:rPr>
                <w:b/>
                <w:bCs w:val="0"/>
              </w:rPr>
            </w:pPr>
            <w:r w:rsidRPr="00B03882">
              <w:rPr>
                <w:b/>
                <w:bCs w:val="0"/>
              </w:rPr>
              <w:t xml:space="preserve">Figure </w:t>
            </w:r>
            <w:r w:rsidR="007B4779">
              <w:rPr>
                <w:b/>
                <w:bCs w:val="0"/>
              </w:rPr>
              <w:t>7</w:t>
            </w:r>
            <w:r w:rsidRPr="00B03882">
              <w:rPr>
                <w:b/>
                <w:bCs w:val="0"/>
              </w:rPr>
              <w:t>:</w:t>
            </w:r>
            <w:r w:rsidR="00B03882" w:rsidRPr="00B03882">
              <w:rPr>
                <w:b/>
                <w:bCs w:val="0"/>
              </w:rPr>
              <w:t xml:space="preserve"> Estimated lifetime expectancy</w:t>
            </w:r>
          </w:p>
        </w:tc>
      </w:tr>
      <w:tr w:rsidR="00122DB6" w14:paraId="023747F6" w14:textId="5347F8FB" w:rsidTr="00B03882">
        <w:tc>
          <w:tcPr>
            <w:tcW w:w="5116" w:type="dxa"/>
            <w:gridSpan w:val="2"/>
          </w:tcPr>
          <w:p w14:paraId="7F80A99A" w14:textId="77777777" w:rsidR="00122DB6" w:rsidRDefault="00122DB6" w:rsidP="00122DB6">
            <w:pPr>
              <w:pStyle w:val="Body"/>
            </w:pPr>
          </w:p>
          <w:p w14:paraId="5232CEE0" w14:textId="05F7769B" w:rsidR="00122DB6" w:rsidRDefault="00122DB6" w:rsidP="00122DB6">
            <w:pPr>
              <w:pStyle w:val="Body"/>
            </w:pPr>
            <w:r>
              <w:rPr>
                <w:noProof/>
              </w:rPr>
              <w:drawing>
                <wp:inline distT="0" distB="0" distL="0" distR="0" wp14:anchorId="018DBCF4" wp14:editId="3596894D">
                  <wp:extent cx="3110230" cy="1074656"/>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9417" cy="1108928"/>
                          </a:xfrm>
                          <a:prstGeom prst="rect">
                            <a:avLst/>
                          </a:prstGeom>
                        </pic:spPr>
                      </pic:pic>
                    </a:graphicData>
                  </a:graphic>
                </wp:inline>
              </w:drawing>
            </w:r>
          </w:p>
        </w:tc>
        <w:tc>
          <w:tcPr>
            <w:tcW w:w="4954" w:type="dxa"/>
          </w:tcPr>
          <w:p w14:paraId="0B278E80" w14:textId="0ABF365A" w:rsidR="00122DB6" w:rsidRDefault="00122DB6" w:rsidP="003A0D49">
            <w:pPr>
              <w:pStyle w:val="Body"/>
            </w:pPr>
            <w:r>
              <w:rPr>
                <w:noProof/>
              </w:rPr>
              <w:drawing>
                <wp:inline distT="0" distB="0" distL="0" distR="0" wp14:anchorId="6494CCF8" wp14:editId="031EDB6A">
                  <wp:extent cx="2747757" cy="15221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522" cy="1537006"/>
                          </a:xfrm>
                          <a:prstGeom prst="rect">
                            <a:avLst/>
                          </a:prstGeom>
                        </pic:spPr>
                      </pic:pic>
                    </a:graphicData>
                  </a:graphic>
                </wp:inline>
              </w:drawing>
            </w:r>
          </w:p>
        </w:tc>
      </w:tr>
    </w:tbl>
    <w:p w14:paraId="363A5CBF" w14:textId="7804E526" w:rsidR="003A0D49" w:rsidRDefault="003A0D49" w:rsidP="003A0D49">
      <w:pPr>
        <w:pStyle w:val="Body"/>
      </w:pPr>
    </w:p>
    <w:p w14:paraId="6DB387FF" w14:textId="77777777" w:rsidR="003A0D49" w:rsidRDefault="003A0D49" w:rsidP="00DD7A4A">
      <w:pPr>
        <w:pStyle w:val="Body"/>
      </w:pPr>
    </w:p>
    <w:p w14:paraId="79078DE8" w14:textId="77777777" w:rsidR="00EC44C4" w:rsidRDefault="00EC44C4" w:rsidP="00DD7A4A">
      <w:pPr>
        <w:pStyle w:val="Body"/>
      </w:pPr>
    </w:p>
    <w:p w14:paraId="113D448A" w14:textId="7BE1F6C2" w:rsidR="00254C98" w:rsidRPr="00254C98" w:rsidRDefault="00254C98" w:rsidP="00DD7A4A">
      <w:pPr>
        <w:pStyle w:val="Body"/>
      </w:pPr>
      <w:r>
        <w:lastRenderedPageBreak/>
        <w:t xml:space="preserve">In the first clinical trial, conducted by Lineage, </w:t>
      </w:r>
      <w:r w:rsidRPr="00254C98">
        <w:t>OPC1</w:t>
      </w:r>
      <w:r>
        <w:t>, oligodendrocytes progenitor cells, were injected to individuals with a neurological level of injury between T3 and T11 and with AIS-A. After 10-year follow-up the trial no serious adverse events (SAEs) were reported.</w:t>
      </w:r>
      <w:r w:rsidR="005C7D9F">
        <w:t xml:space="preserve"> In a second trial, </w:t>
      </w:r>
      <w:r w:rsidR="00025C29">
        <w:t xml:space="preserve">escalating doses were administered to 33 participants. No SAEs reported were related to OPC1, 22 participants attained a one-motor-level improvement and 7 attained a two-motor-level improvement </w:t>
      </w:r>
      <w:r w:rsidR="00025C29">
        <w:t>on one side of the body</w:t>
      </w:r>
      <w:r w:rsidR="00025C29">
        <w:t>.</w:t>
      </w:r>
    </w:p>
    <w:p w14:paraId="6D2C39FE" w14:textId="77777777" w:rsidR="00254C98" w:rsidRDefault="00254C98" w:rsidP="00DD7A4A">
      <w:pPr>
        <w:pStyle w:val="Body"/>
        <w:rPr>
          <w:b/>
          <w:bCs w:val="0"/>
          <w:u w:val="single"/>
        </w:rPr>
      </w:pPr>
    </w:p>
    <w:p w14:paraId="757DAF34" w14:textId="77777777" w:rsidR="00254C98" w:rsidRDefault="00254C98" w:rsidP="00DD7A4A">
      <w:pPr>
        <w:pStyle w:val="Body"/>
        <w:rPr>
          <w:b/>
          <w:bCs w:val="0"/>
          <w:u w:val="single"/>
        </w:rPr>
      </w:pPr>
    </w:p>
    <w:p w14:paraId="5A63B6AC" w14:textId="54B9C314" w:rsidR="00EC44C4" w:rsidRDefault="00EC44C4" w:rsidP="00DD7A4A">
      <w:pPr>
        <w:pStyle w:val="Body"/>
      </w:pPr>
      <w:r w:rsidRPr="00EC44C4">
        <w:rPr>
          <w:b/>
          <w:bCs w:val="0"/>
          <w:u w:val="single"/>
        </w:rPr>
        <w:t>Reference</w:t>
      </w:r>
      <w:r w:rsidR="00130D34">
        <w:rPr>
          <w:b/>
          <w:bCs w:val="0"/>
          <w:u w:val="single"/>
        </w:rPr>
        <w:t>s</w:t>
      </w:r>
      <w:r>
        <w:t>:</w:t>
      </w:r>
    </w:p>
    <w:p w14:paraId="70CBB190" w14:textId="77777777" w:rsidR="00CD788B" w:rsidRPr="00CD788B" w:rsidRDefault="00EC44C4" w:rsidP="00CD788B">
      <w:pPr>
        <w:pStyle w:val="Bibliography"/>
        <w:rPr>
          <w:rFonts w:cs="Tahoma"/>
        </w:rPr>
      </w:pPr>
      <w:r>
        <w:fldChar w:fldCharType="begin"/>
      </w:r>
      <w:r w:rsidR="00CD788B">
        <w:instrText xml:space="preserve"> ADDIN ZOTERO_BIBL {"uncited":[],"omitted":[],"custom":[]} CSL_BIBLIOGRAPHY </w:instrText>
      </w:r>
      <w:r>
        <w:fldChar w:fldCharType="separate"/>
      </w:r>
      <w:r w:rsidR="00CD788B" w:rsidRPr="00CD788B">
        <w:rPr>
          <w:rFonts w:cs="Tahoma"/>
        </w:rPr>
        <w:t>[1]</w:t>
      </w:r>
      <w:r w:rsidR="00CD788B" w:rsidRPr="00CD788B">
        <w:rPr>
          <w:rFonts w:cs="Tahoma"/>
        </w:rPr>
        <w:tab/>
        <w:t xml:space="preserve">M. D. </w:t>
      </w:r>
      <w:proofErr w:type="spellStart"/>
      <w:r w:rsidR="00CD788B" w:rsidRPr="00CD788B">
        <w:rPr>
          <w:rFonts w:cs="Tahoma"/>
        </w:rPr>
        <w:t>Norenberg</w:t>
      </w:r>
      <w:proofErr w:type="spellEnd"/>
      <w:r w:rsidR="00CD788B" w:rsidRPr="00CD788B">
        <w:rPr>
          <w:rFonts w:cs="Tahoma"/>
        </w:rPr>
        <w:t xml:space="preserve">, J. Smith, and A. </w:t>
      </w:r>
      <w:proofErr w:type="spellStart"/>
      <w:r w:rsidR="00CD788B" w:rsidRPr="00CD788B">
        <w:rPr>
          <w:rFonts w:cs="Tahoma"/>
        </w:rPr>
        <w:t>Marcillo</w:t>
      </w:r>
      <w:proofErr w:type="spellEnd"/>
      <w:r w:rsidR="00CD788B" w:rsidRPr="00CD788B">
        <w:rPr>
          <w:rFonts w:cs="Tahoma"/>
        </w:rPr>
        <w:t xml:space="preserve">, “The Pathology of Human Spinal Cord Injury: Defining the Problems,” </w:t>
      </w:r>
      <w:r w:rsidR="00CD788B" w:rsidRPr="00CD788B">
        <w:rPr>
          <w:rFonts w:cs="Tahoma"/>
          <w:i/>
          <w:iCs/>
        </w:rPr>
        <w:t>Journal of Neurotrauma</w:t>
      </w:r>
      <w:r w:rsidR="00CD788B" w:rsidRPr="00CD788B">
        <w:rPr>
          <w:rFonts w:cs="Tahoma"/>
        </w:rPr>
        <w:t xml:space="preserve">, vol. 21, no. 4, pp. 429–440, Apr. 2004, </w:t>
      </w:r>
      <w:proofErr w:type="spellStart"/>
      <w:r w:rsidR="00CD788B" w:rsidRPr="00CD788B">
        <w:rPr>
          <w:rFonts w:cs="Tahoma"/>
        </w:rPr>
        <w:t>doi</w:t>
      </w:r>
      <w:proofErr w:type="spellEnd"/>
      <w:r w:rsidR="00CD788B" w:rsidRPr="00CD788B">
        <w:rPr>
          <w:rFonts w:cs="Tahoma"/>
        </w:rPr>
        <w:t>: 10.1089/089771504323004575.</w:t>
      </w:r>
    </w:p>
    <w:p w14:paraId="5167C2A5" w14:textId="77777777" w:rsidR="00CD788B" w:rsidRPr="00CD788B" w:rsidRDefault="00CD788B" w:rsidP="00CD788B">
      <w:pPr>
        <w:pStyle w:val="Bibliography"/>
        <w:rPr>
          <w:rFonts w:cs="Tahoma"/>
        </w:rPr>
      </w:pPr>
      <w:r w:rsidRPr="00CD788B">
        <w:rPr>
          <w:rFonts w:cs="Tahoma"/>
        </w:rPr>
        <w:t>[2]</w:t>
      </w:r>
      <w:r w:rsidRPr="00CD788B">
        <w:rPr>
          <w:rFonts w:cs="Tahoma"/>
        </w:rPr>
        <w:tab/>
        <w:t xml:space="preserve">J. Desai, S. </w:t>
      </w:r>
      <w:proofErr w:type="spellStart"/>
      <w:r w:rsidRPr="00CD788B">
        <w:rPr>
          <w:rFonts w:cs="Tahoma"/>
        </w:rPr>
        <w:t>Steiger</w:t>
      </w:r>
      <w:proofErr w:type="spellEnd"/>
      <w:r w:rsidRPr="00CD788B">
        <w:rPr>
          <w:rFonts w:cs="Tahoma"/>
        </w:rPr>
        <w:t xml:space="preserve">, and H.-J. Anders, “Molecular Pathophysiology of Gout,” </w:t>
      </w:r>
      <w:r w:rsidRPr="00CD788B">
        <w:rPr>
          <w:rFonts w:cs="Tahoma"/>
          <w:i/>
          <w:iCs/>
        </w:rPr>
        <w:t>Trends in Molecular Medicine</w:t>
      </w:r>
      <w:r w:rsidRPr="00CD788B">
        <w:rPr>
          <w:rFonts w:cs="Tahoma"/>
        </w:rPr>
        <w:t xml:space="preserve">, vol. 23, no. 8, pp. 756–768, Aug. 2017, </w:t>
      </w:r>
      <w:proofErr w:type="spellStart"/>
      <w:r w:rsidRPr="00CD788B">
        <w:rPr>
          <w:rFonts w:cs="Tahoma"/>
        </w:rPr>
        <w:t>doi</w:t>
      </w:r>
      <w:proofErr w:type="spellEnd"/>
      <w:r w:rsidRPr="00CD788B">
        <w:rPr>
          <w:rFonts w:cs="Tahoma"/>
        </w:rPr>
        <w:t>: 10.1016/j.molmed.2017.06.005.</w:t>
      </w:r>
    </w:p>
    <w:p w14:paraId="14A30BFC" w14:textId="77777777" w:rsidR="00CD788B" w:rsidRPr="00CD788B" w:rsidRDefault="00CD788B" w:rsidP="00CD788B">
      <w:pPr>
        <w:pStyle w:val="Bibliography"/>
        <w:rPr>
          <w:rFonts w:cs="Tahoma"/>
        </w:rPr>
      </w:pPr>
      <w:r w:rsidRPr="00CD788B">
        <w:rPr>
          <w:rFonts w:cs="Tahoma"/>
        </w:rPr>
        <w:t>[3]</w:t>
      </w:r>
      <w:r w:rsidRPr="00CD788B">
        <w:rPr>
          <w:rFonts w:cs="Tahoma"/>
        </w:rPr>
        <w:tab/>
        <w:t xml:space="preserve">E. M. Dukes, S. </w:t>
      </w:r>
      <w:proofErr w:type="spellStart"/>
      <w:r w:rsidRPr="00CD788B">
        <w:rPr>
          <w:rFonts w:cs="Tahoma"/>
        </w:rPr>
        <w:t>Kirshblum</w:t>
      </w:r>
      <w:proofErr w:type="spellEnd"/>
      <w:r w:rsidRPr="00CD788B">
        <w:rPr>
          <w:rFonts w:cs="Tahoma"/>
        </w:rPr>
        <w:t xml:space="preserve">, A. A. </w:t>
      </w:r>
      <w:proofErr w:type="spellStart"/>
      <w:r w:rsidRPr="00CD788B">
        <w:rPr>
          <w:rFonts w:cs="Tahoma"/>
        </w:rPr>
        <w:t>Aimetti</w:t>
      </w:r>
      <w:proofErr w:type="spellEnd"/>
      <w:r w:rsidRPr="00CD788B">
        <w:rPr>
          <w:rFonts w:cs="Tahoma"/>
        </w:rPr>
        <w:t xml:space="preserve">, S. S. Qin, R. K. Bornheimer, and G. Oster, “Relationship of American Spinal Injury Association Impairment Scale Grade to Post-injury Hospitalization and Costs in Thoracic Spinal Cord Injury,” </w:t>
      </w:r>
      <w:r w:rsidRPr="00CD788B">
        <w:rPr>
          <w:rFonts w:cs="Tahoma"/>
          <w:i/>
          <w:iCs/>
        </w:rPr>
        <w:t>Neurosurgery</w:t>
      </w:r>
      <w:r w:rsidRPr="00CD788B">
        <w:rPr>
          <w:rFonts w:cs="Tahoma"/>
        </w:rPr>
        <w:t xml:space="preserve">, vol. 83, no. 3, pp. 445–451, Sep. 2018, </w:t>
      </w:r>
      <w:proofErr w:type="spellStart"/>
      <w:r w:rsidRPr="00CD788B">
        <w:rPr>
          <w:rFonts w:cs="Tahoma"/>
        </w:rPr>
        <w:t>doi</w:t>
      </w:r>
      <w:proofErr w:type="spellEnd"/>
      <w:r w:rsidRPr="00CD788B">
        <w:rPr>
          <w:rFonts w:cs="Tahoma"/>
        </w:rPr>
        <w:t>: 10.1093/neuros/nyx425.</w:t>
      </w:r>
    </w:p>
    <w:p w14:paraId="6533FA26" w14:textId="29E7DD12" w:rsidR="00EC44C4" w:rsidRPr="00DD7A4A" w:rsidRDefault="00EC44C4" w:rsidP="00E70C07">
      <w:pPr>
        <w:pStyle w:val="Body"/>
        <w:sectPr w:rsidR="00EC44C4" w:rsidRPr="00DD7A4A" w:rsidSect="00CD6072">
          <w:headerReference w:type="default" r:id="rId19"/>
          <w:footerReference w:type="default" r:id="rId20"/>
          <w:pgSz w:w="12240" w:h="15840"/>
          <w:pgMar w:top="720" w:right="1080" w:bottom="1728" w:left="1080" w:header="720" w:footer="720" w:gutter="0"/>
          <w:cols w:space="720"/>
          <w:titlePg/>
          <w:docGrid w:linePitch="360"/>
        </w:sectPr>
      </w:pPr>
      <w:r>
        <w:fldChar w:fldCharType="end"/>
      </w:r>
    </w:p>
    <w:p w14:paraId="17360E2D" w14:textId="75FBE80F" w:rsidR="00270D5F" w:rsidRPr="00551058" w:rsidRDefault="00270D5F" w:rsidP="00551058">
      <w:pPr>
        <w:rPr>
          <w:bCs/>
        </w:rPr>
      </w:pPr>
    </w:p>
    <w:sectPr w:rsidR="00270D5F" w:rsidRPr="00551058" w:rsidSect="002C1D7E">
      <w:pgSz w:w="15840" w:h="12240" w:orient="landscape"/>
      <w:pgMar w:top="1080" w:right="720" w:bottom="108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3F125" w14:textId="77777777" w:rsidR="0024645F" w:rsidRDefault="0024645F" w:rsidP="00B657A0">
      <w:r>
        <w:separator/>
      </w:r>
    </w:p>
  </w:endnote>
  <w:endnote w:type="continuationSeparator" w:id="0">
    <w:p w14:paraId="76490972" w14:textId="77777777" w:rsidR="0024645F" w:rsidRDefault="0024645F" w:rsidP="00B657A0">
      <w:r>
        <w:continuationSeparator/>
      </w:r>
    </w:p>
  </w:endnote>
  <w:endnote w:type="continuationNotice" w:id="1">
    <w:p w14:paraId="6E277167" w14:textId="77777777" w:rsidR="0024645F" w:rsidRDefault="002464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C465D" w14:textId="77777777" w:rsidR="00F17F33" w:rsidRPr="00C23033" w:rsidRDefault="00F17F33" w:rsidP="00BD6FBB">
    <w:pPr>
      <w:tabs>
        <w:tab w:val="left" w:pos="1008"/>
      </w:tabs>
      <w:rPr>
        <w:color w:val="FFFFFF" w:themeColor="background1"/>
      </w:rPr>
    </w:pPr>
    <w:r>
      <w:rPr>
        <w:noProof/>
      </w:rPr>
      <w:drawing>
        <wp:anchor distT="0" distB="0" distL="114300" distR="114300" simplePos="0" relativeHeight="251658240" behindDoc="1" locked="0" layoutInCell="1" allowOverlap="1" wp14:anchorId="16D045DE" wp14:editId="4F1526A5">
          <wp:simplePos x="0" y="0"/>
          <wp:positionH relativeFrom="column">
            <wp:posOffset>-480060</wp:posOffset>
          </wp:positionH>
          <wp:positionV relativeFrom="page">
            <wp:posOffset>9166860</wp:posOffset>
          </wp:positionV>
          <wp:extent cx="7369678" cy="669642"/>
          <wp:effectExtent l="0" t="0" r="3175" b="0"/>
          <wp:wrapNone/>
          <wp:docPr id="1" name="Picture 1" descr="EP footer with shield logo and websi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69678" cy="669642"/>
                  </a:xfrm>
                  <a:prstGeom prst="rect">
                    <a:avLst/>
                  </a:prstGeom>
                  <a:noFill/>
                  <a:ln>
                    <a:no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817BCB">
      <w:tab/>
    </w:r>
    <w:r w:rsidR="00817BCB">
      <w:tab/>
    </w:r>
    <w:r w:rsidR="00817BCB">
      <w:tab/>
    </w:r>
    <w:r w:rsidR="00817BCB">
      <w:tab/>
    </w:r>
    <w:r w:rsidR="00817BCB">
      <w:tab/>
    </w:r>
    <w:r w:rsidR="00817BCB">
      <w:tab/>
    </w:r>
    <w:r w:rsidR="00C23033" w:rsidRPr="00C23033">
      <w:rPr>
        <w:noProof/>
        <w:color w:val="FFFFFF" w:themeColor="background1"/>
      </w:rPr>
      <w:t xml:space="preserve">Page </w:t>
    </w:r>
    <w:r w:rsidR="00C23033" w:rsidRPr="00C23033">
      <w:rPr>
        <w:b/>
        <w:bCs/>
        <w:noProof/>
        <w:color w:val="FFFFFF" w:themeColor="background1"/>
      </w:rPr>
      <w:fldChar w:fldCharType="begin"/>
    </w:r>
    <w:r w:rsidR="00C23033" w:rsidRPr="00C23033">
      <w:rPr>
        <w:b/>
        <w:bCs/>
        <w:noProof/>
        <w:color w:val="FFFFFF" w:themeColor="background1"/>
      </w:rPr>
      <w:instrText xml:space="preserve"> PAGE  \* Arabic  \* MERGEFORMAT </w:instrText>
    </w:r>
    <w:r w:rsidR="00C23033" w:rsidRPr="00C23033">
      <w:rPr>
        <w:b/>
        <w:bCs/>
        <w:noProof/>
        <w:color w:val="FFFFFF" w:themeColor="background1"/>
      </w:rPr>
      <w:fldChar w:fldCharType="separate"/>
    </w:r>
    <w:r w:rsidR="00C23033" w:rsidRPr="00C23033">
      <w:rPr>
        <w:b/>
        <w:bCs/>
        <w:noProof/>
        <w:color w:val="FFFFFF" w:themeColor="background1"/>
      </w:rPr>
      <w:t>1</w:t>
    </w:r>
    <w:r w:rsidR="00C23033" w:rsidRPr="00C23033">
      <w:rPr>
        <w:b/>
        <w:bCs/>
        <w:noProof/>
        <w:color w:val="FFFFFF" w:themeColor="background1"/>
      </w:rPr>
      <w:fldChar w:fldCharType="end"/>
    </w:r>
    <w:r w:rsidR="00C23033" w:rsidRPr="00C23033">
      <w:rPr>
        <w:noProof/>
        <w:color w:val="FFFFFF" w:themeColor="background1"/>
      </w:rPr>
      <w:t xml:space="preserve"> of </w:t>
    </w:r>
    <w:r w:rsidR="00C23033" w:rsidRPr="00C23033">
      <w:rPr>
        <w:b/>
        <w:bCs/>
        <w:noProof/>
        <w:color w:val="FFFFFF" w:themeColor="background1"/>
      </w:rPr>
      <w:fldChar w:fldCharType="begin"/>
    </w:r>
    <w:r w:rsidR="00C23033" w:rsidRPr="00C23033">
      <w:rPr>
        <w:b/>
        <w:bCs/>
        <w:noProof/>
        <w:color w:val="FFFFFF" w:themeColor="background1"/>
      </w:rPr>
      <w:instrText xml:space="preserve"> NUMPAGES  \* Arabic  \* MERGEFORMAT </w:instrText>
    </w:r>
    <w:r w:rsidR="00C23033" w:rsidRPr="00C23033">
      <w:rPr>
        <w:b/>
        <w:bCs/>
        <w:noProof/>
        <w:color w:val="FFFFFF" w:themeColor="background1"/>
      </w:rPr>
      <w:fldChar w:fldCharType="separate"/>
    </w:r>
    <w:r w:rsidR="00C23033" w:rsidRPr="00C23033">
      <w:rPr>
        <w:b/>
        <w:bCs/>
        <w:noProof/>
        <w:color w:val="FFFFFF" w:themeColor="background1"/>
      </w:rPr>
      <w:t>2</w:t>
    </w:r>
    <w:r w:rsidR="00C23033" w:rsidRPr="00C23033">
      <w:rPr>
        <w:b/>
        <w:bCs/>
        <w:noProof/>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AFF8E" w14:textId="77777777" w:rsidR="0024645F" w:rsidRDefault="0024645F" w:rsidP="00B657A0">
      <w:r>
        <w:separator/>
      </w:r>
    </w:p>
  </w:footnote>
  <w:footnote w:type="continuationSeparator" w:id="0">
    <w:p w14:paraId="1FC9C40D" w14:textId="77777777" w:rsidR="0024645F" w:rsidRDefault="0024645F" w:rsidP="00B657A0">
      <w:r>
        <w:continuationSeparator/>
      </w:r>
    </w:p>
  </w:footnote>
  <w:footnote w:type="continuationNotice" w:id="1">
    <w:p w14:paraId="43D90BD0" w14:textId="77777777" w:rsidR="0024645F" w:rsidRDefault="0024645F"/>
  </w:footnote>
  <w:footnote w:id="2">
    <w:p w14:paraId="2A01362B" w14:textId="73DED2B0" w:rsidR="00EE3203" w:rsidRDefault="00EE3203">
      <w:pPr>
        <w:pStyle w:val="FootnoteText"/>
      </w:pPr>
      <w:r>
        <w:rPr>
          <w:rStyle w:val="FootnoteReference"/>
        </w:rPr>
        <w:footnoteRef/>
      </w:r>
      <w:r>
        <w:t xml:space="preserve"> National spinal cord injury statistical center.</w:t>
      </w:r>
    </w:p>
  </w:footnote>
  <w:footnote w:id="3">
    <w:p w14:paraId="46FD979C" w14:textId="7E8CAC42" w:rsidR="0012408D" w:rsidRDefault="0012408D">
      <w:pPr>
        <w:pStyle w:val="FootnoteText"/>
      </w:pPr>
      <w:r>
        <w:rPr>
          <w:rStyle w:val="FootnoteReference"/>
        </w:rPr>
        <w:footnoteRef/>
      </w:r>
      <w:r>
        <w:t xml:space="preserve"> J</w:t>
      </w:r>
      <w:r w:rsidRPr="0012408D">
        <w:t>ain NB, Ayers GD, Peterson EN, et al. Traumatic spinal cord injury in the United States, 1993-2012. JAMA. 2015;313(22):2236-2243.</w:t>
      </w:r>
    </w:p>
  </w:footnote>
  <w:footnote w:id="4">
    <w:p w14:paraId="32DE968B" w14:textId="36181DAA" w:rsidR="00591DBC" w:rsidRDefault="00591DBC">
      <w:pPr>
        <w:pStyle w:val="FootnoteText"/>
      </w:pPr>
      <w:r>
        <w:rPr>
          <w:rStyle w:val="FootnoteReference"/>
        </w:rPr>
        <w:footnoteRef/>
      </w:r>
      <w:r>
        <w:t xml:space="preserve"> </w:t>
      </w:r>
      <w:r w:rsidRPr="00591DBC">
        <w:t>Economic Impact of SCI published in the journal Topics in Spinal Cord Injury Rehabilitation, Volume 16, Number 4, in 2011.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E567" w14:textId="14778FFF" w:rsidR="00DD15DF" w:rsidRPr="00B6644C" w:rsidRDefault="00B6644C" w:rsidP="00401D49">
    <w:pPr>
      <w:pStyle w:val="Header"/>
      <w:tabs>
        <w:tab w:val="clear" w:pos="8640"/>
        <w:tab w:val="right" w:pos="10080"/>
      </w:tabs>
      <w:rPr>
        <w:b/>
        <w:bCs/>
        <w:color w:val="808080" w:themeColor="background1" w:themeShade="80"/>
        <w:sz w:val="16"/>
        <w:szCs w:val="16"/>
      </w:rPr>
    </w:pPr>
    <w:r w:rsidRPr="00565CAE">
      <w:rPr>
        <w:b/>
        <w:bCs/>
        <w:color w:val="808080" w:themeColor="background1" w:themeShade="80"/>
        <w:sz w:val="16"/>
        <w:szCs w:val="16"/>
      </w:rPr>
      <w:t xml:space="preserve">Yves </w:t>
    </w:r>
    <w:proofErr w:type="spellStart"/>
    <w:r w:rsidRPr="00565CAE">
      <w:rPr>
        <w:b/>
        <w:bCs/>
        <w:color w:val="808080" w:themeColor="background1" w:themeShade="80"/>
        <w:sz w:val="16"/>
        <w:szCs w:val="16"/>
      </w:rPr>
      <w:t>Greatti</w:t>
    </w:r>
    <w:proofErr w:type="spellEnd"/>
    <w:r w:rsidRPr="00565CAE">
      <w:rPr>
        <w:b/>
        <w:bCs/>
        <w:color w:val="808080" w:themeColor="background1" w:themeShade="80"/>
        <w:sz w:val="16"/>
        <w:szCs w:val="16"/>
      </w:rPr>
      <w:ptab w:relativeTo="margin" w:alignment="center" w:leader="none"/>
    </w:r>
    <w:r w:rsidRPr="00565CAE">
      <w:rPr>
        <w:b/>
        <w:bCs/>
        <w:color w:val="808080" w:themeColor="background1" w:themeShade="80"/>
        <w:sz w:val="16"/>
        <w:szCs w:val="16"/>
      </w:rPr>
      <w:ptab w:relativeTo="margin" w:alignment="right" w:leader="none"/>
    </w:r>
    <w:r w:rsidR="001C67A2" w:rsidRPr="00565CAE">
      <w:rPr>
        <w:b/>
        <w:bCs/>
        <w:sz w:val="16"/>
        <w:szCs w:val="16"/>
      </w:rPr>
      <w:t>Neuro</w:t>
    </w:r>
    <w:r w:rsidR="001C67A2">
      <w:rPr>
        <w:b/>
        <w:bCs/>
        <w:sz w:val="16"/>
        <w:szCs w:val="16"/>
      </w:rPr>
      <w:t>-Spinal Graft</w:t>
    </w:r>
    <w:r w:rsidRPr="00B6644C">
      <w:rPr>
        <w:b/>
        <w:bCs/>
        <w:sz w:val="16"/>
        <w:szCs w:val="16"/>
      </w:rPr>
      <w:t xml:space="preserve"> </w:t>
    </w:r>
    <w:r w:rsidR="00254C98">
      <w:rPr>
        <w:b/>
        <w:bCs/>
        <w:sz w:val="16"/>
        <w:szCs w:val="16"/>
      </w:rPr>
      <w:t>– OPC1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C6264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1D8BD8E"/>
    <w:lvl w:ilvl="0">
      <w:start w:val="1"/>
      <w:numFmt w:val="decimal"/>
      <w:lvlText w:val="%1."/>
      <w:lvlJc w:val="left"/>
      <w:pPr>
        <w:tabs>
          <w:tab w:val="num" w:pos="1800"/>
        </w:tabs>
        <w:ind w:left="1800" w:hanging="360"/>
      </w:pPr>
    </w:lvl>
  </w:abstractNum>
  <w:abstractNum w:abstractNumId="2" w15:restartNumberingAfterBreak="0">
    <w:nsid w:val="FFFFFF7F"/>
    <w:multiLevelType w:val="singleLevel"/>
    <w:tmpl w:val="783C27B4"/>
    <w:lvl w:ilvl="0">
      <w:start w:val="1"/>
      <w:numFmt w:val="decimal"/>
      <w:lvlText w:val="%1."/>
      <w:lvlJc w:val="left"/>
      <w:pPr>
        <w:tabs>
          <w:tab w:val="num" w:pos="720"/>
        </w:tabs>
        <w:ind w:left="720" w:hanging="360"/>
      </w:pPr>
    </w:lvl>
  </w:abstractNum>
  <w:abstractNum w:abstractNumId="3" w15:restartNumberingAfterBreak="0">
    <w:nsid w:val="04EC0A0C"/>
    <w:multiLevelType w:val="hybridMultilevel"/>
    <w:tmpl w:val="534052E8"/>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3EF3A82"/>
    <w:multiLevelType w:val="hybridMultilevel"/>
    <w:tmpl w:val="D4C05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965222"/>
    <w:multiLevelType w:val="multilevel"/>
    <w:tmpl w:val="0330CBB0"/>
    <w:styleLink w:val="NumberListstrong"/>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15:restartNumberingAfterBreak="0">
    <w:nsid w:val="28D774EE"/>
    <w:multiLevelType w:val="hybridMultilevel"/>
    <w:tmpl w:val="42926F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36036B6"/>
    <w:multiLevelType w:val="hybridMultilevel"/>
    <w:tmpl w:val="DEEA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011B0B"/>
    <w:multiLevelType w:val="hybridMultilevel"/>
    <w:tmpl w:val="357E6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231D1A"/>
    <w:multiLevelType w:val="hybridMultilevel"/>
    <w:tmpl w:val="D4C053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3457EFC"/>
    <w:multiLevelType w:val="hybridMultilevel"/>
    <w:tmpl w:val="0ACA3C66"/>
    <w:lvl w:ilvl="0" w:tplc="71E4A5C6">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44263620"/>
    <w:multiLevelType w:val="hybridMultilevel"/>
    <w:tmpl w:val="74FA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94B1F"/>
    <w:multiLevelType w:val="hybridMultilevel"/>
    <w:tmpl w:val="9EBADA6A"/>
    <w:lvl w:ilvl="0" w:tplc="CBFAECFC">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1253885"/>
    <w:multiLevelType w:val="hybridMultilevel"/>
    <w:tmpl w:val="F2A65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751B02"/>
    <w:multiLevelType w:val="hybridMultilevel"/>
    <w:tmpl w:val="78002BEA"/>
    <w:lvl w:ilvl="0" w:tplc="1696B9C2">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886D3F"/>
    <w:multiLevelType w:val="hybridMultilevel"/>
    <w:tmpl w:val="A24857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66FE6293"/>
    <w:multiLevelType w:val="hybridMultilevel"/>
    <w:tmpl w:val="663213CC"/>
    <w:lvl w:ilvl="0" w:tplc="9DA8DE30">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A52D67"/>
    <w:multiLevelType w:val="hybridMultilevel"/>
    <w:tmpl w:val="FB1E586E"/>
    <w:lvl w:ilvl="0" w:tplc="FC366A1C">
      <w:numFmt w:val="bullet"/>
      <w:lvlText w:val="-"/>
      <w:lvlJc w:val="left"/>
      <w:pPr>
        <w:ind w:left="110" w:hanging="96"/>
      </w:pPr>
      <w:rPr>
        <w:rFonts w:ascii="Calibri" w:eastAsia="Calibri" w:hAnsi="Calibri" w:cs="Calibri" w:hint="default"/>
        <w:color w:val="A6A6A6"/>
        <w:w w:val="104"/>
        <w:sz w:val="17"/>
        <w:szCs w:val="17"/>
        <w:lang w:val="en-US" w:eastAsia="en-US" w:bidi="en-US"/>
      </w:rPr>
    </w:lvl>
    <w:lvl w:ilvl="1" w:tplc="38D25CC6">
      <w:numFmt w:val="bullet"/>
      <w:lvlText w:val="•"/>
      <w:lvlJc w:val="left"/>
      <w:pPr>
        <w:ind w:left="341" w:hanging="96"/>
      </w:pPr>
      <w:rPr>
        <w:rFonts w:hint="default"/>
        <w:lang w:val="en-US" w:eastAsia="en-US" w:bidi="en-US"/>
      </w:rPr>
    </w:lvl>
    <w:lvl w:ilvl="2" w:tplc="755CCEFE">
      <w:numFmt w:val="bullet"/>
      <w:lvlText w:val="•"/>
      <w:lvlJc w:val="left"/>
      <w:pPr>
        <w:ind w:left="562" w:hanging="96"/>
      </w:pPr>
      <w:rPr>
        <w:rFonts w:hint="default"/>
        <w:lang w:val="en-US" w:eastAsia="en-US" w:bidi="en-US"/>
      </w:rPr>
    </w:lvl>
    <w:lvl w:ilvl="3" w:tplc="64462BDA">
      <w:numFmt w:val="bullet"/>
      <w:lvlText w:val="•"/>
      <w:lvlJc w:val="left"/>
      <w:pPr>
        <w:ind w:left="783" w:hanging="96"/>
      </w:pPr>
      <w:rPr>
        <w:rFonts w:hint="default"/>
        <w:lang w:val="en-US" w:eastAsia="en-US" w:bidi="en-US"/>
      </w:rPr>
    </w:lvl>
    <w:lvl w:ilvl="4" w:tplc="CA022BFA">
      <w:numFmt w:val="bullet"/>
      <w:lvlText w:val="•"/>
      <w:lvlJc w:val="left"/>
      <w:pPr>
        <w:ind w:left="1005" w:hanging="96"/>
      </w:pPr>
      <w:rPr>
        <w:rFonts w:hint="default"/>
        <w:lang w:val="en-US" w:eastAsia="en-US" w:bidi="en-US"/>
      </w:rPr>
    </w:lvl>
    <w:lvl w:ilvl="5" w:tplc="720238E8">
      <w:numFmt w:val="bullet"/>
      <w:lvlText w:val="•"/>
      <w:lvlJc w:val="left"/>
      <w:pPr>
        <w:ind w:left="1226" w:hanging="96"/>
      </w:pPr>
      <w:rPr>
        <w:rFonts w:hint="default"/>
        <w:lang w:val="en-US" w:eastAsia="en-US" w:bidi="en-US"/>
      </w:rPr>
    </w:lvl>
    <w:lvl w:ilvl="6" w:tplc="861A2FBA">
      <w:numFmt w:val="bullet"/>
      <w:lvlText w:val="•"/>
      <w:lvlJc w:val="left"/>
      <w:pPr>
        <w:ind w:left="1447" w:hanging="96"/>
      </w:pPr>
      <w:rPr>
        <w:rFonts w:hint="default"/>
        <w:lang w:val="en-US" w:eastAsia="en-US" w:bidi="en-US"/>
      </w:rPr>
    </w:lvl>
    <w:lvl w:ilvl="7" w:tplc="737CDFCA">
      <w:numFmt w:val="bullet"/>
      <w:lvlText w:val="•"/>
      <w:lvlJc w:val="left"/>
      <w:pPr>
        <w:ind w:left="1669" w:hanging="96"/>
      </w:pPr>
      <w:rPr>
        <w:rFonts w:hint="default"/>
        <w:lang w:val="en-US" w:eastAsia="en-US" w:bidi="en-US"/>
      </w:rPr>
    </w:lvl>
    <w:lvl w:ilvl="8" w:tplc="DD3AAFE8">
      <w:numFmt w:val="bullet"/>
      <w:lvlText w:val="•"/>
      <w:lvlJc w:val="left"/>
      <w:pPr>
        <w:ind w:left="1890" w:hanging="96"/>
      </w:pPr>
      <w:rPr>
        <w:rFonts w:hint="default"/>
        <w:lang w:val="en-US" w:eastAsia="en-US" w:bidi="en-US"/>
      </w:rPr>
    </w:lvl>
  </w:abstractNum>
  <w:abstractNum w:abstractNumId="18" w15:restartNumberingAfterBreak="0">
    <w:nsid w:val="7AE73957"/>
    <w:multiLevelType w:val="hybridMultilevel"/>
    <w:tmpl w:val="F9025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B2C253F"/>
    <w:multiLevelType w:val="hybridMultilevel"/>
    <w:tmpl w:val="6D40C2D4"/>
    <w:lvl w:ilvl="0" w:tplc="B7829C72">
      <w:start w:val="3"/>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6707529">
    <w:abstractNumId w:val="10"/>
  </w:num>
  <w:num w:numId="2" w16cid:durableId="591012818">
    <w:abstractNumId w:val="15"/>
  </w:num>
  <w:num w:numId="3" w16cid:durableId="179856923">
    <w:abstractNumId w:val="3"/>
  </w:num>
  <w:num w:numId="4" w16cid:durableId="3915848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31637646">
    <w:abstractNumId w:val="0"/>
  </w:num>
  <w:num w:numId="6" w16cid:durableId="796024509">
    <w:abstractNumId w:val="5"/>
  </w:num>
  <w:num w:numId="7" w16cid:durableId="2132432314">
    <w:abstractNumId w:val="2"/>
  </w:num>
  <w:num w:numId="8" w16cid:durableId="1193693858">
    <w:abstractNumId w:val="1"/>
  </w:num>
  <w:num w:numId="9" w16cid:durableId="803236281">
    <w:abstractNumId w:val="12"/>
  </w:num>
  <w:num w:numId="10" w16cid:durableId="1214929145">
    <w:abstractNumId w:val="12"/>
  </w:num>
  <w:num w:numId="11" w16cid:durableId="1534925248">
    <w:abstractNumId w:val="13"/>
  </w:num>
  <w:num w:numId="12" w16cid:durableId="1204631859">
    <w:abstractNumId w:val="11"/>
  </w:num>
  <w:num w:numId="13" w16cid:durableId="1999653488">
    <w:abstractNumId w:val="6"/>
  </w:num>
  <w:num w:numId="14" w16cid:durableId="1948655657">
    <w:abstractNumId w:val="18"/>
  </w:num>
  <w:num w:numId="15" w16cid:durableId="1426876100">
    <w:abstractNumId w:val="14"/>
  </w:num>
  <w:num w:numId="16" w16cid:durableId="148448031">
    <w:abstractNumId w:val="7"/>
  </w:num>
  <w:num w:numId="17" w16cid:durableId="432239574">
    <w:abstractNumId w:val="19"/>
  </w:num>
  <w:num w:numId="18" w16cid:durableId="1902785539">
    <w:abstractNumId w:val="4"/>
  </w:num>
  <w:num w:numId="19" w16cid:durableId="2016347357">
    <w:abstractNumId w:val="9"/>
  </w:num>
  <w:num w:numId="20" w16cid:durableId="1604259620">
    <w:abstractNumId w:val="17"/>
  </w:num>
  <w:num w:numId="21" w16cid:durableId="1341661621">
    <w:abstractNumId w:val="16"/>
  </w:num>
  <w:num w:numId="22" w16cid:durableId="1035016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attachedTemplate r:id="rId1"/>
  <w:stylePaneFormatFilter w:val="5F24" w:allStyles="0" w:customStyles="0" w:latentStyles="1" w:stylesInUse="0" w:headingStyles="1" w:numberingStyles="0" w:tableStyles="0" w:directFormattingOnRuns="1" w:directFormattingOnParagraphs="1" w:directFormattingOnNumbering="1" w:directFormattingOnTables="1"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BF2"/>
    <w:rsid w:val="0001659E"/>
    <w:rsid w:val="00025C29"/>
    <w:rsid w:val="000268CD"/>
    <w:rsid w:val="00027200"/>
    <w:rsid w:val="00027881"/>
    <w:rsid w:val="0003264A"/>
    <w:rsid w:val="00035E18"/>
    <w:rsid w:val="0004712D"/>
    <w:rsid w:val="00057001"/>
    <w:rsid w:val="00057654"/>
    <w:rsid w:val="00061762"/>
    <w:rsid w:val="000806C2"/>
    <w:rsid w:val="00082C06"/>
    <w:rsid w:val="000A6413"/>
    <w:rsid w:val="000A64D4"/>
    <w:rsid w:val="000B452E"/>
    <w:rsid w:val="000B4CB2"/>
    <w:rsid w:val="000C1E44"/>
    <w:rsid w:val="000C64D8"/>
    <w:rsid w:val="000E3018"/>
    <w:rsid w:val="000E4D0E"/>
    <w:rsid w:val="0010099F"/>
    <w:rsid w:val="00101D0A"/>
    <w:rsid w:val="00112196"/>
    <w:rsid w:val="0011427A"/>
    <w:rsid w:val="00114746"/>
    <w:rsid w:val="001153AF"/>
    <w:rsid w:val="00120765"/>
    <w:rsid w:val="00122DB6"/>
    <w:rsid w:val="0012408D"/>
    <w:rsid w:val="001308D6"/>
    <w:rsid w:val="00130D34"/>
    <w:rsid w:val="00133B5F"/>
    <w:rsid w:val="00135AFF"/>
    <w:rsid w:val="00142E4C"/>
    <w:rsid w:val="00163066"/>
    <w:rsid w:val="00164555"/>
    <w:rsid w:val="00166392"/>
    <w:rsid w:val="00166E18"/>
    <w:rsid w:val="00167B74"/>
    <w:rsid w:val="00173B03"/>
    <w:rsid w:val="00186157"/>
    <w:rsid w:val="0018724C"/>
    <w:rsid w:val="00195531"/>
    <w:rsid w:val="001A656F"/>
    <w:rsid w:val="001B287C"/>
    <w:rsid w:val="001B4B77"/>
    <w:rsid w:val="001C67A2"/>
    <w:rsid w:val="001C7A67"/>
    <w:rsid w:val="001D05A1"/>
    <w:rsid w:val="001D134D"/>
    <w:rsid w:val="001D5A89"/>
    <w:rsid w:val="001E453C"/>
    <w:rsid w:val="001E62E8"/>
    <w:rsid w:val="001F1385"/>
    <w:rsid w:val="00200922"/>
    <w:rsid w:val="00213E68"/>
    <w:rsid w:val="0021559A"/>
    <w:rsid w:val="00215D9D"/>
    <w:rsid w:val="00221859"/>
    <w:rsid w:val="00227871"/>
    <w:rsid w:val="00233E85"/>
    <w:rsid w:val="00234800"/>
    <w:rsid w:val="00234F4F"/>
    <w:rsid w:val="00243F95"/>
    <w:rsid w:val="0024645F"/>
    <w:rsid w:val="00254C98"/>
    <w:rsid w:val="00257BF3"/>
    <w:rsid w:val="00264668"/>
    <w:rsid w:val="00270D5F"/>
    <w:rsid w:val="00274369"/>
    <w:rsid w:val="00277DDB"/>
    <w:rsid w:val="00281D3C"/>
    <w:rsid w:val="002849BA"/>
    <w:rsid w:val="00286FCE"/>
    <w:rsid w:val="002A1561"/>
    <w:rsid w:val="002A3ED6"/>
    <w:rsid w:val="002B1421"/>
    <w:rsid w:val="002C1D5E"/>
    <w:rsid w:val="002C1D7E"/>
    <w:rsid w:val="002D1199"/>
    <w:rsid w:val="002D4C78"/>
    <w:rsid w:val="002D5742"/>
    <w:rsid w:val="002D78E1"/>
    <w:rsid w:val="002E6779"/>
    <w:rsid w:val="002F0A0D"/>
    <w:rsid w:val="002F2CBA"/>
    <w:rsid w:val="002F4F5F"/>
    <w:rsid w:val="002F7AE7"/>
    <w:rsid w:val="00302A2C"/>
    <w:rsid w:val="00305298"/>
    <w:rsid w:val="003214CE"/>
    <w:rsid w:val="0032283D"/>
    <w:rsid w:val="00325CDD"/>
    <w:rsid w:val="00326BD3"/>
    <w:rsid w:val="00330B7C"/>
    <w:rsid w:val="00330C2C"/>
    <w:rsid w:val="003440C1"/>
    <w:rsid w:val="0034779A"/>
    <w:rsid w:val="00352D15"/>
    <w:rsid w:val="00354968"/>
    <w:rsid w:val="00361E35"/>
    <w:rsid w:val="00371AB4"/>
    <w:rsid w:val="00383F90"/>
    <w:rsid w:val="00385282"/>
    <w:rsid w:val="00390509"/>
    <w:rsid w:val="00394D40"/>
    <w:rsid w:val="00395CD2"/>
    <w:rsid w:val="003A0D49"/>
    <w:rsid w:val="003A39B6"/>
    <w:rsid w:val="003B492B"/>
    <w:rsid w:val="003B55EE"/>
    <w:rsid w:val="003C2709"/>
    <w:rsid w:val="003C3185"/>
    <w:rsid w:val="003D1CC2"/>
    <w:rsid w:val="003F3C3E"/>
    <w:rsid w:val="00400168"/>
    <w:rsid w:val="00401D49"/>
    <w:rsid w:val="00404F22"/>
    <w:rsid w:val="00426977"/>
    <w:rsid w:val="004323E3"/>
    <w:rsid w:val="00440E19"/>
    <w:rsid w:val="004434B5"/>
    <w:rsid w:val="00447F35"/>
    <w:rsid w:val="00453730"/>
    <w:rsid w:val="00455C01"/>
    <w:rsid w:val="00461998"/>
    <w:rsid w:val="00463D7E"/>
    <w:rsid w:val="004653BB"/>
    <w:rsid w:val="00465CF1"/>
    <w:rsid w:val="0046670F"/>
    <w:rsid w:val="00474F64"/>
    <w:rsid w:val="00477804"/>
    <w:rsid w:val="00481092"/>
    <w:rsid w:val="004835CD"/>
    <w:rsid w:val="00490F68"/>
    <w:rsid w:val="004920A8"/>
    <w:rsid w:val="004A07BA"/>
    <w:rsid w:val="004B411F"/>
    <w:rsid w:val="004D288E"/>
    <w:rsid w:val="004D2C44"/>
    <w:rsid w:val="004D45A4"/>
    <w:rsid w:val="004E7B46"/>
    <w:rsid w:val="004F4DC9"/>
    <w:rsid w:val="005012FA"/>
    <w:rsid w:val="0050524A"/>
    <w:rsid w:val="0051604D"/>
    <w:rsid w:val="0051677F"/>
    <w:rsid w:val="00530CE3"/>
    <w:rsid w:val="00530FE4"/>
    <w:rsid w:val="00532FEF"/>
    <w:rsid w:val="00535BEC"/>
    <w:rsid w:val="005448CC"/>
    <w:rsid w:val="00551058"/>
    <w:rsid w:val="00551497"/>
    <w:rsid w:val="0056064F"/>
    <w:rsid w:val="00565CAE"/>
    <w:rsid w:val="00571D0C"/>
    <w:rsid w:val="005730F3"/>
    <w:rsid w:val="00576764"/>
    <w:rsid w:val="00576936"/>
    <w:rsid w:val="0058650F"/>
    <w:rsid w:val="00586F7D"/>
    <w:rsid w:val="00590C85"/>
    <w:rsid w:val="00591DBC"/>
    <w:rsid w:val="00596DCD"/>
    <w:rsid w:val="00597ED6"/>
    <w:rsid w:val="005A7F09"/>
    <w:rsid w:val="005B6A4F"/>
    <w:rsid w:val="005B6F74"/>
    <w:rsid w:val="005C7D9F"/>
    <w:rsid w:val="005D015A"/>
    <w:rsid w:val="005D4D53"/>
    <w:rsid w:val="005D52DF"/>
    <w:rsid w:val="005D6CC6"/>
    <w:rsid w:val="005E1094"/>
    <w:rsid w:val="005E3547"/>
    <w:rsid w:val="005E3B7F"/>
    <w:rsid w:val="005F1607"/>
    <w:rsid w:val="005F1878"/>
    <w:rsid w:val="005F3322"/>
    <w:rsid w:val="005F5C75"/>
    <w:rsid w:val="0060043C"/>
    <w:rsid w:val="00606C1B"/>
    <w:rsid w:val="00607DB4"/>
    <w:rsid w:val="00611842"/>
    <w:rsid w:val="00616389"/>
    <w:rsid w:val="006262F8"/>
    <w:rsid w:val="00631DB9"/>
    <w:rsid w:val="00637550"/>
    <w:rsid w:val="00645CFC"/>
    <w:rsid w:val="00654D6D"/>
    <w:rsid w:val="006554C7"/>
    <w:rsid w:val="00665250"/>
    <w:rsid w:val="00665811"/>
    <w:rsid w:val="00671488"/>
    <w:rsid w:val="00676BF0"/>
    <w:rsid w:val="00677343"/>
    <w:rsid w:val="00682F78"/>
    <w:rsid w:val="006830EF"/>
    <w:rsid w:val="00683BF2"/>
    <w:rsid w:val="0068539E"/>
    <w:rsid w:val="006A11B0"/>
    <w:rsid w:val="006B46C8"/>
    <w:rsid w:val="006C0E35"/>
    <w:rsid w:val="006C1B0D"/>
    <w:rsid w:val="006D05FF"/>
    <w:rsid w:val="006D6FA5"/>
    <w:rsid w:val="006D7727"/>
    <w:rsid w:val="006E6CBE"/>
    <w:rsid w:val="006F17F3"/>
    <w:rsid w:val="006F6478"/>
    <w:rsid w:val="0070184A"/>
    <w:rsid w:val="0070709C"/>
    <w:rsid w:val="00712448"/>
    <w:rsid w:val="00712BC3"/>
    <w:rsid w:val="00712E49"/>
    <w:rsid w:val="007204BA"/>
    <w:rsid w:val="007211E2"/>
    <w:rsid w:val="007217F7"/>
    <w:rsid w:val="00721831"/>
    <w:rsid w:val="007228F1"/>
    <w:rsid w:val="00724C85"/>
    <w:rsid w:val="00730FD9"/>
    <w:rsid w:val="00735565"/>
    <w:rsid w:val="00740841"/>
    <w:rsid w:val="0074555B"/>
    <w:rsid w:val="00745EB2"/>
    <w:rsid w:val="00746457"/>
    <w:rsid w:val="00746BEA"/>
    <w:rsid w:val="007539B9"/>
    <w:rsid w:val="0076194B"/>
    <w:rsid w:val="0076569D"/>
    <w:rsid w:val="007708A3"/>
    <w:rsid w:val="00773149"/>
    <w:rsid w:val="00792AA1"/>
    <w:rsid w:val="007957AE"/>
    <w:rsid w:val="007A11CA"/>
    <w:rsid w:val="007B4431"/>
    <w:rsid w:val="007B4779"/>
    <w:rsid w:val="007B5FF2"/>
    <w:rsid w:val="007D40FA"/>
    <w:rsid w:val="007D7210"/>
    <w:rsid w:val="007E342D"/>
    <w:rsid w:val="007E7E4D"/>
    <w:rsid w:val="007F6BD5"/>
    <w:rsid w:val="007F7D1C"/>
    <w:rsid w:val="00806525"/>
    <w:rsid w:val="00807EC5"/>
    <w:rsid w:val="00811526"/>
    <w:rsid w:val="00817BCB"/>
    <w:rsid w:val="00823809"/>
    <w:rsid w:val="00833E3B"/>
    <w:rsid w:val="008425D1"/>
    <w:rsid w:val="00843423"/>
    <w:rsid w:val="00854596"/>
    <w:rsid w:val="008574B6"/>
    <w:rsid w:val="00857FA7"/>
    <w:rsid w:val="00860536"/>
    <w:rsid w:val="00862393"/>
    <w:rsid w:val="00862E2B"/>
    <w:rsid w:val="00873957"/>
    <w:rsid w:val="00891790"/>
    <w:rsid w:val="008A3268"/>
    <w:rsid w:val="008A3B7E"/>
    <w:rsid w:val="008A5518"/>
    <w:rsid w:val="008B1806"/>
    <w:rsid w:val="008B7517"/>
    <w:rsid w:val="008D69E8"/>
    <w:rsid w:val="008F1475"/>
    <w:rsid w:val="008F1BBC"/>
    <w:rsid w:val="008F4047"/>
    <w:rsid w:val="00900886"/>
    <w:rsid w:val="00900920"/>
    <w:rsid w:val="00901982"/>
    <w:rsid w:val="009039C7"/>
    <w:rsid w:val="00923B1B"/>
    <w:rsid w:val="009407F4"/>
    <w:rsid w:val="00944BE1"/>
    <w:rsid w:val="009551D4"/>
    <w:rsid w:val="00955CB3"/>
    <w:rsid w:val="00955D45"/>
    <w:rsid w:val="00974719"/>
    <w:rsid w:val="009A017A"/>
    <w:rsid w:val="009A165C"/>
    <w:rsid w:val="009B228A"/>
    <w:rsid w:val="009B3375"/>
    <w:rsid w:val="009C27FA"/>
    <w:rsid w:val="009C2987"/>
    <w:rsid w:val="009D13C5"/>
    <w:rsid w:val="009D5022"/>
    <w:rsid w:val="009D6626"/>
    <w:rsid w:val="009E13FB"/>
    <w:rsid w:val="009E18B4"/>
    <w:rsid w:val="009E1C63"/>
    <w:rsid w:val="00A04AD7"/>
    <w:rsid w:val="00A15BDD"/>
    <w:rsid w:val="00A17305"/>
    <w:rsid w:val="00A34DA6"/>
    <w:rsid w:val="00A4664A"/>
    <w:rsid w:val="00A654DD"/>
    <w:rsid w:val="00A661AF"/>
    <w:rsid w:val="00A6627B"/>
    <w:rsid w:val="00AA119B"/>
    <w:rsid w:val="00AA202B"/>
    <w:rsid w:val="00AA7B38"/>
    <w:rsid w:val="00AB3639"/>
    <w:rsid w:val="00AB586D"/>
    <w:rsid w:val="00AB5B69"/>
    <w:rsid w:val="00AC32EA"/>
    <w:rsid w:val="00AC6117"/>
    <w:rsid w:val="00AD1558"/>
    <w:rsid w:val="00AF0151"/>
    <w:rsid w:val="00B000D3"/>
    <w:rsid w:val="00B03882"/>
    <w:rsid w:val="00B0788C"/>
    <w:rsid w:val="00B12241"/>
    <w:rsid w:val="00B12D09"/>
    <w:rsid w:val="00B1488B"/>
    <w:rsid w:val="00B26C43"/>
    <w:rsid w:val="00B30A1C"/>
    <w:rsid w:val="00B32730"/>
    <w:rsid w:val="00B4678E"/>
    <w:rsid w:val="00B51CAB"/>
    <w:rsid w:val="00B63A1C"/>
    <w:rsid w:val="00B657A0"/>
    <w:rsid w:val="00B6644C"/>
    <w:rsid w:val="00B71413"/>
    <w:rsid w:val="00B756D6"/>
    <w:rsid w:val="00B8243C"/>
    <w:rsid w:val="00B83268"/>
    <w:rsid w:val="00B929AF"/>
    <w:rsid w:val="00B9364C"/>
    <w:rsid w:val="00B976C4"/>
    <w:rsid w:val="00BA4AF0"/>
    <w:rsid w:val="00BC6A7E"/>
    <w:rsid w:val="00BD6FBB"/>
    <w:rsid w:val="00BD72E9"/>
    <w:rsid w:val="00BF1759"/>
    <w:rsid w:val="00BF7C8E"/>
    <w:rsid w:val="00C038E4"/>
    <w:rsid w:val="00C0478F"/>
    <w:rsid w:val="00C04F1B"/>
    <w:rsid w:val="00C06073"/>
    <w:rsid w:val="00C07363"/>
    <w:rsid w:val="00C17335"/>
    <w:rsid w:val="00C23033"/>
    <w:rsid w:val="00C23C4B"/>
    <w:rsid w:val="00C23F60"/>
    <w:rsid w:val="00C26008"/>
    <w:rsid w:val="00C31653"/>
    <w:rsid w:val="00C33784"/>
    <w:rsid w:val="00C33F33"/>
    <w:rsid w:val="00C36AAE"/>
    <w:rsid w:val="00C527D0"/>
    <w:rsid w:val="00C52842"/>
    <w:rsid w:val="00C57E35"/>
    <w:rsid w:val="00C63533"/>
    <w:rsid w:val="00C6401F"/>
    <w:rsid w:val="00C67505"/>
    <w:rsid w:val="00C73273"/>
    <w:rsid w:val="00C76ED0"/>
    <w:rsid w:val="00C84C52"/>
    <w:rsid w:val="00C86645"/>
    <w:rsid w:val="00C86EC9"/>
    <w:rsid w:val="00C9133F"/>
    <w:rsid w:val="00C91504"/>
    <w:rsid w:val="00C915BE"/>
    <w:rsid w:val="00CA07CB"/>
    <w:rsid w:val="00CA2BB1"/>
    <w:rsid w:val="00CA7B90"/>
    <w:rsid w:val="00CC516A"/>
    <w:rsid w:val="00CD6072"/>
    <w:rsid w:val="00CD788B"/>
    <w:rsid w:val="00CE1935"/>
    <w:rsid w:val="00CE19A8"/>
    <w:rsid w:val="00D062D5"/>
    <w:rsid w:val="00D1051A"/>
    <w:rsid w:val="00D135B7"/>
    <w:rsid w:val="00D2614C"/>
    <w:rsid w:val="00D33E93"/>
    <w:rsid w:val="00D351F1"/>
    <w:rsid w:val="00D35CE5"/>
    <w:rsid w:val="00D410A3"/>
    <w:rsid w:val="00D46AFF"/>
    <w:rsid w:val="00D5304B"/>
    <w:rsid w:val="00D575D9"/>
    <w:rsid w:val="00D6427A"/>
    <w:rsid w:val="00D67489"/>
    <w:rsid w:val="00D739E1"/>
    <w:rsid w:val="00D777F8"/>
    <w:rsid w:val="00D81B25"/>
    <w:rsid w:val="00D82F74"/>
    <w:rsid w:val="00D83402"/>
    <w:rsid w:val="00D97EE6"/>
    <w:rsid w:val="00DA1E60"/>
    <w:rsid w:val="00DA2185"/>
    <w:rsid w:val="00DB0621"/>
    <w:rsid w:val="00DD05AB"/>
    <w:rsid w:val="00DD0642"/>
    <w:rsid w:val="00DD15DF"/>
    <w:rsid w:val="00DD1AA7"/>
    <w:rsid w:val="00DD3ED7"/>
    <w:rsid w:val="00DD4975"/>
    <w:rsid w:val="00DD4D26"/>
    <w:rsid w:val="00DD5EA9"/>
    <w:rsid w:val="00DD7A4A"/>
    <w:rsid w:val="00DE28EB"/>
    <w:rsid w:val="00DE7847"/>
    <w:rsid w:val="00DF1464"/>
    <w:rsid w:val="00DF6DFA"/>
    <w:rsid w:val="00E01888"/>
    <w:rsid w:val="00E0739F"/>
    <w:rsid w:val="00E07F77"/>
    <w:rsid w:val="00E113BD"/>
    <w:rsid w:val="00E15F5D"/>
    <w:rsid w:val="00E262AC"/>
    <w:rsid w:val="00E33606"/>
    <w:rsid w:val="00E3475C"/>
    <w:rsid w:val="00E35B7B"/>
    <w:rsid w:val="00E42006"/>
    <w:rsid w:val="00E42B96"/>
    <w:rsid w:val="00E70C07"/>
    <w:rsid w:val="00E81074"/>
    <w:rsid w:val="00E925DF"/>
    <w:rsid w:val="00E94833"/>
    <w:rsid w:val="00E96AA1"/>
    <w:rsid w:val="00EA33CE"/>
    <w:rsid w:val="00EB44C2"/>
    <w:rsid w:val="00EB5ECE"/>
    <w:rsid w:val="00EC3E0C"/>
    <w:rsid w:val="00EC44C4"/>
    <w:rsid w:val="00EC4C7F"/>
    <w:rsid w:val="00ED63AB"/>
    <w:rsid w:val="00EE033B"/>
    <w:rsid w:val="00EE0771"/>
    <w:rsid w:val="00EE3203"/>
    <w:rsid w:val="00EF1726"/>
    <w:rsid w:val="00F10F8E"/>
    <w:rsid w:val="00F1522E"/>
    <w:rsid w:val="00F162AE"/>
    <w:rsid w:val="00F17F33"/>
    <w:rsid w:val="00F20B42"/>
    <w:rsid w:val="00F22299"/>
    <w:rsid w:val="00F2455A"/>
    <w:rsid w:val="00F31AA8"/>
    <w:rsid w:val="00F33895"/>
    <w:rsid w:val="00F3538F"/>
    <w:rsid w:val="00F57C2E"/>
    <w:rsid w:val="00F62CFF"/>
    <w:rsid w:val="00F63A38"/>
    <w:rsid w:val="00F710BC"/>
    <w:rsid w:val="00F727D6"/>
    <w:rsid w:val="00F876F3"/>
    <w:rsid w:val="00F95EB6"/>
    <w:rsid w:val="00FA181F"/>
    <w:rsid w:val="00FC1B4A"/>
    <w:rsid w:val="00FC54C7"/>
    <w:rsid w:val="00FD33E7"/>
    <w:rsid w:val="00FD7F6F"/>
    <w:rsid w:val="00FE7DAB"/>
    <w:rsid w:val="00FF2E09"/>
    <w:rsid w:val="00FF5B3A"/>
    <w:rsid w:val="00FF67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544FEC"/>
  <w15:docId w15:val="{31F9CE47-8E0F-44DC-B1E7-AD0288543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sz w:val="24"/>
        <w:szCs w:val="24"/>
        <w:lang w:val="en-US" w:eastAsia="en-US" w:bidi="ar-SA"/>
      </w:rPr>
    </w:rPrDefault>
    <w:pPrDefault/>
  </w:docDefaults>
  <w:latentStyles w:defLockedState="0" w:defUIPriority="0" w:defSemiHidden="0" w:defUnhideWhenUsed="0" w:defQFormat="0" w:count="376">
    <w:lsdException w:name="heading 2" w:semiHidden="1" w:uiPriority="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uiPriority="2"/>
    <w:lsdException w:name="index 3" w:uiPriority="2"/>
    <w:lsdException w:name="index 4" w:uiPriority="2"/>
    <w:lsdException w:name="index 5" w:uiPriority="2"/>
    <w:lsdException w:name="index 6" w:uiPriority="2"/>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2"/>
    <w:lsdException w:name="List Number 3" w:semiHidden="1" w:unhideWhenUsed="1"/>
    <w:lsdException w:name="List Number 4" w:semiHidden="1" w:unhideWhenUsed="1"/>
    <w:lsdException w:name="List Number 5" w:uiPriority="2"/>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2"/>
    <w:lsdException w:name="Block Text" w:uiPriority="2"/>
    <w:lsdException w:name="Hyperlink" w:uiPriority="2"/>
    <w:lsdException w:name="FollowedHyperlink" w:uiPriority="2"/>
    <w:lsdException w:name="Strong" w:uiPriority="2"/>
    <w:lsdException w:name="Emphasis" w:uiPriority="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Body"/>
    <w:uiPriority w:val="2"/>
    <w:rsid w:val="00D81B25"/>
    <w:rPr>
      <w:rFonts w:ascii="Tahoma" w:hAnsi="Tahoma"/>
    </w:rPr>
  </w:style>
  <w:style w:type="paragraph" w:styleId="Heading1">
    <w:name w:val="heading 1"/>
    <w:basedOn w:val="Normal"/>
    <w:next w:val="Normal"/>
    <w:link w:val="Heading1Char"/>
    <w:uiPriority w:val="2"/>
    <w:rsid w:val="00D777F8"/>
    <w:pPr>
      <w:keepNext/>
      <w:keepLines/>
      <w:spacing w:before="240"/>
      <w:outlineLvl w:val="0"/>
    </w:pPr>
    <w:rPr>
      <w:rFonts w:asciiTheme="majorHAnsi" w:eastAsiaTheme="majorEastAsia" w:hAnsiTheme="majorHAnsi" w:cstheme="majorBidi"/>
      <w:b/>
      <w:color w:val="007458" w:themeColor="accent1" w:themeShade="BF"/>
      <w:sz w:val="32"/>
      <w:szCs w:val="32"/>
    </w:rPr>
  </w:style>
  <w:style w:type="paragraph" w:styleId="Heading2">
    <w:name w:val="heading 2"/>
    <w:aliases w:val="Section Title"/>
    <w:basedOn w:val="Normal"/>
    <w:next w:val="Normal"/>
    <w:link w:val="Heading2Char"/>
    <w:uiPriority w:val="2"/>
    <w:unhideWhenUsed/>
    <w:qFormat/>
    <w:rsid w:val="004B411F"/>
    <w:pPr>
      <w:keepNext/>
      <w:keepLines/>
      <w:spacing w:before="240" w:after="240"/>
      <w:outlineLvl w:val="1"/>
    </w:pPr>
    <w:rPr>
      <w:rFonts w:asciiTheme="majorHAnsi" w:eastAsiaTheme="majorEastAsia" w:hAnsiTheme="majorHAnsi" w:cstheme="majorBidi"/>
      <w:b/>
      <w:color w:val="0072CE" w:themeColor="text2"/>
      <w:sz w:val="28"/>
      <w:szCs w:val="26"/>
    </w:rPr>
  </w:style>
  <w:style w:type="paragraph" w:styleId="Heading3">
    <w:name w:val="heading 3"/>
    <w:basedOn w:val="JHEPBody"/>
    <w:link w:val="Heading3Char"/>
    <w:unhideWhenUsed/>
    <w:qFormat/>
    <w:rsid w:val="000C64D8"/>
    <w:pPr>
      <w:outlineLvl w:val="2"/>
    </w:pPr>
    <w:rPr>
      <w:b/>
      <w:bCs/>
      <w:i/>
      <w:iCs/>
    </w:rPr>
  </w:style>
  <w:style w:type="paragraph" w:styleId="Heading4">
    <w:name w:val="heading 4"/>
    <w:basedOn w:val="Normal"/>
    <w:link w:val="Heading4Char"/>
    <w:semiHidden/>
    <w:unhideWhenUsed/>
    <w:qFormat/>
    <w:rsid w:val="004B411F"/>
    <w:pPr>
      <w:keepNext/>
      <w:keepLines/>
      <w:spacing w:before="40"/>
      <w:outlineLvl w:val="3"/>
    </w:pPr>
    <w:rPr>
      <w:rFonts w:asciiTheme="majorHAnsi" w:eastAsiaTheme="majorEastAsia" w:hAnsiTheme="majorHAnsi" w:cstheme="majorBidi"/>
      <w:i/>
      <w:iCs/>
      <w:color w:val="007458" w:themeColor="accent1" w:themeShade="BF"/>
    </w:rPr>
  </w:style>
  <w:style w:type="paragraph" w:styleId="Heading5">
    <w:name w:val="heading 5"/>
    <w:basedOn w:val="Normal"/>
    <w:link w:val="Heading5Char"/>
    <w:semiHidden/>
    <w:unhideWhenUsed/>
    <w:qFormat/>
    <w:rsid w:val="004B411F"/>
    <w:pPr>
      <w:keepNext/>
      <w:keepLines/>
      <w:spacing w:before="40"/>
      <w:outlineLvl w:val="4"/>
    </w:pPr>
    <w:rPr>
      <w:rFonts w:asciiTheme="majorHAnsi" w:eastAsiaTheme="majorEastAsia" w:hAnsiTheme="majorHAnsi" w:cstheme="majorBidi"/>
      <w:color w:val="007458" w:themeColor="accent1" w:themeShade="BF"/>
    </w:rPr>
  </w:style>
  <w:style w:type="paragraph" w:styleId="Heading6">
    <w:name w:val="heading 6"/>
    <w:basedOn w:val="Normal"/>
    <w:link w:val="Heading6Char"/>
    <w:semiHidden/>
    <w:unhideWhenUsed/>
    <w:qFormat/>
    <w:rsid w:val="004B411F"/>
    <w:pPr>
      <w:keepNext/>
      <w:keepLines/>
      <w:spacing w:before="40"/>
      <w:outlineLvl w:val="5"/>
    </w:pPr>
    <w:rPr>
      <w:rFonts w:asciiTheme="majorHAnsi" w:eastAsiaTheme="majorEastAsia" w:hAnsiTheme="majorHAnsi" w:cstheme="majorBidi"/>
      <w:color w:val="004D3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2"/>
    <w:rsid w:val="00B657A0"/>
    <w:rPr>
      <w:sz w:val="20"/>
      <w:szCs w:val="20"/>
    </w:rPr>
  </w:style>
  <w:style w:type="character" w:customStyle="1" w:styleId="FootnoteTextChar">
    <w:name w:val="Footnote Text Char"/>
    <w:basedOn w:val="DefaultParagraphFont"/>
    <w:link w:val="FootnoteText"/>
    <w:uiPriority w:val="2"/>
    <w:rsid w:val="003214CE"/>
    <w:rPr>
      <w:sz w:val="20"/>
      <w:szCs w:val="20"/>
    </w:rPr>
  </w:style>
  <w:style w:type="character" w:styleId="FootnoteReference">
    <w:name w:val="footnote reference"/>
    <w:uiPriority w:val="2"/>
    <w:rsid w:val="00B657A0"/>
    <w:rPr>
      <w:vertAlign w:val="superscript"/>
    </w:rPr>
  </w:style>
  <w:style w:type="paragraph" w:styleId="Header">
    <w:name w:val="header"/>
    <w:basedOn w:val="Normal"/>
    <w:link w:val="HeaderChar"/>
    <w:uiPriority w:val="2"/>
    <w:rsid w:val="00FC1B4A"/>
    <w:pPr>
      <w:tabs>
        <w:tab w:val="center" w:pos="4320"/>
        <w:tab w:val="right" w:pos="8640"/>
      </w:tabs>
    </w:pPr>
  </w:style>
  <w:style w:type="character" w:customStyle="1" w:styleId="HeaderChar">
    <w:name w:val="Header Char"/>
    <w:basedOn w:val="DefaultParagraphFont"/>
    <w:link w:val="Header"/>
    <w:uiPriority w:val="2"/>
    <w:rsid w:val="003214CE"/>
  </w:style>
  <w:style w:type="paragraph" w:customStyle="1" w:styleId="CourseName">
    <w:name w:val="Course Name"/>
    <w:basedOn w:val="Normal"/>
    <w:uiPriority w:val="1"/>
    <w:qFormat/>
    <w:rsid w:val="004B411F"/>
    <w:pPr>
      <w:keepNext/>
      <w:autoSpaceDE w:val="0"/>
      <w:autoSpaceDN w:val="0"/>
      <w:adjustRightInd w:val="0"/>
      <w:spacing w:after="360"/>
      <w:outlineLvl w:val="1"/>
    </w:pPr>
    <w:rPr>
      <w:rFonts w:asciiTheme="majorHAnsi" w:hAnsiTheme="majorHAnsi" w:cs="Arial"/>
      <w:b/>
      <w:bCs/>
      <w:kern w:val="36"/>
      <w:sz w:val="28"/>
      <w:szCs w:val="28"/>
      <w:u w:color="595959" w:themeColor="text1" w:themeTint="A6"/>
    </w:rPr>
  </w:style>
  <w:style w:type="paragraph" w:styleId="BalloonText">
    <w:name w:val="Balloon Text"/>
    <w:basedOn w:val="Normal"/>
    <w:link w:val="BalloonTextChar"/>
    <w:uiPriority w:val="2"/>
    <w:rsid w:val="001B287C"/>
    <w:rPr>
      <w:rFonts w:ascii="Lucida Grande" w:hAnsi="Lucida Grande"/>
      <w:sz w:val="18"/>
      <w:szCs w:val="18"/>
    </w:rPr>
  </w:style>
  <w:style w:type="character" w:customStyle="1" w:styleId="BalloonTextChar">
    <w:name w:val="Balloon Text Char"/>
    <w:basedOn w:val="DefaultParagraphFont"/>
    <w:link w:val="BalloonText"/>
    <w:uiPriority w:val="2"/>
    <w:rsid w:val="003214CE"/>
    <w:rPr>
      <w:rFonts w:ascii="Lucida Grande" w:hAnsi="Lucida Grande"/>
      <w:sz w:val="18"/>
      <w:szCs w:val="18"/>
    </w:rPr>
  </w:style>
  <w:style w:type="paragraph" w:customStyle="1" w:styleId="NumberedList">
    <w:name w:val="Numbered List"/>
    <w:basedOn w:val="Normal"/>
    <w:next w:val="Normal"/>
    <w:uiPriority w:val="2"/>
    <w:qFormat/>
    <w:rsid w:val="000806C2"/>
    <w:pPr>
      <w:numPr>
        <w:numId w:val="15"/>
      </w:numPr>
      <w:spacing w:after="60"/>
      <w:ind w:left="360"/>
    </w:pPr>
    <w:rPr>
      <w:rFonts w:cs="Arial"/>
      <w:bCs/>
      <w:szCs w:val="22"/>
    </w:rPr>
  </w:style>
  <w:style w:type="paragraph" w:customStyle="1" w:styleId="SubsectionTitle">
    <w:name w:val="Subsection Title"/>
    <w:basedOn w:val="Normal"/>
    <w:next w:val="Normal"/>
    <w:uiPriority w:val="2"/>
    <w:qFormat/>
    <w:rsid w:val="004B411F"/>
    <w:pPr>
      <w:spacing w:before="240" w:after="240"/>
    </w:pPr>
    <w:rPr>
      <w:rFonts w:asciiTheme="majorHAnsi" w:hAnsiTheme="majorHAnsi" w:cs="Arial"/>
      <w:b/>
      <w:bCs/>
      <w:szCs w:val="22"/>
    </w:rPr>
  </w:style>
  <w:style w:type="character" w:customStyle="1" w:styleId="Heading2Char">
    <w:name w:val="Heading 2 Char"/>
    <w:aliases w:val="Section Title Char"/>
    <w:basedOn w:val="DefaultParagraphFont"/>
    <w:link w:val="Heading2"/>
    <w:uiPriority w:val="2"/>
    <w:rsid w:val="004B411F"/>
    <w:rPr>
      <w:rFonts w:asciiTheme="majorHAnsi" w:eastAsiaTheme="majorEastAsia" w:hAnsiTheme="majorHAnsi" w:cstheme="majorBidi"/>
      <w:b/>
      <w:color w:val="0072CE" w:themeColor="text2"/>
      <w:sz w:val="28"/>
      <w:szCs w:val="26"/>
    </w:rPr>
  </w:style>
  <w:style w:type="numbering" w:customStyle="1" w:styleId="NumberListstrong">
    <w:name w:val="Number List (strong)"/>
    <w:basedOn w:val="NoList"/>
    <w:rsid w:val="003A39B6"/>
    <w:pPr>
      <w:numPr>
        <w:numId w:val="6"/>
      </w:numPr>
    </w:pPr>
  </w:style>
  <w:style w:type="paragraph" w:customStyle="1" w:styleId="NumberList">
    <w:name w:val="Number List"/>
    <w:basedOn w:val="Normal"/>
    <w:uiPriority w:val="2"/>
    <w:rsid w:val="003A39B6"/>
    <w:pPr>
      <w:spacing w:after="60"/>
      <w:ind w:left="360" w:hanging="360"/>
    </w:pPr>
    <w:rPr>
      <w:bCs/>
    </w:rPr>
  </w:style>
  <w:style w:type="paragraph" w:customStyle="1" w:styleId="Body">
    <w:name w:val="Body"/>
    <w:basedOn w:val="Normal"/>
    <w:uiPriority w:val="2"/>
    <w:rsid w:val="003A39B6"/>
    <w:rPr>
      <w:bCs/>
    </w:rPr>
  </w:style>
  <w:style w:type="paragraph" w:customStyle="1" w:styleId="JHEPBody">
    <w:name w:val="JHEP Body"/>
    <w:basedOn w:val="Normal"/>
    <w:uiPriority w:val="2"/>
    <w:qFormat/>
    <w:rsid w:val="002D78E1"/>
    <w:rPr>
      <w:rFonts w:cs="Arial"/>
      <w:szCs w:val="22"/>
    </w:rPr>
  </w:style>
  <w:style w:type="paragraph" w:styleId="Footer">
    <w:name w:val="footer"/>
    <w:basedOn w:val="Normal"/>
    <w:link w:val="FooterChar"/>
    <w:uiPriority w:val="99"/>
    <w:unhideWhenUsed/>
    <w:rsid w:val="00D777F8"/>
    <w:pPr>
      <w:tabs>
        <w:tab w:val="center" w:pos="4680"/>
        <w:tab w:val="right" w:pos="9360"/>
      </w:tabs>
    </w:pPr>
  </w:style>
  <w:style w:type="character" w:customStyle="1" w:styleId="FooterChar">
    <w:name w:val="Footer Char"/>
    <w:basedOn w:val="DefaultParagraphFont"/>
    <w:link w:val="Footer"/>
    <w:uiPriority w:val="99"/>
    <w:rsid w:val="003214CE"/>
  </w:style>
  <w:style w:type="character" w:customStyle="1" w:styleId="Heading1Char">
    <w:name w:val="Heading 1 Char"/>
    <w:basedOn w:val="DefaultParagraphFont"/>
    <w:link w:val="Heading1"/>
    <w:uiPriority w:val="2"/>
    <w:rsid w:val="003214CE"/>
    <w:rPr>
      <w:rFonts w:asciiTheme="majorHAnsi" w:eastAsiaTheme="majorEastAsia" w:hAnsiTheme="majorHAnsi" w:cstheme="majorBidi"/>
      <w:b/>
      <w:color w:val="007458" w:themeColor="accent1" w:themeShade="BF"/>
      <w:sz w:val="32"/>
      <w:szCs w:val="32"/>
    </w:rPr>
  </w:style>
  <w:style w:type="paragraph" w:styleId="Title">
    <w:name w:val="Title"/>
    <w:basedOn w:val="Normal"/>
    <w:next w:val="Normal"/>
    <w:link w:val="TitleChar"/>
    <w:qFormat/>
    <w:rsid w:val="004B411F"/>
    <w:pPr>
      <w:keepNext/>
      <w:tabs>
        <w:tab w:val="left" w:pos="450"/>
        <w:tab w:val="left" w:pos="4320"/>
      </w:tabs>
      <w:autoSpaceDE w:val="0"/>
      <w:autoSpaceDN w:val="0"/>
      <w:adjustRightInd w:val="0"/>
      <w:spacing w:after="180"/>
      <w:outlineLvl w:val="1"/>
    </w:pPr>
    <w:rPr>
      <w:rFonts w:asciiTheme="majorHAnsi" w:eastAsiaTheme="majorEastAsia" w:hAnsiTheme="majorHAnsi" w:cs="Arial"/>
      <w:b/>
      <w:color w:val="002D72" w:themeColor="accent2"/>
      <w:kern w:val="36"/>
      <w:sz w:val="36"/>
      <w:szCs w:val="36"/>
    </w:rPr>
  </w:style>
  <w:style w:type="character" w:customStyle="1" w:styleId="TitleChar">
    <w:name w:val="Title Char"/>
    <w:basedOn w:val="DefaultParagraphFont"/>
    <w:link w:val="Title"/>
    <w:rsid w:val="004B411F"/>
    <w:rPr>
      <w:rFonts w:asciiTheme="majorHAnsi" w:eastAsiaTheme="majorEastAsia" w:hAnsiTheme="majorHAnsi" w:cs="Arial"/>
      <w:b/>
      <w:color w:val="002D72" w:themeColor="accent2"/>
      <w:kern w:val="36"/>
      <w:sz w:val="36"/>
      <w:szCs w:val="36"/>
    </w:rPr>
  </w:style>
  <w:style w:type="paragraph" w:styleId="ListParagraph">
    <w:name w:val="List Paragraph"/>
    <w:basedOn w:val="Normal"/>
    <w:uiPriority w:val="34"/>
    <w:qFormat/>
    <w:rsid w:val="000806C2"/>
    <w:pPr>
      <w:numPr>
        <w:numId w:val="10"/>
      </w:numPr>
      <w:spacing w:before="240" w:after="240" w:line="259" w:lineRule="auto"/>
      <w:ind w:left="720"/>
      <w:contextualSpacing/>
    </w:pPr>
    <w:rPr>
      <w:rFonts w:eastAsiaTheme="minorHAnsi" w:cstheme="minorBidi"/>
      <w:szCs w:val="22"/>
    </w:rPr>
  </w:style>
  <w:style w:type="character" w:customStyle="1" w:styleId="Heading3Char">
    <w:name w:val="Heading 3 Char"/>
    <w:basedOn w:val="DefaultParagraphFont"/>
    <w:link w:val="Heading3"/>
    <w:rsid w:val="000C64D8"/>
    <w:rPr>
      <w:rFonts w:ascii="Tahoma" w:hAnsi="Tahoma" w:cs="Arial"/>
      <w:b/>
      <w:bCs/>
      <w:i/>
      <w:iCs/>
      <w:szCs w:val="22"/>
    </w:rPr>
  </w:style>
  <w:style w:type="character" w:customStyle="1" w:styleId="Heading4Char">
    <w:name w:val="Heading 4 Char"/>
    <w:basedOn w:val="DefaultParagraphFont"/>
    <w:link w:val="Heading4"/>
    <w:semiHidden/>
    <w:rsid w:val="004B411F"/>
    <w:rPr>
      <w:rFonts w:asciiTheme="majorHAnsi" w:eastAsiaTheme="majorEastAsia" w:hAnsiTheme="majorHAnsi" w:cstheme="majorBidi"/>
      <w:i/>
      <w:iCs/>
      <w:color w:val="007458" w:themeColor="accent1" w:themeShade="BF"/>
    </w:rPr>
  </w:style>
  <w:style w:type="character" w:customStyle="1" w:styleId="Heading5Char">
    <w:name w:val="Heading 5 Char"/>
    <w:basedOn w:val="DefaultParagraphFont"/>
    <w:link w:val="Heading5"/>
    <w:semiHidden/>
    <w:rsid w:val="004B411F"/>
    <w:rPr>
      <w:rFonts w:asciiTheme="majorHAnsi" w:eastAsiaTheme="majorEastAsia" w:hAnsiTheme="majorHAnsi" w:cstheme="majorBidi"/>
      <w:color w:val="007458" w:themeColor="accent1" w:themeShade="BF"/>
    </w:rPr>
  </w:style>
  <w:style w:type="character" w:customStyle="1" w:styleId="Heading6Char">
    <w:name w:val="Heading 6 Char"/>
    <w:basedOn w:val="DefaultParagraphFont"/>
    <w:link w:val="Heading6"/>
    <w:semiHidden/>
    <w:rsid w:val="004B411F"/>
    <w:rPr>
      <w:rFonts w:asciiTheme="majorHAnsi" w:eastAsiaTheme="majorEastAsia" w:hAnsiTheme="majorHAnsi" w:cstheme="majorBidi"/>
      <w:color w:val="004D3A" w:themeColor="accent1" w:themeShade="7F"/>
    </w:rPr>
  </w:style>
  <w:style w:type="character" w:styleId="Hyperlink">
    <w:name w:val="Hyperlink"/>
    <w:basedOn w:val="DefaultParagraphFont"/>
    <w:uiPriority w:val="2"/>
    <w:rsid w:val="00B12241"/>
    <w:rPr>
      <w:color w:val="0072CE" w:themeColor="hyperlink"/>
      <w:u w:val="single"/>
    </w:rPr>
  </w:style>
  <w:style w:type="character" w:styleId="UnresolvedMention">
    <w:name w:val="Unresolved Mention"/>
    <w:basedOn w:val="DefaultParagraphFont"/>
    <w:uiPriority w:val="99"/>
    <w:semiHidden/>
    <w:unhideWhenUsed/>
    <w:rsid w:val="00B12241"/>
    <w:rPr>
      <w:color w:val="605E5C"/>
      <w:shd w:val="clear" w:color="auto" w:fill="E1DFDD"/>
    </w:rPr>
  </w:style>
  <w:style w:type="table" w:styleId="TableGrid">
    <w:name w:val="Table Grid"/>
    <w:basedOn w:val="TableNormal"/>
    <w:rsid w:val="002D7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F162AE"/>
    <w:tblPr>
      <w:tblStyleRowBandSize w:val="1"/>
      <w:tblStyleColBandSize w:val="1"/>
      <w:tblBorders>
        <w:top w:val="single" w:sz="4" w:space="0" w:color="609EFF" w:themeColor="accent2" w:themeTint="66"/>
        <w:left w:val="single" w:sz="4" w:space="0" w:color="609EFF" w:themeColor="accent2" w:themeTint="66"/>
        <w:bottom w:val="single" w:sz="4" w:space="0" w:color="609EFF" w:themeColor="accent2" w:themeTint="66"/>
        <w:right w:val="single" w:sz="4" w:space="0" w:color="609EFF" w:themeColor="accent2" w:themeTint="66"/>
        <w:insideH w:val="single" w:sz="4" w:space="0" w:color="609EFF" w:themeColor="accent2" w:themeTint="66"/>
        <w:insideV w:val="single" w:sz="4" w:space="0" w:color="609EFF" w:themeColor="accent2" w:themeTint="66"/>
      </w:tblBorders>
    </w:tblPr>
    <w:tblStylePr w:type="firstRow">
      <w:rPr>
        <w:b/>
        <w:bCs/>
      </w:rPr>
      <w:tblPr/>
      <w:tcPr>
        <w:tcBorders>
          <w:bottom w:val="single" w:sz="12" w:space="0" w:color="116EFF" w:themeColor="accent2" w:themeTint="99"/>
        </w:tcBorders>
      </w:tcPr>
    </w:tblStylePr>
    <w:tblStylePr w:type="lastRow">
      <w:rPr>
        <w:b/>
        <w:bCs/>
      </w:rPr>
      <w:tblPr/>
      <w:tcPr>
        <w:tcBorders>
          <w:top w:val="double" w:sz="2" w:space="0" w:color="116EFF" w:themeColor="accent2"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DD7A4A"/>
    <w:pPr>
      <w:tabs>
        <w:tab w:val="left" w:pos="380"/>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894261">
      <w:bodyDiv w:val="1"/>
      <w:marLeft w:val="0"/>
      <w:marRight w:val="0"/>
      <w:marTop w:val="0"/>
      <w:marBottom w:val="0"/>
      <w:divBdr>
        <w:top w:val="none" w:sz="0" w:space="0" w:color="auto"/>
        <w:left w:val="none" w:sz="0" w:space="0" w:color="auto"/>
        <w:bottom w:val="none" w:sz="0" w:space="0" w:color="auto"/>
        <w:right w:val="none" w:sz="0" w:space="0" w:color="auto"/>
      </w:divBdr>
    </w:div>
    <w:div w:id="1557164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an\OneDrive%20-%20Johns%20Hopkins\Teaching\585.729%20Cell%20and%20Tissue%20Engineering%20(Redesign)\_Document%20Templates\Word%20Template.dotx" TargetMode="External"/></Relationships>
</file>

<file path=word/theme/theme1.xml><?xml version="1.0" encoding="utf-8"?>
<a:theme xmlns:a="http://schemas.openxmlformats.org/drawingml/2006/main" name="Office Theme">
  <a:themeElements>
    <a:clrScheme name="EP Colors">
      <a:dk1>
        <a:srgbClr val="000000"/>
      </a:dk1>
      <a:lt1>
        <a:sysClr val="window" lastClr="FFFFFF"/>
      </a:lt1>
      <a:dk2>
        <a:srgbClr val="0072CE"/>
      </a:dk2>
      <a:lt2>
        <a:srgbClr val="FFFFFF"/>
      </a:lt2>
      <a:accent1>
        <a:srgbClr val="009B77"/>
      </a:accent1>
      <a:accent2>
        <a:srgbClr val="002D72"/>
      </a:accent2>
      <a:accent3>
        <a:srgbClr val="418FDE"/>
      </a:accent3>
      <a:accent4>
        <a:srgbClr val="727272"/>
      </a:accent4>
      <a:accent5>
        <a:srgbClr val="000000"/>
      </a:accent5>
      <a:accent6>
        <a:srgbClr val="42494C"/>
      </a:accent6>
      <a:hlink>
        <a:srgbClr val="0072CE"/>
      </a:hlink>
      <a:folHlink>
        <a:srgbClr val="727272"/>
      </a:folHlink>
    </a:clrScheme>
    <a:fontScheme name="EP Fonts">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81B81209776AF40B8AAD3C366C78D42" ma:contentTypeVersion="12" ma:contentTypeDescription="Create a new document." ma:contentTypeScope="" ma:versionID="036ba4e26ecc6a93039296b35ff93deb">
  <xsd:schema xmlns:xsd="http://www.w3.org/2001/XMLSchema" xmlns:xs="http://www.w3.org/2001/XMLSchema" xmlns:p="http://schemas.microsoft.com/office/2006/metadata/properties" xmlns:ns2="e3b5c32c-df6c-443f-b08b-73d85d62f2b5" xmlns:ns3="168931df-3f45-4445-be76-105235143e52" targetNamespace="http://schemas.microsoft.com/office/2006/metadata/properties" ma:root="true" ma:fieldsID="6479c46f14338b542629158efca55e4f" ns2:_="" ns3:_="">
    <xsd:import namespace="e3b5c32c-df6c-443f-b08b-73d85d62f2b5"/>
    <xsd:import namespace="168931df-3f45-4445-be76-105235143e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5c32c-df6c-443f-b08b-73d85d62f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931df-3f45-4445-be76-105235143e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079351-65DF-4C6E-9D22-18A8FDD157F3}">
  <ds:schemaRefs>
    <ds:schemaRef ds:uri="http://schemas.openxmlformats.org/officeDocument/2006/bibliography"/>
  </ds:schemaRefs>
</ds:datastoreItem>
</file>

<file path=customXml/itemProps2.xml><?xml version="1.0" encoding="utf-8"?>
<ds:datastoreItem xmlns:ds="http://schemas.openxmlformats.org/officeDocument/2006/customXml" ds:itemID="{238FD332-7843-4A9A-A11D-7C189DC8C06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61799D8-B4DE-4F44-BA66-7F96FAE0C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5c32c-df6c-443f-b08b-73d85d62f2b5"/>
    <ds:schemaRef ds:uri="168931df-3f45-4445-be76-10523514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4494D3-158E-4582-A8D0-53AF8FB6A6A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C:\Users\Ethan\OneDrive - Johns Hopkins\Teaching\585.729 Cell and Tissue Engineering (Redesign)\_Document Templates\Word Template.dotx</Template>
  <TotalTime>9</TotalTime>
  <Pages>5</Pages>
  <Words>2217</Words>
  <Characters>12641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14829</CharactersWithSpaces>
  <SharedDoc>false</SharedDoc>
  <HLinks>
    <vt:vector size="18" baseType="variant">
      <vt:variant>
        <vt:i4>3735599</vt:i4>
      </vt:variant>
      <vt:variant>
        <vt:i4>6</vt:i4>
      </vt:variant>
      <vt:variant>
        <vt:i4>0</vt:i4>
      </vt:variant>
      <vt:variant>
        <vt:i4>5</vt:i4>
      </vt:variant>
      <vt:variant>
        <vt:lpwstr>https://www.thermofisher.com/us/en/home/industrial/pharma-biopharma/drug-discovery-development/target-and-lead-identification-and-validation/g-protein-coupled/cell-based-second-messenger-assays/fura-2-calcium-indicator.html</vt:lpwstr>
      </vt:variant>
      <vt:variant>
        <vt:lpwstr/>
      </vt:variant>
      <vt:variant>
        <vt:i4>5373966</vt:i4>
      </vt:variant>
      <vt:variant>
        <vt:i4>3</vt:i4>
      </vt:variant>
      <vt:variant>
        <vt:i4>0</vt:i4>
      </vt:variant>
      <vt:variant>
        <vt:i4>5</vt:i4>
      </vt:variant>
      <vt:variant>
        <vt:lpwstr>https://www.cell.com/neuron/pdfExtended/S0896-6273(19)30172-2</vt:lpwstr>
      </vt:variant>
      <vt:variant>
        <vt:lpwstr/>
      </vt:variant>
      <vt:variant>
        <vt:i4>1114134</vt:i4>
      </vt:variant>
      <vt:variant>
        <vt:i4>0</vt:i4>
      </vt:variant>
      <vt:variant>
        <vt:i4>0</vt:i4>
      </vt:variant>
      <vt:variant>
        <vt:i4>5</vt:i4>
      </vt:variant>
      <vt:variant>
        <vt:lpwstr>https://www.thermofisher.com/us/en/home/life-science/cell-analysis/cell-viability-and-regulation/apoptosis/mitochondria-function.html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Nyberg</dc:creator>
  <cp:keywords/>
  <dc:description/>
  <cp:lastModifiedBy>Microsoft Office User</cp:lastModifiedBy>
  <cp:revision>7</cp:revision>
  <cp:lastPrinted>2022-10-09T15:06:00Z</cp:lastPrinted>
  <dcterms:created xsi:type="dcterms:W3CDTF">2022-10-09T15:06:00Z</dcterms:created>
  <dcterms:modified xsi:type="dcterms:W3CDTF">2022-10-11T01:15:00Z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0x010100681B81209776AF40B8AAD3C366C78D42</vt:lpwstr>
  </property>
  <property fmtid="{D5CDD505-2E9C-101B-9397-08002B2CF9AE}" pid="3" name="ZOTERO_PREF_1">
    <vt:lpwstr>&lt;data data-version="3" zotero-version="6.0.15"&gt;&lt;session id="07gGKJZe"/&gt;&lt;style id="http://www.zotero.org/styles/ieee" locale="en-US" hasBibliography="1" bibliographyStyleHasBeenSet="1"/&gt;&lt;prefs&gt;&lt;pref name="fieldType" value="Field"/&gt;&lt;/prefs&gt;&lt;/data&gt;</vt:lpwstr>
  </property>
  <property fmtid="{D5CDD505-2E9C-101B-9397-08002B2CF9AE}" pid="4" name="ZOTERO_PREF_2">
    <vt:lpwstr/>
  </property>
</Properties>
</file>