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1F65" w14:textId="019B2D5C" w:rsidR="008E5CC0" w:rsidRDefault="006B40C4" w:rsidP="00F847C3">
      <w:pPr>
        <w:rPr>
          <w:rFonts w:ascii="Tahoma" w:hAnsi="Tahoma" w:cs="Tahoma"/>
        </w:rPr>
      </w:pPr>
      <w:r w:rsidRPr="006B40C4">
        <w:rPr>
          <w:rFonts w:ascii="Tahoma" w:hAnsi="Tahoma" w:cs="Tahoma"/>
        </w:rPr>
        <w:t>Topic</w:t>
      </w:r>
    </w:p>
    <w:p w14:paraId="3927E63C" w14:textId="77777777" w:rsidR="005D21E5" w:rsidRPr="006B40C4" w:rsidRDefault="005D21E5" w:rsidP="00F847C3">
      <w:pPr>
        <w:rPr>
          <w:rFonts w:ascii="Tahoma" w:hAnsi="Tahoma" w:cs="Tahoma"/>
        </w:rPr>
      </w:pPr>
    </w:p>
    <w:p w14:paraId="1A254748" w14:textId="25ADEA27" w:rsidR="006B40C4" w:rsidRDefault="006B40C4" w:rsidP="00F847C3">
      <w:pPr>
        <w:rPr>
          <w:rFonts w:ascii="Tahoma" w:hAnsi="Tahoma" w:cs="Tahoma"/>
        </w:rPr>
      </w:pPr>
      <w:r w:rsidRPr="006B40C4">
        <w:rPr>
          <w:rFonts w:ascii="Tahoma" w:hAnsi="Tahoma" w:cs="Tahoma"/>
        </w:rPr>
        <w:t>Problem statement</w:t>
      </w:r>
    </w:p>
    <w:p w14:paraId="1BFCAEB1" w14:textId="7934B3D5" w:rsidR="009A35C3" w:rsidRDefault="00F75DB3" w:rsidP="00F847C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To better understand myelination, remyelination and demyelination, </w:t>
      </w:r>
      <w:r>
        <w:rPr>
          <w:rFonts w:ascii="Tahoma" w:hAnsi="Tahoma" w:cs="Tahoma"/>
        </w:rPr>
        <w:t>we will develop a 3D</w:t>
      </w:r>
      <w:r w:rsidR="005E5D94">
        <w:rPr>
          <w:rFonts w:ascii="Tahoma" w:hAnsi="Tahoma" w:cs="Tahoma"/>
        </w:rPr>
        <w:t xml:space="preserve"> in vitro</w:t>
      </w:r>
      <w:r>
        <w:rPr>
          <w:rFonts w:ascii="Tahoma" w:hAnsi="Tahoma" w:cs="Tahoma"/>
        </w:rPr>
        <w:t xml:space="preserve"> brain-tissue-like model mimicking the brain tissue in term of stiffness, viscoelasticity, tensile strength, relaxation time-scales, and adhesion. The product will provide simple relationships of myelination to biophysical and biochemical properties as key indicators for improving therapeutic studies.</w:t>
      </w:r>
    </w:p>
    <w:p w14:paraId="6A3C6DA5" w14:textId="77777777" w:rsidR="00F75DB3" w:rsidRDefault="00F75DB3" w:rsidP="00F847C3">
      <w:pPr>
        <w:rPr>
          <w:rFonts w:ascii="Tahoma" w:hAnsi="Tahoma" w:cs="Tahoma"/>
        </w:rPr>
      </w:pPr>
    </w:p>
    <w:p w14:paraId="483409B0" w14:textId="6359F3D2" w:rsidR="00211F5F" w:rsidRDefault="00211F5F" w:rsidP="00F847C3">
      <w:pPr>
        <w:rPr>
          <w:rFonts w:ascii="Tahoma" w:hAnsi="Tahoma" w:cs="Tahoma"/>
        </w:rPr>
      </w:pPr>
      <w:r>
        <w:rPr>
          <w:rFonts w:ascii="Tahoma" w:hAnsi="Tahoma" w:cs="Tahoma"/>
        </w:rPr>
        <w:t>Problem description</w:t>
      </w:r>
    </w:p>
    <w:p w14:paraId="477C0D1A" w14:textId="7B3A054C" w:rsidR="00691305" w:rsidRDefault="00BC0C0D" w:rsidP="00F847C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As the older adult population increases, there is an unprecedented urgency to make significant progress in drug therapies </w:t>
      </w:r>
      <w:r w:rsidR="0056780D">
        <w:rPr>
          <w:rFonts w:ascii="Tahoma" w:hAnsi="Tahoma" w:cs="Tahoma"/>
        </w:rPr>
        <w:t>for</w:t>
      </w:r>
      <w:r>
        <w:rPr>
          <w:rFonts w:ascii="Tahoma" w:hAnsi="Tahoma" w:cs="Tahoma"/>
        </w:rPr>
        <w:t xml:space="preserve"> neurodegenerative diseases</w:t>
      </w:r>
      <w:r w:rsidR="002F659B">
        <w:rPr>
          <w:rFonts w:ascii="Tahoma" w:hAnsi="Tahoma" w:cs="Tahoma"/>
        </w:rPr>
        <w:t xml:space="preserve"> (NDD)</w:t>
      </w:r>
      <w:r>
        <w:rPr>
          <w:rFonts w:ascii="Tahoma" w:hAnsi="Tahoma" w:cs="Tahoma"/>
        </w:rPr>
        <w:t>.</w:t>
      </w:r>
      <w:r w:rsidR="005F0757">
        <w:rPr>
          <w:rFonts w:ascii="Tahoma" w:hAnsi="Tahoma" w:cs="Tahoma"/>
        </w:rPr>
        <w:t xml:space="preserve"> Today, in the United States, there are about more than 1 million people suffering from Parkinson disease and 5.</w:t>
      </w:r>
      <w:r w:rsidR="009148A0">
        <w:rPr>
          <w:rFonts w:ascii="Tahoma" w:hAnsi="Tahoma" w:cs="Tahoma"/>
        </w:rPr>
        <w:t>3</w:t>
      </w:r>
      <w:r w:rsidR="005F0757">
        <w:rPr>
          <w:rFonts w:ascii="Tahoma" w:hAnsi="Tahoma" w:cs="Tahoma"/>
        </w:rPr>
        <w:t xml:space="preserve"> million cases of Alzheimer’s disease (</w:t>
      </w:r>
      <w:r w:rsidR="006E7220">
        <w:rPr>
          <w:rFonts w:ascii="Tahoma" w:hAnsi="Tahoma" w:cs="Tahoma"/>
        </w:rPr>
        <w:t>I</w:t>
      </w:r>
      <w:r w:rsidR="005F0757">
        <w:rPr>
          <w:rFonts w:ascii="Tahoma" w:hAnsi="Tahoma" w:cs="Tahoma"/>
        </w:rPr>
        <w:t xml:space="preserve">nstitute for Neurodegenerative Disorders). By </w:t>
      </w:r>
      <w:r w:rsidR="009A35C3">
        <w:rPr>
          <w:rFonts w:ascii="Tahoma" w:hAnsi="Tahoma" w:cs="Tahoma"/>
        </w:rPr>
        <w:t>2050, the</w:t>
      </w:r>
      <w:r w:rsidR="006E7220">
        <w:rPr>
          <w:rFonts w:ascii="Tahoma" w:hAnsi="Tahoma" w:cs="Tahoma"/>
        </w:rPr>
        <w:t xml:space="preserve"> number of Alzheimer’s patient will be increased 4-fold</w:t>
      </w:r>
      <w:r w:rsidR="00635DC4">
        <w:rPr>
          <w:rFonts w:ascii="Tahoma" w:hAnsi="Tahoma" w:cs="Tahoma"/>
        </w:rPr>
        <w:t xml:space="preserve"> (figure 1)</w:t>
      </w:r>
      <w:r w:rsidR="006E7220">
        <w:rPr>
          <w:rFonts w:ascii="Tahoma" w:hAnsi="Tahoma" w:cs="Tahoma"/>
        </w:rPr>
        <w:t xml:space="preserve">.  </w:t>
      </w:r>
    </w:p>
    <w:p w14:paraId="0CEB9C0E" w14:textId="08DAA86D" w:rsidR="00211F5F" w:rsidRDefault="002F659B" w:rsidP="00F847C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NDD is caused by autoimmune inflammatory damages against </w:t>
      </w:r>
      <w:r w:rsidR="00EE395E">
        <w:rPr>
          <w:rFonts w:ascii="Tahoma" w:hAnsi="Tahoma" w:cs="Tahoma"/>
        </w:rPr>
        <w:t xml:space="preserve">myelin </w:t>
      </w:r>
      <w:r>
        <w:rPr>
          <w:rFonts w:ascii="Tahoma" w:hAnsi="Tahoma" w:cs="Tahoma"/>
        </w:rPr>
        <w:t>in the central nervous system (CNS).</w:t>
      </w:r>
      <w:r w:rsidR="003E5F5B">
        <w:rPr>
          <w:rFonts w:ascii="Tahoma" w:hAnsi="Tahoma" w:cs="Tahoma"/>
        </w:rPr>
        <w:t xml:space="preserve"> </w:t>
      </w:r>
      <w:r w:rsidR="00802CAA">
        <w:rPr>
          <w:rFonts w:ascii="Tahoma" w:hAnsi="Tahoma" w:cs="Tahoma"/>
        </w:rPr>
        <w:t>Thus,</w:t>
      </w:r>
      <w:r w:rsidR="003E5F5B">
        <w:rPr>
          <w:rFonts w:ascii="Tahoma" w:hAnsi="Tahoma" w:cs="Tahoma"/>
        </w:rPr>
        <w:t xml:space="preserve"> pharmaceutical research of drugs promoting CNS remyelination, </w:t>
      </w:r>
      <w:r w:rsidR="00C51A18">
        <w:rPr>
          <w:rFonts w:ascii="Tahoma" w:hAnsi="Tahoma" w:cs="Tahoma"/>
        </w:rPr>
        <w:t xml:space="preserve">or </w:t>
      </w:r>
      <w:r w:rsidR="008358CA">
        <w:rPr>
          <w:rFonts w:ascii="Tahoma" w:hAnsi="Tahoma" w:cs="Tahoma"/>
        </w:rPr>
        <w:t>screening methods for anti-inflammatory agents as well as methods to del</w:t>
      </w:r>
      <w:r w:rsidR="00C51A18">
        <w:rPr>
          <w:rFonts w:ascii="Tahoma" w:hAnsi="Tahoma" w:cs="Tahoma"/>
        </w:rPr>
        <w:t>i</w:t>
      </w:r>
      <w:r w:rsidR="008358CA">
        <w:rPr>
          <w:rFonts w:ascii="Tahoma" w:hAnsi="Tahoma" w:cs="Tahoma"/>
        </w:rPr>
        <w:t xml:space="preserve">ver </w:t>
      </w:r>
      <w:r w:rsidR="00E24A49">
        <w:rPr>
          <w:rFonts w:ascii="Tahoma" w:hAnsi="Tahoma" w:cs="Tahoma"/>
        </w:rPr>
        <w:t xml:space="preserve">efficiently </w:t>
      </w:r>
      <w:r w:rsidR="008358CA">
        <w:rPr>
          <w:rFonts w:ascii="Tahoma" w:hAnsi="Tahoma" w:cs="Tahoma"/>
        </w:rPr>
        <w:t>these drugs to site o</w:t>
      </w:r>
      <w:r w:rsidR="00C51A18">
        <w:rPr>
          <w:rFonts w:ascii="Tahoma" w:hAnsi="Tahoma" w:cs="Tahoma"/>
        </w:rPr>
        <w:t>f</w:t>
      </w:r>
      <w:r w:rsidR="007B2772">
        <w:rPr>
          <w:rFonts w:ascii="Tahoma" w:hAnsi="Tahoma" w:cs="Tahoma"/>
        </w:rPr>
        <w:t xml:space="preserve"> neuroinflammation or degeneration,</w:t>
      </w:r>
      <w:r w:rsidR="008358CA">
        <w:rPr>
          <w:rFonts w:ascii="Tahoma" w:hAnsi="Tahoma" w:cs="Tahoma"/>
        </w:rPr>
        <w:t xml:space="preserve"> could improve significantly patient’s life by delay</w:t>
      </w:r>
      <w:r w:rsidR="00C51A18">
        <w:rPr>
          <w:rFonts w:ascii="Tahoma" w:hAnsi="Tahoma" w:cs="Tahoma"/>
        </w:rPr>
        <w:t>i</w:t>
      </w:r>
      <w:r w:rsidR="008358CA">
        <w:rPr>
          <w:rFonts w:ascii="Tahoma" w:hAnsi="Tahoma" w:cs="Tahoma"/>
        </w:rPr>
        <w:t>ng or even preventing neurodegeneration.</w:t>
      </w:r>
    </w:p>
    <w:p w14:paraId="39506EE7" w14:textId="32A2BCCF" w:rsidR="00691305" w:rsidRDefault="00832D77" w:rsidP="00F847C3">
      <w:pPr>
        <w:rPr>
          <w:rFonts w:ascii="Tahoma" w:hAnsi="Tahoma" w:cs="Tahoma"/>
        </w:rPr>
      </w:pPr>
      <w:r>
        <w:rPr>
          <w:rFonts w:ascii="Tahoma" w:hAnsi="Tahoma" w:cs="Tahoma"/>
        </w:rPr>
        <w:t>I</w:t>
      </w:r>
      <w:r>
        <w:rPr>
          <w:rFonts w:ascii="Tahoma" w:hAnsi="Tahoma" w:cs="Tahoma"/>
        </w:rPr>
        <w:t>n the adult brain</w:t>
      </w:r>
      <w:r>
        <w:rPr>
          <w:rFonts w:ascii="Tahoma" w:hAnsi="Tahoma" w:cs="Tahoma"/>
        </w:rPr>
        <w:t xml:space="preserve"> </w:t>
      </w:r>
      <w:r w:rsidR="00FF28AC">
        <w:rPr>
          <w:rFonts w:ascii="Tahoma" w:hAnsi="Tahoma" w:cs="Tahoma"/>
        </w:rPr>
        <w:t>remyelination</w:t>
      </w:r>
      <w:r>
        <w:rPr>
          <w:rFonts w:ascii="Tahoma" w:hAnsi="Tahoma" w:cs="Tahoma"/>
        </w:rPr>
        <w:t xml:space="preserve"> happens through either activation of </w:t>
      </w:r>
      <w:r w:rsidR="00FF28AC">
        <w:rPr>
          <w:rFonts w:ascii="Tahoma" w:hAnsi="Tahoma" w:cs="Tahoma"/>
        </w:rPr>
        <w:t>neural progenitor cells (NPCs)</w:t>
      </w:r>
      <w:r w:rsidR="00F43D47">
        <w:rPr>
          <w:rFonts w:ascii="Tahoma" w:hAnsi="Tahoma" w:cs="Tahoma"/>
        </w:rPr>
        <w:t>,</w:t>
      </w:r>
      <w:r w:rsidR="00FF28A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which</w:t>
      </w:r>
      <w:r w:rsidR="00FF28AC">
        <w:rPr>
          <w:rFonts w:ascii="Tahoma" w:hAnsi="Tahoma" w:cs="Tahoma"/>
        </w:rPr>
        <w:t xml:space="preserve"> proliferate and differ</w:t>
      </w:r>
      <w:r>
        <w:rPr>
          <w:rFonts w:ascii="Tahoma" w:hAnsi="Tahoma" w:cs="Tahoma"/>
        </w:rPr>
        <w:t>entiate into mature oligodendrocytes (</w:t>
      </w:r>
      <w:proofErr w:type="spellStart"/>
      <w:r>
        <w:rPr>
          <w:rFonts w:ascii="Tahoma" w:hAnsi="Tahoma" w:cs="Tahoma"/>
        </w:rPr>
        <w:t>mOLs</w:t>
      </w:r>
      <w:proofErr w:type="spellEnd"/>
      <w:r>
        <w:rPr>
          <w:rFonts w:ascii="Tahoma" w:hAnsi="Tahoma" w:cs="Tahoma"/>
        </w:rPr>
        <w:t xml:space="preserve">) or reactivation of resident oligodendrocyte precursor cells (OPCs) which can differentiate in </w:t>
      </w:r>
      <w:proofErr w:type="spellStart"/>
      <w:r>
        <w:rPr>
          <w:rFonts w:ascii="Tahoma" w:hAnsi="Tahoma" w:cs="Tahoma"/>
        </w:rPr>
        <w:t>mOLs</w:t>
      </w:r>
      <w:proofErr w:type="spellEnd"/>
      <w:r w:rsidR="003339C6">
        <w:rPr>
          <w:rFonts w:ascii="Tahoma" w:hAnsi="Tahoma" w:cs="Tahoma"/>
        </w:rPr>
        <w:t>. T</w:t>
      </w:r>
      <w:r w:rsidR="00F850FC">
        <w:rPr>
          <w:rFonts w:ascii="Tahoma" w:hAnsi="Tahoma" w:cs="Tahoma"/>
        </w:rPr>
        <w:t>his complex OPC differentiation process decreases with aging or disease progression.</w:t>
      </w:r>
      <w:r w:rsidR="003339C6">
        <w:rPr>
          <w:rFonts w:ascii="Tahoma" w:hAnsi="Tahoma" w:cs="Tahoma"/>
        </w:rPr>
        <w:t xml:space="preserve"> </w:t>
      </w:r>
      <w:r w:rsidR="003F5A7E">
        <w:rPr>
          <w:rFonts w:ascii="Tahoma" w:hAnsi="Tahoma" w:cs="Tahoma"/>
        </w:rPr>
        <w:t>T</w:t>
      </w:r>
      <w:r w:rsidR="003339C6">
        <w:rPr>
          <w:rFonts w:ascii="Tahoma" w:hAnsi="Tahoma" w:cs="Tahoma"/>
        </w:rPr>
        <w:t xml:space="preserve">here </w:t>
      </w:r>
      <w:r w:rsidR="00BF4829">
        <w:rPr>
          <w:rFonts w:ascii="Tahoma" w:hAnsi="Tahoma" w:cs="Tahoma"/>
        </w:rPr>
        <w:t>are a variety of drugs promoting CNS remyelination in clinical tria</w:t>
      </w:r>
      <w:r w:rsidR="003D1320">
        <w:rPr>
          <w:rFonts w:ascii="Tahoma" w:hAnsi="Tahoma" w:cs="Tahoma"/>
        </w:rPr>
        <w:t xml:space="preserve">ls </w:t>
      </w:r>
      <w:r w:rsidR="003339C6">
        <w:rPr>
          <w:rFonts w:ascii="Tahoma" w:hAnsi="Tahoma" w:cs="Tahoma"/>
        </w:rPr>
        <w:t xml:space="preserve">and yet </w:t>
      </w:r>
      <w:proofErr w:type="spellStart"/>
      <w:r w:rsidR="00DB1F24">
        <w:rPr>
          <w:rFonts w:ascii="Tahoma" w:hAnsi="Tahoma" w:cs="Tahoma"/>
        </w:rPr>
        <w:t>oligodendrogenesis</w:t>
      </w:r>
      <w:proofErr w:type="spellEnd"/>
      <w:r w:rsidR="00DB1F24">
        <w:rPr>
          <w:rFonts w:ascii="Tahoma" w:hAnsi="Tahoma" w:cs="Tahoma"/>
        </w:rPr>
        <w:t xml:space="preserve"> </w:t>
      </w:r>
      <w:r w:rsidR="003339C6">
        <w:rPr>
          <w:rFonts w:ascii="Tahoma" w:hAnsi="Tahoma" w:cs="Tahoma"/>
        </w:rPr>
        <w:t xml:space="preserve">is </w:t>
      </w:r>
      <w:r w:rsidR="0034465B">
        <w:rPr>
          <w:rFonts w:ascii="Tahoma" w:hAnsi="Tahoma" w:cs="Tahoma"/>
        </w:rPr>
        <w:t xml:space="preserve">a process </w:t>
      </w:r>
      <w:r w:rsidR="003339C6">
        <w:rPr>
          <w:rFonts w:ascii="Tahoma" w:hAnsi="Tahoma" w:cs="Tahoma"/>
        </w:rPr>
        <w:t xml:space="preserve">not </w:t>
      </w:r>
      <w:r w:rsidR="003339C6">
        <w:rPr>
          <w:rFonts w:ascii="Tahoma" w:hAnsi="Tahoma" w:cs="Tahoma"/>
        </w:rPr>
        <w:t>fully understood</w:t>
      </w:r>
      <w:r w:rsidR="003D1320">
        <w:rPr>
          <w:rFonts w:ascii="Tahoma" w:hAnsi="Tahoma" w:cs="Tahoma"/>
        </w:rPr>
        <w:t>.</w:t>
      </w:r>
      <w:r w:rsidR="00CA6C7D">
        <w:rPr>
          <w:rFonts w:ascii="Tahoma" w:hAnsi="Tahoma" w:cs="Tahoma"/>
        </w:rPr>
        <w:t xml:space="preserve"> </w:t>
      </w:r>
    </w:p>
    <w:p w14:paraId="7818980C" w14:textId="77777777" w:rsidR="00691305" w:rsidRDefault="00691305" w:rsidP="00F847C3">
      <w:pPr>
        <w:rPr>
          <w:rFonts w:ascii="Tahoma" w:hAnsi="Tahoma" w:cs="Tahoma"/>
        </w:rPr>
      </w:pPr>
    </w:p>
    <w:p w14:paraId="4FB1ED5C" w14:textId="13C2BA0E" w:rsidR="00FF28AC" w:rsidRDefault="000532E6" w:rsidP="00F847C3">
      <w:p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Key Industry Insight</w:t>
      </w:r>
    </w:p>
    <w:p w14:paraId="091E6FE5" w14:textId="75D80754" w:rsidR="000532E6" w:rsidRDefault="000532E6" w:rsidP="00F847C3">
      <w:p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In 2021, the Neurodegenrative Disease Market was valued at </w:t>
      </w:r>
      <w:r w:rsidR="009C4911">
        <w:rPr>
          <w:rFonts w:ascii="Tahoma" w:hAnsi="Tahoma" w:cs="Tahoma"/>
          <w:noProof/>
        </w:rPr>
        <w:t xml:space="preserve">approximatevely </w:t>
      </w:r>
      <w:r>
        <w:rPr>
          <w:rFonts w:ascii="Tahoma" w:hAnsi="Tahoma" w:cs="Tahoma"/>
          <w:noProof/>
        </w:rPr>
        <w:t xml:space="preserve">USD </w:t>
      </w:r>
      <w:r w:rsidR="009C4911">
        <w:rPr>
          <w:rFonts w:ascii="Tahoma" w:hAnsi="Tahoma" w:cs="Tahoma"/>
          <w:noProof/>
        </w:rPr>
        <w:t>39 billions</w:t>
      </w:r>
      <w:r>
        <w:rPr>
          <w:rFonts w:ascii="Tahoma" w:hAnsi="Tahoma" w:cs="Tahoma"/>
          <w:noProof/>
        </w:rPr>
        <w:t xml:space="preserve"> according Zion Market Research study and is estimated to grow to about USD </w:t>
      </w:r>
      <w:r w:rsidR="00D81DA5">
        <w:rPr>
          <w:rFonts w:ascii="Tahoma" w:hAnsi="Tahoma" w:cs="Tahoma"/>
          <w:noProof/>
        </w:rPr>
        <w:t xml:space="preserve"> billions</w:t>
      </w:r>
      <w:r>
        <w:rPr>
          <w:rFonts w:ascii="Tahoma" w:hAnsi="Tahoma" w:cs="Tahoma"/>
          <w:noProof/>
        </w:rPr>
        <w:t xml:space="preserve"> by 2028</w:t>
      </w:r>
      <w:r w:rsidR="00635DC4">
        <w:rPr>
          <w:rFonts w:ascii="Tahoma" w:hAnsi="Tahoma" w:cs="Tahoma"/>
          <w:noProof/>
        </w:rPr>
        <w:t xml:space="preserve"> (figure 2)</w:t>
      </w:r>
      <w:r>
        <w:rPr>
          <w:rFonts w:ascii="Tahoma" w:hAnsi="Tahoma" w:cs="Tahoma"/>
          <w:noProof/>
        </w:rPr>
        <w:t>.</w:t>
      </w:r>
    </w:p>
    <w:p w14:paraId="31234F37" w14:textId="77777777" w:rsidR="00326F48" w:rsidRDefault="00326F48" w:rsidP="00F847C3">
      <w:pPr>
        <w:rPr>
          <w:rFonts w:ascii="Tahoma" w:hAnsi="Tahoma" w:cs="Tahoma"/>
          <w:noProof/>
        </w:rPr>
      </w:pPr>
    </w:p>
    <w:p w14:paraId="1FE2CDCB" w14:textId="5AFDB72A" w:rsidR="009937B0" w:rsidRDefault="009937B0" w:rsidP="00F847C3">
      <w:pPr>
        <w:rPr>
          <w:rFonts w:ascii="Tahoma" w:hAnsi="Tahoma" w:cs="Tahoma"/>
          <w:noProof/>
        </w:rPr>
      </w:pPr>
    </w:p>
    <w:p w14:paraId="65F6D803" w14:textId="42AE3E8E" w:rsidR="009937B0" w:rsidRPr="00326F48" w:rsidRDefault="009937B0" w:rsidP="00326F48">
      <w:pPr>
        <w:rPr>
          <w:rFonts w:ascii="Tahoma" w:hAnsi="Tahoma" w:cs="Tahoma"/>
          <w:b/>
          <w:bCs/>
          <w:noProof/>
        </w:rPr>
      </w:pPr>
      <w:r w:rsidRPr="009937B0">
        <w:rPr>
          <w:rFonts w:ascii="Tahoma" w:hAnsi="Tahoma" w:cs="Tahoma"/>
          <w:b/>
          <w:bCs/>
          <w:noProof/>
        </w:rPr>
        <w:t>Figures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9"/>
        <w:gridCol w:w="4801"/>
      </w:tblGrid>
      <w:tr w:rsidR="009937B0" w14:paraId="2A6BD23A" w14:textId="77777777" w:rsidTr="009937B0">
        <w:tc>
          <w:tcPr>
            <w:tcW w:w="4945" w:type="dxa"/>
            <w:shd w:val="clear" w:color="auto" w:fill="E7E6E6" w:themeFill="background2"/>
          </w:tcPr>
          <w:p w14:paraId="63217090" w14:textId="4E0B7DF5" w:rsidR="009937B0" w:rsidRDefault="009937B0" w:rsidP="00326F4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Cost of Dementia</w:t>
            </w:r>
          </w:p>
        </w:tc>
        <w:tc>
          <w:tcPr>
            <w:tcW w:w="4405" w:type="dxa"/>
            <w:shd w:val="clear" w:color="auto" w:fill="E7E6E6" w:themeFill="background2"/>
          </w:tcPr>
          <w:p w14:paraId="14E82F50" w14:textId="2F6CF913" w:rsidR="009937B0" w:rsidRDefault="009937B0" w:rsidP="00326F4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CNS Market Size</w:t>
            </w:r>
          </w:p>
        </w:tc>
      </w:tr>
      <w:tr w:rsidR="009937B0" w14:paraId="0437450B" w14:textId="77777777" w:rsidTr="009937B0">
        <w:tc>
          <w:tcPr>
            <w:tcW w:w="4945" w:type="dxa"/>
          </w:tcPr>
          <w:p w14:paraId="056CBD76" w14:textId="5F5AC86E" w:rsidR="009937B0" w:rsidRDefault="009937B0" w:rsidP="00F847C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38C80332" wp14:editId="7C102E07">
                  <wp:extent cx="2329211" cy="158242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276" cy="1621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14:paraId="37AD08CC" w14:textId="39157392" w:rsidR="009937B0" w:rsidRDefault="009937B0" w:rsidP="00F847C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06FF7A51" wp14:editId="2CF7F362">
                  <wp:extent cx="2911573" cy="151955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408" cy="1531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C14C5" w14:textId="77777777" w:rsidR="009937B0" w:rsidRPr="006B40C4" w:rsidRDefault="009937B0" w:rsidP="00F847C3">
      <w:pPr>
        <w:rPr>
          <w:rFonts w:ascii="Tahoma" w:hAnsi="Tahoma" w:cs="Tahoma"/>
        </w:rPr>
      </w:pPr>
    </w:p>
    <w:sectPr w:rsidR="009937B0" w:rsidRPr="006B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8624"/>
    <w:multiLevelType w:val="hybridMultilevel"/>
    <w:tmpl w:val="0E6EFF88"/>
    <w:lvl w:ilvl="0" w:tplc="C09815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62A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06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25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4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65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A9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61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83A4C"/>
    <w:multiLevelType w:val="multilevel"/>
    <w:tmpl w:val="8246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4888C"/>
    <w:multiLevelType w:val="hybridMultilevel"/>
    <w:tmpl w:val="27927F70"/>
    <w:lvl w:ilvl="0" w:tplc="9086E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89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A8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E1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ED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86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4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8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66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36537"/>
    <w:multiLevelType w:val="multilevel"/>
    <w:tmpl w:val="6DC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E3D0A"/>
    <w:multiLevelType w:val="multilevel"/>
    <w:tmpl w:val="F3A0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20638"/>
    <w:multiLevelType w:val="multilevel"/>
    <w:tmpl w:val="7616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283">
    <w:abstractNumId w:val="0"/>
  </w:num>
  <w:num w:numId="2" w16cid:durableId="2126387073">
    <w:abstractNumId w:val="2"/>
  </w:num>
  <w:num w:numId="3" w16cid:durableId="1363626363">
    <w:abstractNumId w:val="4"/>
  </w:num>
  <w:num w:numId="4" w16cid:durableId="1721051360">
    <w:abstractNumId w:val="3"/>
  </w:num>
  <w:num w:numId="5" w16cid:durableId="762916955">
    <w:abstractNumId w:val="5"/>
  </w:num>
  <w:num w:numId="6" w16cid:durableId="830675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8146A8"/>
    <w:rsid w:val="00023DB9"/>
    <w:rsid w:val="00026F7C"/>
    <w:rsid w:val="000304F7"/>
    <w:rsid w:val="00047699"/>
    <w:rsid w:val="000532E6"/>
    <w:rsid w:val="00064BCC"/>
    <w:rsid w:val="000967F2"/>
    <w:rsid w:val="000A0BBC"/>
    <w:rsid w:val="000A4381"/>
    <w:rsid w:val="000F4524"/>
    <w:rsid w:val="00157DB5"/>
    <w:rsid w:val="0016492A"/>
    <w:rsid w:val="00172807"/>
    <w:rsid w:val="00183303"/>
    <w:rsid w:val="001971C7"/>
    <w:rsid w:val="001E601F"/>
    <w:rsid w:val="00211F5F"/>
    <w:rsid w:val="00245166"/>
    <w:rsid w:val="00263603"/>
    <w:rsid w:val="002D5825"/>
    <w:rsid w:val="002F659B"/>
    <w:rsid w:val="00326F48"/>
    <w:rsid w:val="00327258"/>
    <w:rsid w:val="003339C6"/>
    <w:rsid w:val="0034176B"/>
    <w:rsid w:val="0034465B"/>
    <w:rsid w:val="0037244A"/>
    <w:rsid w:val="00387173"/>
    <w:rsid w:val="00390664"/>
    <w:rsid w:val="003A6A69"/>
    <w:rsid w:val="003D1320"/>
    <w:rsid w:val="003D3632"/>
    <w:rsid w:val="003E20A0"/>
    <w:rsid w:val="003E5F5B"/>
    <w:rsid w:val="003E7628"/>
    <w:rsid w:val="003F5A7E"/>
    <w:rsid w:val="003F6096"/>
    <w:rsid w:val="00400788"/>
    <w:rsid w:val="0043288C"/>
    <w:rsid w:val="0044B65A"/>
    <w:rsid w:val="0047130C"/>
    <w:rsid w:val="004818C7"/>
    <w:rsid w:val="00494E85"/>
    <w:rsid w:val="0049589A"/>
    <w:rsid w:val="004A697A"/>
    <w:rsid w:val="004F26D8"/>
    <w:rsid w:val="005104BD"/>
    <w:rsid w:val="00535403"/>
    <w:rsid w:val="00544698"/>
    <w:rsid w:val="0056780D"/>
    <w:rsid w:val="005812E2"/>
    <w:rsid w:val="00591749"/>
    <w:rsid w:val="005A640D"/>
    <w:rsid w:val="005B07FB"/>
    <w:rsid w:val="005B4271"/>
    <w:rsid w:val="005C30FD"/>
    <w:rsid w:val="005D21E5"/>
    <w:rsid w:val="005E5D94"/>
    <w:rsid w:val="005F0757"/>
    <w:rsid w:val="00607035"/>
    <w:rsid w:val="00635DC4"/>
    <w:rsid w:val="00644FC1"/>
    <w:rsid w:val="00657DCF"/>
    <w:rsid w:val="0066406D"/>
    <w:rsid w:val="00691305"/>
    <w:rsid w:val="006B02C8"/>
    <w:rsid w:val="006B0BAA"/>
    <w:rsid w:val="006B40C4"/>
    <w:rsid w:val="006B6351"/>
    <w:rsid w:val="006B7813"/>
    <w:rsid w:val="006C1673"/>
    <w:rsid w:val="006D00FD"/>
    <w:rsid w:val="006D0E8F"/>
    <w:rsid w:val="006E7220"/>
    <w:rsid w:val="007240AE"/>
    <w:rsid w:val="00746BCD"/>
    <w:rsid w:val="007535A5"/>
    <w:rsid w:val="00791AC3"/>
    <w:rsid w:val="007A396A"/>
    <w:rsid w:val="007B2772"/>
    <w:rsid w:val="007C4376"/>
    <w:rsid w:val="007C5D06"/>
    <w:rsid w:val="007F764B"/>
    <w:rsid w:val="008005AE"/>
    <w:rsid w:val="00802CAA"/>
    <w:rsid w:val="00812796"/>
    <w:rsid w:val="00825A4D"/>
    <w:rsid w:val="00832D77"/>
    <w:rsid w:val="008358CA"/>
    <w:rsid w:val="008556F4"/>
    <w:rsid w:val="008649EE"/>
    <w:rsid w:val="008779B2"/>
    <w:rsid w:val="008818D8"/>
    <w:rsid w:val="00883784"/>
    <w:rsid w:val="008958BE"/>
    <w:rsid w:val="008E5CC0"/>
    <w:rsid w:val="008F10B3"/>
    <w:rsid w:val="008F3A94"/>
    <w:rsid w:val="00900DFB"/>
    <w:rsid w:val="00911C0F"/>
    <w:rsid w:val="00913B22"/>
    <w:rsid w:val="009148A0"/>
    <w:rsid w:val="00943BBD"/>
    <w:rsid w:val="00954E17"/>
    <w:rsid w:val="00955366"/>
    <w:rsid w:val="00981AAA"/>
    <w:rsid w:val="009926EF"/>
    <w:rsid w:val="009937B0"/>
    <w:rsid w:val="009A35C3"/>
    <w:rsid w:val="009C16C0"/>
    <w:rsid w:val="009C4911"/>
    <w:rsid w:val="009C5E59"/>
    <w:rsid w:val="009E28AF"/>
    <w:rsid w:val="009F2DB6"/>
    <w:rsid w:val="00A243D3"/>
    <w:rsid w:val="00A425A1"/>
    <w:rsid w:val="00A62F0A"/>
    <w:rsid w:val="00A64D03"/>
    <w:rsid w:val="00A91361"/>
    <w:rsid w:val="00AB0C8C"/>
    <w:rsid w:val="00AB6E45"/>
    <w:rsid w:val="00B15C8E"/>
    <w:rsid w:val="00B62555"/>
    <w:rsid w:val="00BC0C0D"/>
    <w:rsid w:val="00BE619D"/>
    <w:rsid w:val="00BF4829"/>
    <w:rsid w:val="00C02D36"/>
    <w:rsid w:val="00C12C97"/>
    <w:rsid w:val="00C207DC"/>
    <w:rsid w:val="00C20AEE"/>
    <w:rsid w:val="00C47D48"/>
    <w:rsid w:val="00C51A18"/>
    <w:rsid w:val="00C632F3"/>
    <w:rsid w:val="00C676CC"/>
    <w:rsid w:val="00C75CBA"/>
    <w:rsid w:val="00C918F3"/>
    <w:rsid w:val="00CA3ACA"/>
    <w:rsid w:val="00CA6C7D"/>
    <w:rsid w:val="00CC570A"/>
    <w:rsid w:val="00D20FF2"/>
    <w:rsid w:val="00D31EB5"/>
    <w:rsid w:val="00D43372"/>
    <w:rsid w:val="00D454D2"/>
    <w:rsid w:val="00D4693A"/>
    <w:rsid w:val="00D81DA5"/>
    <w:rsid w:val="00DA3114"/>
    <w:rsid w:val="00DA6DE7"/>
    <w:rsid w:val="00DB1F24"/>
    <w:rsid w:val="00DD3E6B"/>
    <w:rsid w:val="00DF318F"/>
    <w:rsid w:val="00DF3EEF"/>
    <w:rsid w:val="00E10CC3"/>
    <w:rsid w:val="00E1792F"/>
    <w:rsid w:val="00E24A49"/>
    <w:rsid w:val="00E44A8E"/>
    <w:rsid w:val="00E81C47"/>
    <w:rsid w:val="00EE1FB8"/>
    <w:rsid w:val="00EE395E"/>
    <w:rsid w:val="00EF3340"/>
    <w:rsid w:val="00F04FAB"/>
    <w:rsid w:val="00F22005"/>
    <w:rsid w:val="00F43D47"/>
    <w:rsid w:val="00F4EB7E"/>
    <w:rsid w:val="00F639D5"/>
    <w:rsid w:val="00F75DB3"/>
    <w:rsid w:val="00F76871"/>
    <w:rsid w:val="00F847C3"/>
    <w:rsid w:val="00F850FC"/>
    <w:rsid w:val="00F86BEB"/>
    <w:rsid w:val="00F9326B"/>
    <w:rsid w:val="00F96CD8"/>
    <w:rsid w:val="00FA0C18"/>
    <w:rsid w:val="00FA4937"/>
    <w:rsid w:val="00FC654C"/>
    <w:rsid w:val="00FF28AC"/>
    <w:rsid w:val="01217BFF"/>
    <w:rsid w:val="039D9DDA"/>
    <w:rsid w:val="046A148D"/>
    <w:rsid w:val="06A091F8"/>
    <w:rsid w:val="074A687E"/>
    <w:rsid w:val="0B5B9E63"/>
    <w:rsid w:val="0BBE56DF"/>
    <w:rsid w:val="0D27DE24"/>
    <w:rsid w:val="0F9BC5A7"/>
    <w:rsid w:val="10D7883F"/>
    <w:rsid w:val="15A0A45F"/>
    <w:rsid w:val="15FF8CF9"/>
    <w:rsid w:val="1622D8FF"/>
    <w:rsid w:val="17A4B63E"/>
    <w:rsid w:val="18109BA7"/>
    <w:rsid w:val="18CEA74E"/>
    <w:rsid w:val="1979F99B"/>
    <w:rsid w:val="1A1F81EB"/>
    <w:rsid w:val="1CB30F6F"/>
    <w:rsid w:val="1DB8CDCE"/>
    <w:rsid w:val="1EF73C15"/>
    <w:rsid w:val="203E3DF5"/>
    <w:rsid w:val="2138329E"/>
    <w:rsid w:val="22C4E7A4"/>
    <w:rsid w:val="242D3A51"/>
    <w:rsid w:val="266BB731"/>
    <w:rsid w:val="2764DB13"/>
    <w:rsid w:val="296F716C"/>
    <w:rsid w:val="29E13A57"/>
    <w:rsid w:val="2BB97010"/>
    <w:rsid w:val="2C99DA12"/>
    <w:rsid w:val="2CA58C03"/>
    <w:rsid w:val="2D1D2469"/>
    <w:rsid w:val="2D1E0C34"/>
    <w:rsid w:val="2D97830E"/>
    <w:rsid w:val="304A3AD9"/>
    <w:rsid w:val="30A52D86"/>
    <w:rsid w:val="3378CB1C"/>
    <w:rsid w:val="37083F8C"/>
    <w:rsid w:val="3B255D11"/>
    <w:rsid w:val="3CDC4844"/>
    <w:rsid w:val="3D8146A8"/>
    <w:rsid w:val="3DBA90CD"/>
    <w:rsid w:val="3F5980A0"/>
    <w:rsid w:val="456F87B5"/>
    <w:rsid w:val="46B6C47F"/>
    <w:rsid w:val="4A872FA3"/>
    <w:rsid w:val="4FC7610E"/>
    <w:rsid w:val="542CA6FE"/>
    <w:rsid w:val="57A80FBF"/>
    <w:rsid w:val="57FC1676"/>
    <w:rsid w:val="5872EA25"/>
    <w:rsid w:val="58C40AD7"/>
    <w:rsid w:val="591B3C69"/>
    <w:rsid w:val="5A0C7691"/>
    <w:rsid w:val="5B33B738"/>
    <w:rsid w:val="5BD01975"/>
    <w:rsid w:val="5C15B635"/>
    <w:rsid w:val="5EFDA0AB"/>
    <w:rsid w:val="5F6CD487"/>
    <w:rsid w:val="60475E16"/>
    <w:rsid w:val="62A47549"/>
    <w:rsid w:val="63A6717F"/>
    <w:rsid w:val="63E85C5A"/>
    <w:rsid w:val="63FDED74"/>
    <w:rsid w:val="644045AA"/>
    <w:rsid w:val="658B9091"/>
    <w:rsid w:val="65DC160B"/>
    <w:rsid w:val="6777E66C"/>
    <w:rsid w:val="6913B6CD"/>
    <w:rsid w:val="69642A17"/>
    <w:rsid w:val="6AC4D9BA"/>
    <w:rsid w:val="6B49DB02"/>
    <w:rsid w:val="6C5008AD"/>
    <w:rsid w:val="6D0D5A80"/>
    <w:rsid w:val="6FCA9BA9"/>
    <w:rsid w:val="7040B983"/>
    <w:rsid w:val="71A555A7"/>
    <w:rsid w:val="7448AFDA"/>
    <w:rsid w:val="74F8AACE"/>
    <w:rsid w:val="75888BFE"/>
    <w:rsid w:val="76947B2F"/>
    <w:rsid w:val="78304B90"/>
    <w:rsid w:val="79B2F394"/>
    <w:rsid w:val="7B4D9505"/>
    <w:rsid w:val="7DB0356F"/>
    <w:rsid w:val="7DD669C3"/>
    <w:rsid w:val="7DE6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6A8"/>
  <w15:chartTrackingRefBased/>
  <w15:docId w15:val="{5341DB65-BD64-4E5E-8917-5B4CD22C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454D2"/>
    <w:pPr>
      <w:tabs>
        <w:tab w:val="left" w:pos="380"/>
      </w:tabs>
      <w:ind w:left="384" w:hanging="384"/>
    </w:pPr>
  </w:style>
  <w:style w:type="paragraph" w:styleId="NormalWeb">
    <w:name w:val="Normal (Web)"/>
    <w:basedOn w:val="Normal"/>
    <w:uiPriority w:val="99"/>
    <w:semiHidden/>
    <w:unhideWhenUsed/>
    <w:rsid w:val="00D4693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4693A"/>
    <w:rPr>
      <w:b/>
      <w:bCs/>
    </w:rPr>
  </w:style>
  <w:style w:type="character" w:styleId="Hyperlink">
    <w:name w:val="Hyperlink"/>
    <w:basedOn w:val="DefaultParagraphFont"/>
    <w:uiPriority w:val="99"/>
    <w:unhideWhenUsed/>
    <w:rsid w:val="00245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1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62555"/>
    <w:rPr>
      <w:i/>
      <w:iCs/>
    </w:rPr>
  </w:style>
  <w:style w:type="character" w:customStyle="1" w:styleId="identifier">
    <w:name w:val="identifier"/>
    <w:basedOn w:val="DefaultParagraphFont"/>
    <w:rsid w:val="00900DFB"/>
  </w:style>
  <w:style w:type="character" w:customStyle="1" w:styleId="id-label">
    <w:name w:val="id-label"/>
    <w:basedOn w:val="DefaultParagraphFont"/>
    <w:rsid w:val="00900DFB"/>
  </w:style>
  <w:style w:type="table" w:styleId="TableGrid">
    <w:name w:val="Table Grid"/>
    <w:basedOn w:val="TableNormal"/>
    <w:uiPriority w:val="39"/>
    <w:rsid w:val="0099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286</Words>
  <Characters>1771</Characters>
  <Application>Microsoft Office Word</Application>
  <DocSecurity>0</DocSecurity>
  <Lines>39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38</cp:revision>
  <cp:lastPrinted>2022-09-25T12:06:00Z</cp:lastPrinted>
  <dcterms:created xsi:type="dcterms:W3CDTF">2022-09-25T12:06:00Z</dcterms:created>
  <dcterms:modified xsi:type="dcterms:W3CDTF">2022-10-03T19:35:00Z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id="XZ6vpeBC"/&gt;&lt;style id="http://www.zotero.org/styles/ieee" locale="en-US" hasBibliography="1" bibliographyStyleHasBeenSet="1"/&gt;&lt;prefs&gt;&lt;pref name="fieldType" value="Field"/&gt;&lt;/prefs&gt;&lt;/data&gt;</vt:lpwstr>
  </property>
</Properties>
</file>