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Yves Greatti</w:t>
      </w:r>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r w:rsidRPr="006E340F">
        <w:rPr>
          <w:rFonts w:ascii="Tahoma" w:hAnsi="Tahoma" w:cs="Tahoma"/>
          <w:b/>
          <w:sz w:val="22"/>
          <w:szCs w:val="22"/>
        </w:rPr>
        <w:t>Invivo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26A995AE"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LineageTherapeutics</w:t>
      </w:r>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2415156" w:rsidR="006F59A9" w:rsidRPr="00C30520" w:rsidRDefault="00373E0B" w:rsidP="00270D49">
      <w:pPr>
        <w:pStyle w:val="Body"/>
        <w:spacing w:line="480" w:lineRule="auto"/>
        <w:rPr>
          <w:sz w:val="22"/>
          <w:szCs w:val="22"/>
        </w:rPr>
      </w:pPr>
      <w:r w:rsidRPr="00C30520">
        <w:rPr>
          <w:sz w:val="22"/>
          <w:szCs w:val="22"/>
        </w:rPr>
        <w:t>SCI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Schwannosis</w:t>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22AC7E80" w:rsidR="0085662B" w:rsidRPr="00C30520" w:rsidRDefault="002D5200" w:rsidP="00001E6F">
      <w:pPr>
        <w:pStyle w:val="Body"/>
        <w:spacing w:line="480" w:lineRule="auto"/>
        <w:rPr>
          <w:sz w:val="22"/>
          <w:szCs w:val="22"/>
        </w:rPr>
      </w:pPr>
      <w:r>
        <w:rPr>
          <w:sz w:val="22"/>
          <w:szCs w:val="22"/>
        </w:rPr>
        <w:t>s</w:t>
      </w:r>
      <w:r w:rsidR="0085662B"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684FE6FD" w:rsidR="00DD7A4A" w:rsidRPr="002D5200" w:rsidRDefault="00373E0B" w:rsidP="002D5200">
      <w:pPr>
        <w:spacing w:line="480" w:lineRule="auto"/>
        <w:rPr>
          <w:sz w:val="22"/>
          <w:szCs w:val="22"/>
        </w:rPr>
        <w:sectPr w:rsidR="00DD7A4A" w:rsidRPr="002D5200"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xml:space="preserve">.  Mean annual cost of hospitalization are the highest among persons with AIS-A, AIS-B, or AIS-C injuries with a daily cost of $2601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B76433" w:rsidRPr="00B76433">
        <w:rPr>
          <w:rFonts w:cs="Tahoma"/>
          <w:sz w:val="22"/>
          <w:szCs w:val="22"/>
        </w:rPr>
        <w:t>The cost of care range</w:t>
      </w:r>
      <w:r w:rsidR="00B76433">
        <w:rPr>
          <w:rFonts w:cs="Tahoma"/>
          <w:sz w:val="22"/>
          <w:szCs w:val="22"/>
        </w:rPr>
        <w:t>s</w:t>
      </w:r>
      <w:r w:rsidR="00B76433" w:rsidRPr="00B76433">
        <w:rPr>
          <w:rFonts w:cs="Tahoma"/>
          <w:sz w:val="22"/>
          <w:szCs w:val="22"/>
        </w:rPr>
        <w:t xml:space="preserve"> from $350,000 to $1 million per patient for the first year and thereafter</w:t>
      </w:r>
      <w:r w:rsidR="00B76433">
        <w:rPr>
          <w:rFonts w:cs="Tahoma"/>
          <w:sz w:val="22"/>
          <w:szCs w:val="22"/>
        </w:rPr>
        <w:t xml:space="preserve"> (NSCIC)</w:t>
      </w:r>
      <w:r w:rsidR="00B76433" w:rsidRPr="00B76433">
        <w:rPr>
          <w:rFonts w:cs="Tahoma"/>
          <w:sz w:val="22"/>
          <w:szCs w:val="22"/>
        </w:rPr>
        <w:t>.</w:t>
      </w:r>
      <w:r w:rsidR="00B76433">
        <w:rPr>
          <w:rFonts w:cs="Tahoma"/>
        </w:rPr>
        <w:t xml:space="preserve"> </w:t>
      </w:r>
      <w:r w:rsidR="002D5200" w:rsidRPr="002D5200">
        <w:rPr>
          <w:rFonts w:cs="Tahoma"/>
          <w:sz w:val="22"/>
          <w:szCs w:val="22"/>
        </w:rPr>
        <w:t>Therefore</w:t>
      </w:r>
      <w:r w:rsidR="002D5200">
        <w:rPr>
          <w:rFonts w:cs="Tahoma"/>
          <w:sz w:val="22"/>
          <w:szCs w:val="22"/>
        </w:rPr>
        <w:t>,</w:t>
      </w:r>
      <w:r w:rsidR="002D5200" w:rsidRPr="002D5200">
        <w:rPr>
          <w:rFonts w:cs="Tahoma"/>
          <w:sz w:val="22"/>
          <w:szCs w:val="22"/>
        </w:rPr>
        <w:t xml:space="preserve"> </w:t>
      </w:r>
      <w:r w:rsidR="007F36E1">
        <w:rPr>
          <w:rFonts w:cs="Tahoma"/>
          <w:sz w:val="22"/>
          <w:szCs w:val="22"/>
        </w:rPr>
        <w:t>assuming</w:t>
      </w:r>
      <w:r w:rsidR="007F36E1" w:rsidRPr="002D5200">
        <w:rPr>
          <w:rFonts w:cs="Tahoma"/>
          <w:sz w:val="22"/>
          <w:szCs w:val="22"/>
        </w:rPr>
        <w:t xml:space="preserve"> a cost </w:t>
      </w:r>
      <w:r w:rsidR="007F36E1">
        <w:rPr>
          <w:rFonts w:cs="Tahoma"/>
          <w:sz w:val="22"/>
          <w:szCs w:val="22"/>
        </w:rPr>
        <w:t>of implantation and after care in these ranges</w:t>
      </w:r>
      <w:r w:rsidR="0013522D">
        <w:rPr>
          <w:rFonts w:cs="Tahoma"/>
          <w:sz w:val="22"/>
          <w:szCs w:val="22"/>
        </w:rPr>
        <w:t xml:space="preserve"> or less per product</w:t>
      </w:r>
      <w:r w:rsidR="007F36E1">
        <w:rPr>
          <w:rFonts w:cs="Tahoma"/>
          <w:sz w:val="22"/>
          <w:szCs w:val="22"/>
        </w:rPr>
        <w:t xml:space="preserve">, </w:t>
      </w:r>
      <w:r w:rsidR="002D5200" w:rsidRPr="002D5200">
        <w:rPr>
          <w:rFonts w:cs="Tahoma"/>
          <w:sz w:val="22"/>
          <w:szCs w:val="22"/>
        </w:rPr>
        <w:t xml:space="preserve">we expect the two products to be covered by </w:t>
      </w:r>
      <w:r w:rsidR="007F36E1">
        <w:rPr>
          <w:rFonts w:cs="Tahoma"/>
          <w:sz w:val="22"/>
          <w:szCs w:val="22"/>
        </w:rPr>
        <w:t>M</w:t>
      </w:r>
      <w:r w:rsidR="002D5200" w:rsidRPr="002D5200">
        <w:rPr>
          <w:rFonts w:cs="Tahoma"/>
          <w:sz w:val="22"/>
          <w:szCs w:val="22"/>
        </w:rPr>
        <w:t xml:space="preserve">edicaid </w:t>
      </w:r>
      <w:r w:rsidR="007F36E1">
        <w:rPr>
          <w:rFonts w:cs="Tahoma"/>
          <w:sz w:val="22"/>
          <w:szCs w:val="22"/>
        </w:rPr>
        <w:t xml:space="preserve">realizing a </w:t>
      </w:r>
      <w:r w:rsidR="0013522D">
        <w:rPr>
          <w:rFonts w:cs="Tahoma"/>
          <w:sz w:val="22"/>
          <w:szCs w:val="22"/>
        </w:rPr>
        <w:t xml:space="preserve">potential significant </w:t>
      </w:r>
      <w:r w:rsidR="002D5200" w:rsidRPr="002D5200">
        <w:rPr>
          <w:rFonts w:cs="Tahoma"/>
          <w:sz w:val="22"/>
          <w:szCs w:val="22"/>
        </w:rPr>
        <w:t>saving on today expenses in covering SCI patients.</w:t>
      </w:r>
    </w:p>
    <w:p w14:paraId="0F80E00D" w14:textId="6E7E78B9"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r w:rsidRPr="00773149">
              <w:rPr>
                <w:b/>
                <w:bCs/>
                <w:sz w:val="20"/>
                <w:szCs w:val="20"/>
                <w:lang w:bidi="en-US"/>
              </w:rPr>
              <w:t xml:space="preserve">Meso Biomatrix Scaffold </w:t>
            </w:r>
            <w:r w:rsidRPr="00773149">
              <w:rPr>
                <w:bCs/>
                <w:sz w:val="20"/>
                <w:szCs w:val="20"/>
                <w:lang w:bidi="en-US"/>
              </w:rPr>
              <w:t>Kensey Nash is developing a porcine mesothelaial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3C95" w14:textId="77777777" w:rsidR="007176BB" w:rsidRDefault="007176BB" w:rsidP="00B657A0">
      <w:r>
        <w:separator/>
      </w:r>
    </w:p>
  </w:endnote>
  <w:endnote w:type="continuationSeparator" w:id="0">
    <w:p w14:paraId="1914440E" w14:textId="77777777" w:rsidR="007176BB" w:rsidRDefault="007176BB" w:rsidP="00B657A0">
      <w:r>
        <w:continuationSeparator/>
      </w:r>
    </w:p>
  </w:endnote>
  <w:endnote w:type="continuationNotice" w:id="1">
    <w:p w14:paraId="05DF1ADE" w14:textId="77777777" w:rsidR="007176BB" w:rsidRDefault="00717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FE5E" w14:textId="77777777" w:rsidR="007176BB" w:rsidRDefault="007176BB" w:rsidP="00B657A0">
      <w:r>
        <w:separator/>
      </w:r>
    </w:p>
  </w:footnote>
  <w:footnote w:type="continuationSeparator" w:id="0">
    <w:p w14:paraId="219E8DA8" w14:textId="77777777" w:rsidR="007176BB" w:rsidRDefault="007176BB" w:rsidP="00B657A0">
      <w:r>
        <w:continuationSeparator/>
      </w:r>
    </w:p>
  </w:footnote>
  <w:footnote w:type="continuationNotice" w:id="1">
    <w:p w14:paraId="3EAF96C7" w14:textId="77777777" w:rsidR="007176BB" w:rsidRDefault="00717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Yves Greatti</w:t>
    </w:r>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3ED6"/>
    <w:rsid w:val="002B1421"/>
    <w:rsid w:val="002C1D5E"/>
    <w:rsid w:val="002C7F03"/>
    <w:rsid w:val="002D1199"/>
    <w:rsid w:val="002D4C78"/>
    <w:rsid w:val="002D5200"/>
    <w:rsid w:val="002D5742"/>
    <w:rsid w:val="002D78E1"/>
    <w:rsid w:val="002E6779"/>
    <w:rsid w:val="002F0A0D"/>
    <w:rsid w:val="002F4F5F"/>
    <w:rsid w:val="002F7AE7"/>
    <w:rsid w:val="00302A2C"/>
    <w:rsid w:val="00305298"/>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73EA"/>
    <w:rsid w:val="004B411F"/>
    <w:rsid w:val="004D288E"/>
    <w:rsid w:val="004D2C44"/>
    <w:rsid w:val="004D45A4"/>
    <w:rsid w:val="004E7B46"/>
    <w:rsid w:val="004F4DC9"/>
    <w:rsid w:val="005012FA"/>
    <w:rsid w:val="0050524A"/>
    <w:rsid w:val="0051604D"/>
    <w:rsid w:val="0051677F"/>
    <w:rsid w:val="00530CE3"/>
    <w:rsid w:val="00530FE4"/>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F09"/>
    <w:rsid w:val="005B6A4F"/>
    <w:rsid w:val="005B6F74"/>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900886"/>
    <w:rsid w:val="00900920"/>
    <w:rsid w:val="00901982"/>
    <w:rsid w:val="009039C7"/>
    <w:rsid w:val="009065D5"/>
    <w:rsid w:val="00923B1B"/>
    <w:rsid w:val="0092485D"/>
    <w:rsid w:val="009407F4"/>
    <w:rsid w:val="00944BE1"/>
    <w:rsid w:val="00945D93"/>
    <w:rsid w:val="009551D4"/>
    <w:rsid w:val="00955CB3"/>
    <w:rsid w:val="00955D45"/>
    <w:rsid w:val="009573F6"/>
    <w:rsid w:val="009655D2"/>
    <w:rsid w:val="00974719"/>
    <w:rsid w:val="00994FA8"/>
    <w:rsid w:val="009A017A"/>
    <w:rsid w:val="009A165C"/>
    <w:rsid w:val="009B3375"/>
    <w:rsid w:val="009B7B5B"/>
    <w:rsid w:val="009C27FA"/>
    <w:rsid w:val="009C2987"/>
    <w:rsid w:val="009D13C5"/>
    <w:rsid w:val="009D5022"/>
    <w:rsid w:val="009D6626"/>
    <w:rsid w:val="009E13FB"/>
    <w:rsid w:val="009E18B4"/>
    <w:rsid w:val="009E1C63"/>
    <w:rsid w:val="00A04AD7"/>
    <w:rsid w:val="00A15BDD"/>
    <w:rsid w:val="00A17305"/>
    <w:rsid w:val="00A24EFB"/>
    <w:rsid w:val="00A34DA6"/>
    <w:rsid w:val="00A4664A"/>
    <w:rsid w:val="00A654DD"/>
    <w:rsid w:val="00A661AF"/>
    <w:rsid w:val="00A6627B"/>
    <w:rsid w:val="00A754AB"/>
    <w:rsid w:val="00AA119B"/>
    <w:rsid w:val="00AA202B"/>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77F8"/>
    <w:rsid w:val="00D81B25"/>
    <w:rsid w:val="00D82F74"/>
    <w:rsid w:val="00D83402"/>
    <w:rsid w:val="00D8775C"/>
    <w:rsid w:val="00D97EE6"/>
    <w:rsid w:val="00DA1735"/>
    <w:rsid w:val="00DA1E60"/>
    <w:rsid w:val="00DA2185"/>
    <w:rsid w:val="00DB0621"/>
    <w:rsid w:val="00DD05AB"/>
    <w:rsid w:val="00DD0642"/>
    <w:rsid w:val="00DD15DF"/>
    <w:rsid w:val="00DD1AA7"/>
    <w:rsid w:val="00DD3ED7"/>
    <w:rsid w:val="00DD4975"/>
    <w:rsid w:val="00DD5EA9"/>
    <w:rsid w:val="00DD7A4A"/>
    <w:rsid w:val="00DE28EB"/>
    <w:rsid w:val="00DF1464"/>
    <w:rsid w:val="00DF6DFA"/>
    <w:rsid w:val="00E01888"/>
    <w:rsid w:val="00E0739F"/>
    <w:rsid w:val="00E07F77"/>
    <w:rsid w:val="00E113BD"/>
    <w:rsid w:val="00E15F5D"/>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7C2E"/>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301</TotalTime>
  <Pages>9</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27939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220</cp:revision>
  <dcterms:created xsi:type="dcterms:W3CDTF">2022-07-26T21:22:00Z</dcterms:created>
  <dcterms:modified xsi:type="dcterms:W3CDTF">2022-10-15T21:20:00Z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