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04EDEAC6" w14:textId="1CC73B98" w:rsidR="006E340F" w:rsidRDefault="00FB2E7F" w:rsidP="006E340F">
      <w:pPr>
        <w:pStyle w:val="NormalWeb"/>
        <w:spacing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02D32DE" w:rsidR="00FB2E7F" w:rsidRPr="006E340F" w:rsidRDefault="00FB2E7F" w:rsidP="006E340F">
      <w:pPr>
        <w:pStyle w:val="NormalWeb"/>
        <w:spacing w:line="480" w:lineRule="auto"/>
        <w:rPr>
          <w:rFonts w:ascii="Tahoma" w:hAnsi="Tahoma" w:cs="Tahoma"/>
          <w:sz w:val="22"/>
          <w:szCs w:val="22"/>
        </w:rPr>
      </w:pPr>
      <w:proofErr w:type="spellStart"/>
      <w:r w:rsidRPr="006E340F">
        <w:rPr>
          <w:rFonts w:ascii="Tahoma" w:hAnsi="Tahoma" w:cs="Tahoma"/>
          <w:b/>
          <w:sz w:val="22"/>
          <w:szCs w:val="22"/>
        </w:rPr>
        <w:t>Invivo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p>
    <w:p w14:paraId="3BEE8409" w14:textId="048BBF97"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sidR="002A53A6">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1C7E2FCB" w:rsidR="006E340F" w:rsidRPr="004A73EA" w:rsidRDefault="00E61926" w:rsidP="004A73EA">
      <w:pPr>
        <w:pStyle w:val="Body"/>
        <w:spacing w:line="480" w:lineRule="auto"/>
        <w:rPr>
          <w:sz w:val="22"/>
          <w:szCs w:val="22"/>
        </w:rPr>
      </w:pPr>
      <w:r>
        <w:rPr>
          <w:rFonts w:cs="Tahoma"/>
          <w:sz w:val="22"/>
          <w:szCs w:val="22"/>
        </w:rPr>
        <w:t>None of these</w:t>
      </w:r>
      <w:r w:rsidRPr="003A12FC">
        <w:rPr>
          <w:rFonts w:cs="Tahoma"/>
          <w:sz w:val="22"/>
          <w:szCs w:val="22"/>
        </w:rPr>
        <w:t xml:space="preserve"> companies </w:t>
      </w:r>
      <w:r>
        <w:rPr>
          <w:rFonts w:cs="Tahoma"/>
          <w:sz w:val="22"/>
          <w:szCs w:val="22"/>
        </w:rPr>
        <w:t>have</w:t>
      </w:r>
      <w:r w:rsidRPr="003A12FC">
        <w:rPr>
          <w:rFonts w:cs="Tahoma"/>
          <w:sz w:val="22"/>
          <w:szCs w:val="22"/>
        </w:rPr>
        <w:t xml:space="preserve"> </w:t>
      </w:r>
      <w:r>
        <w:rPr>
          <w:rFonts w:cs="Tahoma"/>
          <w:sz w:val="22"/>
          <w:szCs w:val="22"/>
        </w:rPr>
        <w:t>reported</w:t>
      </w:r>
      <w:r w:rsidRPr="003A12FC">
        <w:rPr>
          <w:rFonts w:cs="Tahoma"/>
          <w:sz w:val="22"/>
          <w:szCs w:val="22"/>
        </w:rPr>
        <w:t xml:space="preserve"> an official date for the </w:t>
      </w:r>
      <w:r>
        <w:rPr>
          <w:rFonts w:cs="Tahoma"/>
          <w:sz w:val="22"/>
          <w:szCs w:val="22"/>
        </w:rPr>
        <w:t xml:space="preserve">commercialization of their </w:t>
      </w:r>
      <w:r w:rsidRPr="003A12FC">
        <w:rPr>
          <w:rFonts w:cs="Tahoma"/>
          <w:sz w:val="22"/>
          <w:szCs w:val="22"/>
        </w:rPr>
        <w:t>products</w:t>
      </w:r>
      <w:r>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44923567" w:rsidR="000268CD" w:rsidRDefault="00274369" w:rsidP="005012FA">
      <w:pPr>
        <w:pStyle w:val="Heading2"/>
        <w:spacing w:before="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76AC9AD" w:rsidR="006F59A9" w:rsidRPr="00C30520" w:rsidRDefault="00373E0B" w:rsidP="00270D49">
      <w:pPr>
        <w:pStyle w:val="Body"/>
        <w:spacing w:line="480" w:lineRule="auto"/>
        <w:rPr>
          <w:sz w:val="22"/>
          <w:szCs w:val="22"/>
        </w:rPr>
      </w:pPr>
      <w:r w:rsidRPr="00C30520">
        <w:rPr>
          <w:sz w:val="22"/>
          <w:szCs w:val="22"/>
        </w:rPr>
        <w:t>SCI</w:t>
      </w:r>
      <w:r w:rsidR="007610FD">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132DF4C6"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30E6595D" w14:textId="4AC79B21" w:rsidR="00F60386" w:rsidRPr="0052634B" w:rsidRDefault="00373E0B" w:rsidP="00F60386">
      <w:pPr>
        <w:spacing w:line="480" w:lineRule="auto"/>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531115">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531115">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610FD">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A0108A">
        <w:rPr>
          <w:sz w:val="22"/>
          <w:szCs w:val="22"/>
        </w:rPr>
        <w:t>This estimation does not include aftercare cost</w:t>
      </w:r>
      <w:r w:rsidR="00647133">
        <w:rPr>
          <w:sz w:val="22"/>
          <w:szCs w:val="22"/>
        </w:rPr>
        <w:t>s</w:t>
      </w:r>
      <w:r w:rsidR="00F60386">
        <w:rPr>
          <w:sz w:val="22"/>
          <w:szCs w:val="22"/>
        </w:rPr>
        <w:t xml:space="preserve"> (however, patients reported improvement of their motor functions within a year which costs less than a lifetime immobilization with no progress</w:t>
      </w:r>
      <w:r w:rsidR="00647133">
        <w:rPr>
          <w:sz w:val="22"/>
          <w:szCs w:val="22"/>
        </w:rPr>
        <w:t>)</w:t>
      </w:r>
      <w:r w:rsidR="00F60386">
        <w:rPr>
          <w:sz w:val="22"/>
          <w:szCs w:val="22"/>
        </w:rPr>
        <w:t>.</w:t>
      </w:r>
    </w:p>
    <w:p w14:paraId="6533FA26" w14:textId="7AF0F169" w:rsidR="0052634B" w:rsidRPr="0052634B" w:rsidRDefault="0052634B" w:rsidP="00A0108A">
      <w:pPr>
        <w:spacing w:line="480" w:lineRule="auto"/>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06C49478"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3E808427"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635AADB9" w14:textId="3133D2DF" w:rsidR="00C915BE" w:rsidRPr="00773149" w:rsidRDefault="00C915BE" w:rsidP="00C915BE">
            <w:pPr>
              <w:pStyle w:val="JHEPBody"/>
              <w:rPr>
                <w:bCs/>
                <w:sz w:val="20"/>
                <w:szCs w:val="20"/>
                <w:lang w:bidi="en-US"/>
              </w:rPr>
            </w:pPr>
            <w:r w:rsidRPr="00773149">
              <w:rPr>
                <w:bCs/>
                <w:sz w:val="20"/>
                <w:szCs w:val="20"/>
                <w:lang w:bidi="en-US"/>
              </w:rPr>
              <w:t>Solution</w:t>
            </w:r>
          </w:p>
        </w:tc>
        <w:tc>
          <w:tcPr>
            <w:tcW w:w="1250" w:type="pct"/>
          </w:tcPr>
          <w:p w14:paraId="28C77F14" w14:textId="64099B80"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0862F930" w14:textId="56CDCFE1" w:rsidR="00C915BE" w:rsidRPr="00773149"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7FE4E86"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52174B56" w14:textId="77777777" w:rsidR="00C915BE" w:rsidRPr="00773149" w:rsidRDefault="00C915BE" w:rsidP="00C915BE">
            <w:pPr>
              <w:pStyle w:val="JHEPBody"/>
              <w:rPr>
                <w:bCs/>
                <w:sz w:val="20"/>
                <w:szCs w:val="20"/>
                <w:lang w:bidi="en-US"/>
              </w:rPr>
            </w:pPr>
            <w:r w:rsidRPr="00773149">
              <w:rPr>
                <w:bCs/>
                <w:sz w:val="20"/>
                <w:szCs w:val="20"/>
                <w:lang w:bidi="en-US"/>
              </w:rPr>
              <w:t>company website.</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proofErr w:type="spellStart"/>
            <w:r w:rsidRPr="00773149">
              <w:rPr>
                <w:b/>
                <w:bCs/>
                <w:sz w:val="20"/>
                <w:szCs w:val="20"/>
                <w:lang w:bidi="en-US"/>
              </w:rPr>
              <w:t>Meso</w:t>
            </w:r>
            <w:proofErr w:type="spellEnd"/>
            <w:r w:rsidRPr="00773149">
              <w:rPr>
                <w:b/>
                <w:bCs/>
                <w:sz w:val="20"/>
                <w:szCs w:val="20"/>
                <w:lang w:bidi="en-US"/>
              </w:rPr>
              <w:t xml:space="preserve"> Biomatrix Scaffold </w:t>
            </w:r>
            <w:proofErr w:type="spellStart"/>
            <w:r w:rsidRPr="00773149">
              <w:rPr>
                <w:bCs/>
                <w:sz w:val="20"/>
                <w:szCs w:val="20"/>
                <w:lang w:bidi="en-US"/>
              </w:rPr>
              <w:t>Kensey</w:t>
            </w:r>
            <w:proofErr w:type="spellEnd"/>
            <w:r w:rsidRPr="00773149">
              <w:rPr>
                <w:bCs/>
                <w:sz w:val="20"/>
                <w:szCs w:val="20"/>
                <w:lang w:bidi="en-US"/>
              </w:rPr>
              <w:t xml:space="preserve"> Nash is developing a porcine </w:t>
            </w:r>
            <w:proofErr w:type="spellStart"/>
            <w:r w:rsidRPr="00773149">
              <w:rPr>
                <w:bCs/>
                <w:sz w:val="20"/>
                <w:szCs w:val="20"/>
                <w:lang w:bidi="en-US"/>
              </w:rPr>
              <w:t>mesothelaial</w:t>
            </w:r>
            <w:proofErr w:type="spellEnd"/>
            <w:r w:rsidRPr="00773149">
              <w:rPr>
                <w:bCs/>
                <w:sz w:val="20"/>
                <w:szCs w:val="20"/>
                <w:lang w:bidi="en-US"/>
              </w:rPr>
              <w:t xml:space="preserve">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77777777" w:rsidR="0056064F" w:rsidRDefault="0056064F"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06418B6A" w14:textId="77777777" w:rsidR="00027200" w:rsidRDefault="00027200" w:rsidP="00274369">
      <w:pPr>
        <w:pStyle w:val="Heading2"/>
        <w:sectPr w:rsidR="00027200" w:rsidSect="00BD6FBB">
          <w:pgSz w:w="12240" w:h="15840"/>
          <w:pgMar w:top="720" w:right="1080" w:bottom="1728" w:left="1080" w:header="720" w:footer="720" w:gutter="0"/>
          <w:cols w:space="720"/>
          <w:docGrid w:linePitch="360"/>
        </w:sectPr>
      </w:pPr>
    </w:p>
    <w:p w14:paraId="1ED33F37" w14:textId="03958ECE"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09151AD3" w:rsidR="00274369" w:rsidRDefault="006A11B0" w:rsidP="00274369">
      <w:pPr>
        <w:pStyle w:val="JHEPBody"/>
      </w:pPr>
      <w:r>
        <w:t>[table]</w:t>
      </w: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7E9B0EFB"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D9ABAA8" w14:textId="77777777" w:rsidR="00277DDB" w:rsidRPr="00C17335" w:rsidRDefault="00277DDB" w:rsidP="00C17335">
      <w:pPr>
        <w:pStyle w:val="Body"/>
      </w:pPr>
    </w:p>
    <w:p w14:paraId="5279EB8E" w14:textId="46F2BAC5" w:rsidR="00AB0DA3" w:rsidRDefault="00974719" w:rsidP="001C3B9A">
      <w:pPr>
        <w:pStyle w:val="Heading2"/>
      </w:pPr>
      <w:r>
        <w:t>References</w:t>
      </w:r>
    </w:p>
    <w:p w14:paraId="0664FF2B" w14:textId="77777777" w:rsidR="00165462" w:rsidRPr="00165462" w:rsidRDefault="001F46EE" w:rsidP="00165462">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w:t>
      </w:r>
      <w:r w:rsidR="00AB0DA3" w:rsidRPr="00165462">
        <w:rPr>
          <w:sz w:val="22"/>
          <w:szCs w:val="22"/>
        </w:rPr>
        <w:t xml:space="preserve">National spinal cord injury statistical center: </w:t>
      </w:r>
      <w:hyperlink r:id="rId13" w:history="1">
        <w:r w:rsidR="00AB0DA3" w:rsidRPr="00165462">
          <w:rPr>
            <w:rStyle w:val="Hyperlink"/>
            <w:sz w:val="22"/>
            <w:szCs w:val="22"/>
          </w:rPr>
          <w:t>Facts and Figures 2020</w:t>
        </w:r>
      </w:hyperlink>
    </w:p>
    <w:p w14:paraId="1DCEF5CC" w14:textId="5A8D2590" w:rsidR="00165462" w:rsidRPr="00165462" w:rsidRDefault="00165462" w:rsidP="00165462">
      <w:pPr>
        <w:pStyle w:val="FootnoteText"/>
        <w:numPr>
          <w:ilvl w:val="0"/>
          <w:numId w:val="22"/>
        </w:numPr>
        <w:spacing w:before="120"/>
        <w:ind w:left="360"/>
        <w:rPr>
          <w:sz w:val="22"/>
          <w:szCs w:val="22"/>
        </w:rPr>
      </w:pPr>
      <w:r w:rsidRPr="00165462">
        <w:rPr>
          <w:rFonts w:cs="Tahoma"/>
          <w:sz w:val="22"/>
          <w:szCs w:val="22"/>
        </w:rPr>
        <w:t>lifeexpectancy.org</w:t>
      </w:r>
    </w:p>
    <w:p w14:paraId="0F25BEA6" w14:textId="711716B4" w:rsidR="00B10B19" w:rsidRPr="00165462" w:rsidRDefault="00B10B19" w:rsidP="001C3B9A">
      <w:pPr>
        <w:pStyle w:val="JHEPBody"/>
        <w:numPr>
          <w:ilvl w:val="0"/>
          <w:numId w:val="22"/>
        </w:numPr>
        <w:spacing w:before="120"/>
        <w:ind w:left="360"/>
        <w:rPr>
          <w:sz w:val="22"/>
        </w:rPr>
      </w:pPr>
      <w:r w:rsidRPr="00165462">
        <w:rPr>
          <w:sz w:val="22"/>
        </w:rPr>
        <w:t>SpinalCord.com:</w:t>
      </w:r>
      <w:hyperlink r:id="rId14" w:history="1">
        <w:r w:rsidRPr="00165462">
          <w:rPr>
            <w:rStyle w:val="Hyperlink"/>
            <w:sz w:val="22"/>
          </w:rPr>
          <w:t>4 Things You need to. Know about SCI Medicaid Coverage</w:t>
        </w:r>
      </w:hyperlink>
    </w:p>
    <w:p w14:paraId="74C53E3A"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bCs/>
          <w:sz w:val="22"/>
          <w:szCs w:val="22"/>
        </w:rPr>
        <w:fldChar w:fldCharType="begin"/>
      </w:r>
      <w:r w:rsidRPr="00165462">
        <w:rPr>
          <w:bCs/>
          <w:sz w:val="22"/>
          <w:szCs w:val="22"/>
        </w:rPr>
        <w:instrText xml:space="preserve"> ADDIN ZOTERO_BIBL {"uncited":[],"omitted":[],"custom":[]} CSL_BIBLIOGRAPHY </w:instrText>
      </w:r>
      <w:r w:rsidRPr="00165462">
        <w:rPr>
          <w:bCs/>
          <w:sz w:val="22"/>
          <w:szCs w:val="22"/>
        </w:rPr>
        <w:fldChar w:fldCharType="separate"/>
      </w:r>
      <w:r w:rsidRPr="00165462">
        <w:rPr>
          <w:rFonts w:cs="Tahoma"/>
          <w:sz w:val="22"/>
          <w:szCs w:val="22"/>
        </w:rPr>
        <w:t xml:space="preserve">Desai, Jyaysi, et al. “Molecular Pathophysiology of Gout.” </w:t>
      </w:r>
      <w:r w:rsidRPr="00165462">
        <w:rPr>
          <w:rFonts w:cs="Tahoma"/>
          <w:i/>
          <w:iCs/>
          <w:sz w:val="22"/>
          <w:szCs w:val="22"/>
        </w:rPr>
        <w:t>Trends in Molecular Medicine</w:t>
      </w:r>
      <w:r w:rsidRPr="00165462">
        <w:rPr>
          <w:rFonts w:cs="Tahoma"/>
          <w:sz w:val="22"/>
          <w:szCs w:val="22"/>
        </w:rPr>
        <w:t xml:space="preserve">, vol. 23, no. 8, Aug. 2017, pp. 756–68. </w:t>
      </w:r>
      <w:r w:rsidRPr="00165462">
        <w:rPr>
          <w:rFonts w:cs="Tahoma"/>
          <w:i/>
          <w:iCs/>
          <w:sz w:val="22"/>
          <w:szCs w:val="22"/>
        </w:rPr>
        <w:t>DOI.org (Crossref)</w:t>
      </w:r>
      <w:r w:rsidRPr="00165462">
        <w:rPr>
          <w:rFonts w:cs="Tahoma"/>
          <w:sz w:val="22"/>
          <w:szCs w:val="22"/>
        </w:rPr>
        <w:t>, https://doi.org/10.1016/j.molmed.2017.06.005.</w:t>
      </w:r>
    </w:p>
    <w:p w14:paraId="4DF13E51"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Dukes, Ellen M., et al. “Relationship of American Spinal Injury Association Impairment Scale Grade to Post-Injury Hospitalization and Costs in Thoracic Spinal Cord Injury.” </w:t>
      </w:r>
      <w:r w:rsidRPr="00165462">
        <w:rPr>
          <w:rFonts w:cs="Tahoma"/>
          <w:i/>
          <w:iCs/>
          <w:sz w:val="22"/>
          <w:szCs w:val="22"/>
        </w:rPr>
        <w:t>Neurosurgery</w:t>
      </w:r>
      <w:r w:rsidRPr="00165462">
        <w:rPr>
          <w:rFonts w:cs="Tahoma"/>
          <w:sz w:val="22"/>
          <w:szCs w:val="22"/>
        </w:rPr>
        <w:t xml:space="preserve">, vol. 83, no. 3, Sept. 2018, pp. 445–51. </w:t>
      </w:r>
      <w:r w:rsidRPr="00165462">
        <w:rPr>
          <w:rFonts w:cs="Tahoma"/>
          <w:i/>
          <w:iCs/>
          <w:sz w:val="22"/>
          <w:szCs w:val="22"/>
        </w:rPr>
        <w:t>PubMed Central</w:t>
      </w:r>
      <w:r w:rsidRPr="00165462">
        <w:rPr>
          <w:rFonts w:cs="Tahoma"/>
          <w:sz w:val="22"/>
          <w:szCs w:val="22"/>
        </w:rPr>
        <w:t>, https://doi.org/10.1093/neuros/nyx425.</w:t>
      </w:r>
    </w:p>
    <w:p w14:paraId="3AF07E05"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Jain, Nitin B., et al. “Traumatic Spinal Cord Injury in the United States, 1993–2012.” </w:t>
      </w:r>
      <w:r w:rsidRPr="00165462">
        <w:rPr>
          <w:rFonts w:cs="Tahoma"/>
          <w:i/>
          <w:iCs/>
          <w:sz w:val="22"/>
          <w:szCs w:val="22"/>
        </w:rPr>
        <w:t>JAMA</w:t>
      </w:r>
      <w:r w:rsidRPr="00165462">
        <w:rPr>
          <w:rFonts w:cs="Tahoma"/>
          <w:sz w:val="22"/>
          <w:szCs w:val="22"/>
        </w:rPr>
        <w:t xml:space="preserve">, vol. 313, no. 22, June 2015, pp. 2236–43. </w:t>
      </w:r>
      <w:r w:rsidRPr="00165462">
        <w:rPr>
          <w:rFonts w:cs="Tahoma"/>
          <w:i/>
          <w:iCs/>
          <w:sz w:val="22"/>
          <w:szCs w:val="22"/>
        </w:rPr>
        <w:t>PubMed Central</w:t>
      </w:r>
      <w:r w:rsidRPr="00165462">
        <w:rPr>
          <w:rFonts w:cs="Tahoma"/>
          <w:sz w:val="22"/>
          <w:szCs w:val="22"/>
        </w:rPr>
        <w:t>, https://doi.org/10.1001/jama.2015.6250.</w:t>
      </w:r>
    </w:p>
    <w:p w14:paraId="371F626E"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Norenberg, Michael D., et al. “The Pathology of Human Spinal Cord Injury: Defining the Problems.” </w:t>
      </w:r>
      <w:r w:rsidRPr="00165462">
        <w:rPr>
          <w:rFonts w:cs="Tahoma"/>
          <w:i/>
          <w:iCs/>
          <w:sz w:val="22"/>
          <w:szCs w:val="22"/>
        </w:rPr>
        <w:t>Journal of Neurotrauma</w:t>
      </w:r>
      <w:r w:rsidRPr="00165462">
        <w:rPr>
          <w:rFonts w:cs="Tahoma"/>
          <w:sz w:val="22"/>
          <w:szCs w:val="22"/>
        </w:rPr>
        <w:t xml:space="preserve">, vol. 21, no. 4, Apr. 2004, pp. 429–40. </w:t>
      </w:r>
      <w:r w:rsidRPr="00165462">
        <w:rPr>
          <w:rFonts w:cs="Tahoma"/>
          <w:i/>
          <w:iCs/>
          <w:sz w:val="22"/>
          <w:szCs w:val="22"/>
        </w:rPr>
        <w:t>DOI.org (Crossref)</w:t>
      </w:r>
      <w:r w:rsidRPr="00165462">
        <w:rPr>
          <w:rFonts w:cs="Tahoma"/>
          <w:sz w:val="22"/>
          <w:szCs w:val="22"/>
        </w:rPr>
        <w:t>, https://doi.org/10.1089/089771504323004575.</w:t>
      </w:r>
    </w:p>
    <w:p w14:paraId="17360E2D" w14:textId="67E3A55D" w:rsidR="00270D5F" w:rsidRPr="00551058" w:rsidRDefault="00004CA0" w:rsidP="001C3B9A">
      <w:pPr>
        <w:spacing w:before="120"/>
        <w:ind w:left="-360"/>
        <w:rPr>
          <w:bCs/>
        </w:rPr>
      </w:pPr>
      <w:r w:rsidRPr="00165462">
        <w:rPr>
          <w:bCs/>
          <w:sz w:val="22"/>
          <w:szCs w:val="22"/>
        </w:rPr>
        <w:fldChar w:fldCharType="end"/>
      </w:r>
    </w:p>
    <w:sectPr w:rsidR="00270D5F" w:rsidRPr="00551058"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A112" w14:textId="77777777" w:rsidR="004C4152" w:rsidRDefault="004C4152" w:rsidP="00B657A0">
      <w:r>
        <w:separator/>
      </w:r>
    </w:p>
  </w:endnote>
  <w:endnote w:type="continuationSeparator" w:id="0">
    <w:p w14:paraId="6B21150B" w14:textId="77777777" w:rsidR="004C4152" w:rsidRDefault="004C4152" w:rsidP="00B657A0">
      <w:r>
        <w:continuationSeparator/>
      </w:r>
    </w:p>
  </w:endnote>
  <w:endnote w:type="continuationNotice" w:id="1">
    <w:p w14:paraId="5051839A" w14:textId="77777777" w:rsidR="004C4152" w:rsidRDefault="004C4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4C91" w14:textId="77777777" w:rsidR="004C4152" w:rsidRDefault="004C4152" w:rsidP="00B657A0">
      <w:r>
        <w:separator/>
      </w:r>
    </w:p>
  </w:footnote>
  <w:footnote w:type="continuationSeparator" w:id="0">
    <w:p w14:paraId="03D083E2" w14:textId="77777777" w:rsidR="004C4152" w:rsidRDefault="004C4152" w:rsidP="00B657A0">
      <w:r>
        <w:continuationSeparator/>
      </w:r>
    </w:p>
  </w:footnote>
  <w:footnote w:type="continuationNotice" w:id="1">
    <w:p w14:paraId="0FD3B505" w14:textId="77777777" w:rsidR="004C4152" w:rsidRDefault="004C41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6D5FC"/>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C3687E4"/>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07B52"/>
    <w:multiLevelType w:val="hybridMultilevel"/>
    <w:tmpl w:val="4948D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1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5"/>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1"/>
  </w:num>
  <w:num w:numId="10" w16cid:durableId="1214929145">
    <w:abstractNumId w:val="11"/>
  </w:num>
  <w:num w:numId="11" w16cid:durableId="1534925248">
    <w:abstractNumId w:val="12"/>
  </w:num>
  <w:num w:numId="12" w16cid:durableId="1204631859">
    <w:abstractNumId w:val="10"/>
  </w:num>
  <w:num w:numId="13" w16cid:durableId="1999653488">
    <w:abstractNumId w:val="6"/>
  </w:num>
  <w:num w:numId="14" w16cid:durableId="1948655657">
    <w:abstractNumId w:val="18"/>
  </w:num>
  <w:num w:numId="15" w16cid:durableId="1426876100">
    <w:abstractNumId w:val="13"/>
  </w:num>
  <w:num w:numId="16" w16cid:durableId="148448031">
    <w:abstractNumId w:val="7"/>
  </w:num>
  <w:num w:numId="17" w16cid:durableId="432239574">
    <w:abstractNumId w:val="19"/>
  </w:num>
  <w:num w:numId="18" w16cid:durableId="1902785539">
    <w:abstractNumId w:val="4"/>
  </w:num>
  <w:num w:numId="19" w16cid:durableId="2016347357">
    <w:abstractNumId w:val="8"/>
  </w:num>
  <w:num w:numId="20" w16cid:durableId="1604259620">
    <w:abstractNumId w:val="17"/>
  </w:num>
  <w:num w:numId="21" w16cid:durableId="1341661621">
    <w:abstractNumId w:val="16"/>
  </w:num>
  <w:num w:numId="22" w16cid:durableId="788007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712D"/>
    <w:rsid w:val="00050DA8"/>
    <w:rsid w:val="00053B22"/>
    <w:rsid w:val="00057001"/>
    <w:rsid w:val="00057654"/>
    <w:rsid w:val="00061762"/>
    <w:rsid w:val="0006224F"/>
    <w:rsid w:val="00070C64"/>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20765"/>
    <w:rsid w:val="00121359"/>
    <w:rsid w:val="0012408D"/>
    <w:rsid w:val="001308D6"/>
    <w:rsid w:val="00133B5F"/>
    <w:rsid w:val="0013522D"/>
    <w:rsid w:val="00135AFF"/>
    <w:rsid w:val="00142E4C"/>
    <w:rsid w:val="00163066"/>
    <w:rsid w:val="00164555"/>
    <w:rsid w:val="00165462"/>
    <w:rsid w:val="00166392"/>
    <w:rsid w:val="00166E18"/>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2772"/>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3F95"/>
    <w:rsid w:val="00257BF3"/>
    <w:rsid w:val="00264668"/>
    <w:rsid w:val="00270D49"/>
    <w:rsid w:val="00270D5F"/>
    <w:rsid w:val="00274369"/>
    <w:rsid w:val="00277DDB"/>
    <w:rsid w:val="00281D3C"/>
    <w:rsid w:val="002849BA"/>
    <w:rsid w:val="00286FCE"/>
    <w:rsid w:val="002A1561"/>
    <w:rsid w:val="002A28CC"/>
    <w:rsid w:val="002A3ED6"/>
    <w:rsid w:val="002A53A6"/>
    <w:rsid w:val="002B1421"/>
    <w:rsid w:val="002B4B79"/>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214CE"/>
    <w:rsid w:val="0032283D"/>
    <w:rsid w:val="00325CDD"/>
    <w:rsid w:val="00326BD3"/>
    <w:rsid w:val="00330B7C"/>
    <w:rsid w:val="003440C1"/>
    <w:rsid w:val="0034779A"/>
    <w:rsid w:val="00352D15"/>
    <w:rsid w:val="00354968"/>
    <w:rsid w:val="00361909"/>
    <w:rsid w:val="00361E35"/>
    <w:rsid w:val="00371AB4"/>
    <w:rsid w:val="00373E0B"/>
    <w:rsid w:val="00385282"/>
    <w:rsid w:val="00390509"/>
    <w:rsid w:val="00394D40"/>
    <w:rsid w:val="00395CD2"/>
    <w:rsid w:val="003A39B6"/>
    <w:rsid w:val="003A4941"/>
    <w:rsid w:val="003B492B"/>
    <w:rsid w:val="003B55EE"/>
    <w:rsid w:val="003C3185"/>
    <w:rsid w:val="003D1CC2"/>
    <w:rsid w:val="003E0F1B"/>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A5E98"/>
    <w:rsid w:val="004A73EA"/>
    <w:rsid w:val="004B411F"/>
    <w:rsid w:val="004C4152"/>
    <w:rsid w:val="004D288E"/>
    <w:rsid w:val="004D2C44"/>
    <w:rsid w:val="004D45A4"/>
    <w:rsid w:val="004E5363"/>
    <w:rsid w:val="004E7B46"/>
    <w:rsid w:val="004F4DC9"/>
    <w:rsid w:val="005012FA"/>
    <w:rsid w:val="0050524A"/>
    <w:rsid w:val="0051604D"/>
    <w:rsid w:val="0051677F"/>
    <w:rsid w:val="0052634B"/>
    <w:rsid w:val="005272B8"/>
    <w:rsid w:val="00530CE3"/>
    <w:rsid w:val="00530FE4"/>
    <w:rsid w:val="00531115"/>
    <w:rsid w:val="00532FEF"/>
    <w:rsid w:val="00535BEC"/>
    <w:rsid w:val="00541D64"/>
    <w:rsid w:val="005448CC"/>
    <w:rsid w:val="00551058"/>
    <w:rsid w:val="00551497"/>
    <w:rsid w:val="0056064F"/>
    <w:rsid w:val="00571D0C"/>
    <w:rsid w:val="005730F3"/>
    <w:rsid w:val="00576764"/>
    <w:rsid w:val="00576936"/>
    <w:rsid w:val="005800F4"/>
    <w:rsid w:val="0058650F"/>
    <w:rsid w:val="00586F7D"/>
    <w:rsid w:val="00590C85"/>
    <w:rsid w:val="00591DBC"/>
    <w:rsid w:val="00596DCD"/>
    <w:rsid w:val="00597ED6"/>
    <w:rsid w:val="005A7269"/>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47133"/>
    <w:rsid w:val="00654D6D"/>
    <w:rsid w:val="006554C7"/>
    <w:rsid w:val="00665250"/>
    <w:rsid w:val="00665811"/>
    <w:rsid w:val="00671488"/>
    <w:rsid w:val="00676BF0"/>
    <w:rsid w:val="00677343"/>
    <w:rsid w:val="00682F78"/>
    <w:rsid w:val="006830EF"/>
    <w:rsid w:val="00683BF2"/>
    <w:rsid w:val="0068539E"/>
    <w:rsid w:val="00692C82"/>
    <w:rsid w:val="006A11B0"/>
    <w:rsid w:val="006B46C8"/>
    <w:rsid w:val="006B7A31"/>
    <w:rsid w:val="006C0E35"/>
    <w:rsid w:val="006C1B0D"/>
    <w:rsid w:val="006D05FF"/>
    <w:rsid w:val="006D6FA5"/>
    <w:rsid w:val="006D7727"/>
    <w:rsid w:val="006E340F"/>
    <w:rsid w:val="006E6CBE"/>
    <w:rsid w:val="006F17F3"/>
    <w:rsid w:val="006F59A9"/>
    <w:rsid w:val="006F6478"/>
    <w:rsid w:val="0070184A"/>
    <w:rsid w:val="00712BC3"/>
    <w:rsid w:val="00712E49"/>
    <w:rsid w:val="007176BB"/>
    <w:rsid w:val="007204BA"/>
    <w:rsid w:val="007211E2"/>
    <w:rsid w:val="007217F7"/>
    <w:rsid w:val="00721831"/>
    <w:rsid w:val="007228F1"/>
    <w:rsid w:val="00724C85"/>
    <w:rsid w:val="00730FD9"/>
    <w:rsid w:val="00735565"/>
    <w:rsid w:val="00740841"/>
    <w:rsid w:val="0074555B"/>
    <w:rsid w:val="00745EB2"/>
    <w:rsid w:val="00746457"/>
    <w:rsid w:val="00746BEA"/>
    <w:rsid w:val="007539B9"/>
    <w:rsid w:val="007610FD"/>
    <w:rsid w:val="0076194B"/>
    <w:rsid w:val="0076569D"/>
    <w:rsid w:val="007708A3"/>
    <w:rsid w:val="00772BDF"/>
    <w:rsid w:val="00773149"/>
    <w:rsid w:val="00792AA1"/>
    <w:rsid w:val="007957AE"/>
    <w:rsid w:val="007A11CA"/>
    <w:rsid w:val="007B4431"/>
    <w:rsid w:val="007B5FF2"/>
    <w:rsid w:val="007D40FA"/>
    <w:rsid w:val="007D7210"/>
    <w:rsid w:val="007E342D"/>
    <w:rsid w:val="007E7E4D"/>
    <w:rsid w:val="007F36E1"/>
    <w:rsid w:val="007F6BD5"/>
    <w:rsid w:val="007F7D1C"/>
    <w:rsid w:val="00806525"/>
    <w:rsid w:val="00807EC5"/>
    <w:rsid w:val="00811526"/>
    <w:rsid w:val="00817BCB"/>
    <w:rsid w:val="00823809"/>
    <w:rsid w:val="00833E3B"/>
    <w:rsid w:val="008425D1"/>
    <w:rsid w:val="00843423"/>
    <w:rsid w:val="0084541D"/>
    <w:rsid w:val="00854596"/>
    <w:rsid w:val="0085662B"/>
    <w:rsid w:val="008574B6"/>
    <w:rsid w:val="00857FA7"/>
    <w:rsid w:val="008600BF"/>
    <w:rsid w:val="00860536"/>
    <w:rsid w:val="00862393"/>
    <w:rsid w:val="00862E2B"/>
    <w:rsid w:val="0087391D"/>
    <w:rsid w:val="00873957"/>
    <w:rsid w:val="00884C18"/>
    <w:rsid w:val="00891790"/>
    <w:rsid w:val="008A3268"/>
    <w:rsid w:val="008A3B7E"/>
    <w:rsid w:val="008A5518"/>
    <w:rsid w:val="008B1806"/>
    <w:rsid w:val="008B7517"/>
    <w:rsid w:val="008D69E8"/>
    <w:rsid w:val="008F1475"/>
    <w:rsid w:val="008F1BBC"/>
    <w:rsid w:val="008F4047"/>
    <w:rsid w:val="008F6C0C"/>
    <w:rsid w:val="00900886"/>
    <w:rsid w:val="00900920"/>
    <w:rsid w:val="00901982"/>
    <w:rsid w:val="009039C7"/>
    <w:rsid w:val="009065D5"/>
    <w:rsid w:val="00923B1B"/>
    <w:rsid w:val="0092485D"/>
    <w:rsid w:val="009407F4"/>
    <w:rsid w:val="00944BE1"/>
    <w:rsid w:val="00945D93"/>
    <w:rsid w:val="009549B9"/>
    <w:rsid w:val="009551D4"/>
    <w:rsid w:val="00955CB3"/>
    <w:rsid w:val="00955D45"/>
    <w:rsid w:val="009573F6"/>
    <w:rsid w:val="009655D2"/>
    <w:rsid w:val="00971BC3"/>
    <w:rsid w:val="00974719"/>
    <w:rsid w:val="00994FA8"/>
    <w:rsid w:val="009A017A"/>
    <w:rsid w:val="009A165C"/>
    <w:rsid w:val="009B3375"/>
    <w:rsid w:val="009B57C6"/>
    <w:rsid w:val="009B7B5B"/>
    <w:rsid w:val="009C27FA"/>
    <w:rsid w:val="009C2987"/>
    <w:rsid w:val="009D13C5"/>
    <w:rsid w:val="009D5022"/>
    <w:rsid w:val="009D6626"/>
    <w:rsid w:val="009E13FB"/>
    <w:rsid w:val="009E18B4"/>
    <w:rsid w:val="009E1C63"/>
    <w:rsid w:val="00A0108A"/>
    <w:rsid w:val="00A04AD7"/>
    <w:rsid w:val="00A15BDD"/>
    <w:rsid w:val="00A17305"/>
    <w:rsid w:val="00A24EFB"/>
    <w:rsid w:val="00A34DA6"/>
    <w:rsid w:val="00A44CDC"/>
    <w:rsid w:val="00A4664A"/>
    <w:rsid w:val="00A654DD"/>
    <w:rsid w:val="00A661AF"/>
    <w:rsid w:val="00A6627B"/>
    <w:rsid w:val="00A754AB"/>
    <w:rsid w:val="00A7775B"/>
    <w:rsid w:val="00AA119B"/>
    <w:rsid w:val="00AA202B"/>
    <w:rsid w:val="00AA2548"/>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0E39"/>
    <w:rsid w:val="00B32730"/>
    <w:rsid w:val="00B4237E"/>
    <w:rsid w:val="00B4678E"/>
    <w:rsid w:val="00B51CAB"/>
    <w:rsid w:val="00B63A1C"/>
    <w:rsid w:val="00B657A0"/>
    <w:rsid w:val="00B6644C"/>
    <w:rsid w:val="00B71413"/>
    <w:rsid w:val="00B756D6"/>
    <w:rsid w:val="00B76433"/>
    <w:rsid w:val="00B76D73"/>
    <w:rsid w:val="00B83268"/>
    <w:rsid w:val="00B929AF"/>
    <w:rsid w:val="00B9364C"/>
    <w:rsid w:val="00BA4AF0"/>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3273"/>
    <w:rsid w:val="00C741E2"/>
    <w:rsid w:val="00C76ED0"/>
    <w:rsid w:val="00C84C52"/>
    <w:rsid w:val="00C86645"/>
    <w:rsid w:val="00C86EC9"/>
    <w:rsid w:val="00C9133F"/>
    <w:rsid w:val="00C91504"/>
    <w:rsid w:val="00C915BE"/>
    <w:rsid w:val="00C9645A"/>
    <w:rsid w:val="00CA07CB"/>
    <w:rsid w:val="00CA2BB1"/>
    <w:rsid w:val="00CA7B90"/>
    <w:rsid w:val="00CC516A"/>
    <w:rsid w:val="00CE1935"/>
    <w:rsid w:val="00CE19A8"/>
    <w:rsid w:val="00CF3906"/>
    <w:rsid w:val="00D062D5"/>
    <w:rsid w:val="00D1051A"/>
    <w:rsid w:val="00D135B7"/>
    <w:rsid w:val="00D162A1"/>
    <w:rsid w:val="00D2614C"/>
    <w:rsid w:val="00D33E93"/>
    <w:rsid w:val="00D351F1"/>
    <w:rsid w:val="00D35CE5"/>
    <w:rsid w:val="00D410A3"/>
    <w:rsid w:val="00D45C8E"/>
    <w:rsid w:val="00D46AFF"/>
    <w:rsid w:val="00D5304B"/>
    <w:rsid w:val="00D575D9"/>
    <w:rsid w:val="00D6427A"/>
    <w:rsid w:val="00D6563E"/>
    <w:rsid w:val="00D67489"/>
    <w:rsid w:val="00D739E1"/>
    <w:rsid w:val="00D759E7"/>
    <w:rsid w:val="00D777F8"/>
    <w:rsid w:val="00D81B25"/>
    <w:rsid w:val="00D82F74"/>
    <w:rsid w:val="00D83402"/>
    <w:rsid w:val="00D8775C"/>
    <w:rsid w:val="00D97EE6"/>
    <w:rsid w:val="00DA1735"/>
    <w:rsid w:val="00DA1E60"/>
    <w:rsid w:val="00DA2185"/>
    <w:rsid w:val="00DB0621"/>
    <w:rsid w:val="00DD05AB"/>
    <w:rsid w:val="00DD0642"/>
    <w:rsid w:val="00DD15DF"/>
    <w:rsid w:val="00DD1AA7"/>
    <w:rsid w:val="00DD2DB1"/>
    <w:rsid w:val="00DD3ED7"/>
    <w:rsid w:val="00DD4975"/>
    <w:rsid w:val="00DD5EA9"/>
    <w:rsid w:val="00DD6A15"/>
    <w:rsid w:val="00DD7A4A"/>
    <w:rsid w:val="00DE28EB"/>
    <w:rsid w:val="00DF1464"/>
    <w:rsid w:val="00DF6DFA"/>
    <w:rsid w:val="00E01888"/>
    <w:rsid w:val="00E0739F"/>
    <w:rsid w:val="00E07F77"/>
    <w:rsid w:val="00E113BD"/>
    <w:rsid w:val="00E15F5D"/>
    <w:rsid w:val="00E242DA"/>
    <w:rsid w:val="00E262AC"/>
    <w:rsid w:val="00E33606"/>
    <w:rsid w:val="00E3475C"/>
    <w:rsid w:val="00E35B7B"/>
    <w:rsid w:val="00E42006"/>
    <w:rsid w:val="00E42B96"/>
    <w:rsid w:val="00E61926"/>
    <w:rsid w:val="00E71D45"/>
    <w:rsid w:val="00E76600"/>
    <w:rsid w:val="00E81074"/>
    <w:rsid w:val="00E925DF"/>
    <w:rsid w:val="00E96AA1"/>
    <w:rsid w:val="00EA33CE"/>
    <w:rsid w:val="00EB44C2"/>
    <w:rsid w:val="00EB5ECE"/>
    <w:rsid w:val="00EC3E0C"/>
    <w:rsid w:val="00EC4B4D"/>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5F29"/>
    <w:rsid w:val="00F57C2E"/>
    <w:rsid w:val="00F60386"/>
    <w:rsid w:val="00F62CFF"/>
    <w:rsid w:val="00F63A38"/>
    <w:rsid w:val="00F710BC"/>
    <w:rsid w:val="00F727D6"/>
    <w:rsid w:val="00F8258D"/>
    <w:rsid w:val="00F876F3"/>
    <w:rsid w:val="00F95EB6"/>
    <w:rsid w:val="00FA181F"/>
    <w:rsid w:val="00FB2E7F"/>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332</TotalTime>
  <Pages>9</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28168</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246</cp:revision>
  <dcterms:created xsi:type="dcterms:W3CDTF">2022-07-26T21:22:00Z</dcterms:created>
  <dcterms:modified xsi:type="dcterms:W3CDTF">2022-10-18T12:17:00Z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id="qNsJo9Uf"/&gt;&lt;style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