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1E2F704C" w14:textId="77777777" w:rsidR="00E17716" w:rsidRDefault="00FB2E7F" w:rsidP="00E17716">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 xml:space="preserve">Spinal cord injury (SCI) is a devastating trauma in the life of a patient and has severe costs on our society. Today there are about 285,000 people in the U.S living with SCI, and approximately 17,000 new acute SCI cases diagnosed each </w:t>
      </w:r>
      <w:r w:rsidR="00F8258D" w:rsidRPr="00E76600">
        <w:rPr>
          <w:rFonts w:ascii="Tahoma" w:hAnsi="Tahoma" w:cs="Tahoma"/>
          <w:sz w:val="22"/>
          <w:szCs w:val="22"/>
        </w:rPr>
        <w:t xml:space="preserve">year (NSCIC). </w:t>
      </w:r>
      <w:r w:rsidRPr="00E76600">
        <w:rPr>
          <w:rFonts w:ascii="Tahoma" w:hAnsi="Tahoma" w:cs="Tahoma"/>
          <w:sz w:val="22"/>
          <w:szCs w:val="22"/>
        </w:rPr>
        <w:t>Mortality rates in the first years after the injury, have fallen by some 50%, however beyond this period, there have not been significant improvements</w:t>
      </w:r>
      <w:r w:rsidR="002C7F03" w:rsidRPr="00E76600">
        <w:rPr>
          <w:rFonts w:ascii="Tahoma" w:hAnsi="Tahoma" w:cs="Tahoma"/>
          <w:sz w:val="22"/>
          <w:szCs w:val="22"/>
        </w:rPr>
        <w:t xml:space="preserve"> (lifeexpectancy.org).</w:t>
      </w:r>
      <w:r w:rsidRPr="00E76600">
        <w:rPr>
          <w:rFonts w:ascii="Tahoma" w:hAnsi="Tahoma" w:cs="Tahoma"/>
          <w:sz w:val="22"/>
          <w:szCs w:val="22"/>
        </w:rPr>
        <w:t xml:space="preserve"> Older people have half of the life expectancy of younger people and people in their twenties have a life-expectancy of about 30 years or 15 years</w:t>
      </w:r>
      <w:r w:rsidR="00E76600">
        <w:rPr>
          <w:rFonts w:ascii="Tahoma" w:hAnsi="Tahoma" w:cs="Tahoma"/>
          <w:sz w:val="22"/>
          <w:szCs w:val="22"/>
        </w:rPr>
        <w:t xml:space="preserve"> (</w:t>
      </w:r>
      <w:r w:rsidR="00E76600" w:rsidRPr="00E76600">
        <w:rPr>
          <w:rFonts w:ascii="Tahoma" w:hAnsi="Tahoma" w:cs="Tahoma"/>
          <w:sz w:val="22"/>
          <w:szCs w:val="22"/>
        </w:rPr>
        <w:t>NSCIC)</w:t>
      </w:r>
      <w:r w:rsidRPr="00E76600">
        <w:rPr>
          <w:rFonts w:ascii="Tahoma" w:hAnsi="Tahoma" w:cs="Tahoma"/>
          <w:sz w:val="22"/>
          <w:szCs w:val="22"/>
        </w:rPr>
        <w:t>.  People sustaining a SCI have permanent and profound injury complications</w:t>
      </w:r>
      <w:r w:rsidR="00E76600" w:rsidRPr="00E76600">
        <w:rPr>
          <w:rFonts w:ascii="Tahoma" w:hAnsi="Tahoma" w:cs="Tahoma"/>
          <w:sz w:val="22"/>
          <w:szCs w:val="22"/>
        </w:rPr>
        <w:t xml:space="preserve"> occurring in multiple </w:t>
      </w:r>
      <w:r w:rsidRPr="00E76600">
        <w:rPr>
          <w:rFonts w:ascii="Tahoma" w:hAnsi="Tahoma" w:cs="Tahoma"/>
          <w:sz w:val="22"/>
          <w:szCs w:val="22"/>
        </w:rPr>
        <w:t xml:space="preserve">with functional loss or disability, and potential neurologic disorders. </w:t>
      </w:r>
    </w:p>
    <w:p w14:paraId="74587B0A" w14:textId="21679798" w:rsidR="00FB2E7F" w:rsidRPr="006E340F" w:rsidRDefault="00FB2E7F" w:rsidP="00E17716">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sidR="005B2C71">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00E242DA"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sidR="00E242DA">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w:t>
      </w:r>
      <w:r w:rsidR="00070C64" w:rsidRPr="006E340F">
        <w:rPr>
          <w:rFonts w:ascii="Tahoma" w:hAnsi="Tahoma" w:cs="Tahoma"/>
          <w:sz w:val="22"/>
          <w:szCs w:val="22"/>
        </w:rPr>
        <w:t>ASIA</w:t>
      </w:r>
      <w:r w:rsidRPr="006E340F">
        <w:rPr>
          <w:rFonts w:ascii="Tahoma" w:hAnsi="Tahoma" w:cs="Tahoma"/>
          <w:sz w:val="22"/>
          <w:szCs w:val="22"/>
        </w:rPr>
        <w:t xml:space="preserve"> </w:t>
      </w:r>
      <w:r w:rsidR="00070C64" w:rsidRPr="006E340F">
        <w:rPr>
          <w:rFonts w:ascii="Tahoma" w:hAnsi="Tahoma" w:cs="Tahoma"/>
          <w:sz w:val="22"/>
          <w:szCs w:val="22"/>
        </w:rPr>
        <w:t>Impairment</w:t>
      </w:r>
      <w:r w:rsidRPr="006E340F">
        <w:rPr>
          <w:rFonts w:ascii="Tahoma" w:hAnsi="Tahoma" w:cs="Tahoma"/>
          <w:sz w:val="22"/>
          <w:szCs w:val="22"/>
        </w:rPr>
        <w:t xml:space="preserve"> Scale (AIS) grade. </w:t>
      </w:r>
      <w:r w:rsidR="0006400B">
        <w:rPr>
          <w:rFonts w:ascii="Tahoma" w:hAnsi="Tahoma" w:cs="Tahoma"/>
          <w:sz w:val="22"/>
          <w:szCs w:val="22"/>
        </w:rPr>
        <w:t>The device has entered the market in 2014.</w:t>
      </w:r>
    </w:p>
    <w:p w14:paraId="3BEE8409" w14:textId="048BBF97" w:rsidR="003A4941" w:rsidRDefault="00D8775C" w:rsidP="003A4941">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sidR="002A53A6">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sidR="009065D5">
        <w:rPr>
          <w:rFonts w:cs="Tahoma"/>
          <w:sz w:val="22"/>
          <w:szCs w:val="22"/>
        </w:rPr>
        <w:t xml:space="preserve">(OPC) </w:t>
      </w:r>
      <w:r w:rsidRPr="00D6563E">
        <w:rPr>
          <w:rFonts w:cs="Tahoma"/>
          <w:sz w:val="22"/>
          <w:szCs w:val="22"/>
        </w:rPr>
        <w:t xml:space="preserve">therapy, has received a regenerative medicine advanced therapy (RMAT) and </w:t>
      </w:r>
      <w:r w:rsidR="00E61926">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sidR="00E61926">
        <w:rPr>
          <w:rFonts w:cs="Tahoma"/>
          <w:sz w:val="22"/>
          <w:szCs w:val="22"/>
        </w:rPr>
        <w:t>later</w:t>
      </w:r>
      <w:r w:rsidRPr="00D6563E">
        <w:rPr>
          <w:rFonts w:cs="Tahoma"/>
          <w:sz w:val="22"/>
          <w:szCs w:val="22"/>
        </w:rPr>
        <w:t xml:space="preserve"> trial, 96% reported improved in motor functions with 32% at two or more levels</w:t>
      </w:r>
      <w:r w:rsidR="003A4941" w:rsidRPr="003A4941">
        <w:rPr>
          <w:rFonts w:cs="Tahoma"/>
          <w:sz w:val="22"/>
          <w:szCs w:val="22"/>
        </w:rPr>
        <w:t xml:space="preserve"> </w:t>
      </w:r>
    </w:p>
    <w:p w14:paraId="5BE21EB4" w14:textId="001D39A2" w:rsidR="006E340F" w:rsidRPr="004A73EA" w:rsidRDefault="00E17716" w:rsidP="004A73EA">
      <w:pPr>
        <w:pStyle w:val="Body"/>
        <w:spacing w:line="480" w:lineRule="auto"/>
        <w:rPr>
          <w:sz w:val="22"/>
          <w:szCs w:val="22"/>
        </w:rPr>
      </w:pPr>
      <w:proofErr w:type="spellStart"/>
      <w:r>
        <w:rPr>
          <w:rFonts w:cs="Tahoma"/>
          <w:sz w:val="22"/>
          <w:szCs w:val="22"/>
        </w:rPr>
        <w:t>N</w:t>
      </w:r>
      <w:r>
        <w:rPr>
          <w:rFonts w:cs="Tahoma"/>
          <w:sz w:val="22"/>
          <w:szCs w:val="22"/>
        </w:rPr>
        <w:t>n</w:t>
      </w:r>
      <w:proofErr w:type="spellEnd"/>
      <w:r>
        <w:rPr>
          <w:rFonts w:cs="Tahoma"/>
          <w:sz w:val="22"/>
          <w:szCs w:val="22"/>
        </w:rPr>
        <w:t xml:space="preserve"> February 2021 </w:t>
      </w:r>
      <w:r>
        <w:rPr>
          <w:rFonts w:cs="Tahoma"/>
          <w:sz w:val="22"/>
          <w:szCs w:val="22"/>
        </w:rPr>
        <w:t xml:space="preserve">Lineage Therapeutics announced that they entered an agreement with </w:t>
      </w:r>
      <w:proofErr w:type="spellStart"/>
      <w:r>
        <w:rPr>
          <w:rFonts w:cs="Tahoma"/>
          <w:sz w:val="22"/>
          <w:szCs w:val="22"/>
        </w:rPr>
        <w:t>Neurgain</w:t>
      </w:r>
      <w:proofErr w:type="spellEnd"/>
      <w:r>
        <w:rPr>
          <w:rFonts w:cs="Tahoma"/>
          <w:sz w:val="22"/>
          <w:szCs w:val="22"/>
        </w:rPr>
        <w:t xml:space="preserve"> PDI for commercialization of OPC1</w:t>
      </w:r>
      <w:r w:rsidR="00E61926">
        <w:rPr>
          <w:rFonts w:cs="Tahoma"/>
          <w:sz w:val="22"/>
          <w:szCs w:val="22"/>
        </w:rPr>
        <w:t>.</w:t>
      </w:r>
    </w:p>
    <w:p w14:paraId="60CB05A5" w14:textId="36545232" w:rsidR="00167B74" w:rsidRDefault="00167B74" w:rsidP="00E35B7B">
      <w:pPr>
        <w:pStyle w:val="JHEPBody"/>
        <w:rPr>
          <w:rFonts w:eastAsiaTheme="majorEastAsia"/>
        </w:rPr>
      </w:pPr>
      <w:r w:rsidRPr="005730F3">
        <w:rPr>
          <w:rFonts w:eastAsiaTheme="majorEastAsia"/>
          <w:b/>
          <w:bCs/>
        </w:rPr>
        <w:t>Problem statement</w:t>
      </w:r>
      <w:r>
        <w:rPr>
          <w:rFonts w:eastAsiaTheme="majorEastAsia"/>
        </w:rPr>
        <w:t xml:space="preserve"> </w:t>
      </w:r>
    </w:p>
    <w:p w14:paraId="04CDED53" w14:textId="2D5B42D1" w:rsidR="005012FA" w:rsidRPr="00C30520" w:rsidRDefault="00945D93" w:rsidP="00945D93">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44923567" w:rsidR="000268CD" w:rsidRDefault="00274369" w:rsidP="005012FA">
      <w:pPr>
        <w:pStyle w:val="Heading2"/>
        <w:spacing w:before="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376AC9AD" w:rsidR="006F59A9" w:rsidRPr="00C30520" w:rsidRDefault="00373E0B" w:rsidP="00270D49">
      <w:pPr>
        <w:pStyle w:val="Body"/>
        <w:spacing w:line="480" w:lineRule="auto"/>
        <w:rPr>
          <w:sz w:val="22"/>
          <w:szCs w:val="22"/>
        </w:rPr>
      </w:pPr>
      <w:r w:rsidRPr="00C30520">
        <w:rPr>
          <w:sz w:val="22"/>
          <w:szCs w:val="22"/>
        </w:rPr>
        <w:t>SCI</w:t>
      </w:r>
      <w:r w:rsidR="007610FD">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132DF4C6"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30E6595D" w14:textId="4AC79B21" w:rsidR="00F60386" w:rsidRPr="0052634B" w:rsidRDefault="00373E0B" w:rsidP="00F60386">
      <w:pPr>
        <w:spacing w:line="480" w:lineRule="auto"/>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531115">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531115">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610FD">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A0108A">
        <w:rPr>
          <w:sz w:val="22"/>
          <w:szCs w:val="22"/>
        </w:rPr>
        <w:t>This estimation does not include aftercare cost</w:t>
      </w:r>
      <w:r w:rsidR="00647133">
        <w:rPr>
          <w:sz w:val="22"/>
          <w:szCs w:val="22"/>
        </w:rPr>
        <w:t>s</w:t>
      </w:r>
      <w:r w:rsidR="00F60386">
        <w:rPr>
          <w:sz w:val="22"/>
          <w:szCs w:val="22"/>
        </w:rPr>
        <w:t xml:space="preserve"> (however, patients reported improvement of their motor functions within a year which costs less than a lifetime immobilization with no progress</w:t>
      </w:r>
      <w:r w:rsidR="00647133">
        <w:rPr>
          <w:sz w:val="22"/>
          <w:szCs w:val="22"/>
        </w:rPr>
        <w:t>)</w:t>
      </w:r>
      <w:r w:rsidR="00F60386">
        <w:rPr>
          <w:sz w:val="22"/>
          <w:szCs w:val="22"/>
        </w:rPr>
        <w:t>.</w:t>
      </w:r>
    </w:p>
    <w:p w14:paraId="6533FA26" w14:textId="7AF0F169" w:rsidR="0052634B" w:rsidRPr="0052634B" w:rsidRDefault="0052634B" w:rsidP="00A0108A">
      <w:pPr>
        <w:spacing w:line="480" w:lineRule="auto"/>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770"/>
        <w:gridCol w:w="3510"/>
        <w:gridCol w:w="3780"/>
        <w:gridCol w:w="1980"/>
      </w:tblGrid>
      <w:tr w:rsidR="00C915BE" w:rsidRPr="00773149" w14:paraId="0BB96E44" w14:textId="77777777" w:rsidTr="00571D0C">
        <w:trPr>
          <w:trHeight w:val="220"/>
        </w:trPr>
        <w:tc>
          <w:tcPr>
            <w:tcW w:w="1699"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1250"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46"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705"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571D0C">
        <w:trPr>
          <w:trHeight w:val="1098"/>
        </w:trPr>
        <w:tc>
          <w:tcPr>
            <w:tcW w:w="1699" w:type="pct"/>
          </w:tcPr>
          <w:p w14:paraId="06C49478"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3E808427"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635AADB9" w14:textId="3133D2DF" w:rsidR="00C915BE" w:rsidRPr="00773149" w:rsidRDefault="00C915BE" w:rsidP="00C915BE">
            <w:pPr>
              <w:pStyle w:val="JHEPBody"/>
              <w:rPr>
                <w:bCs/>
                <w:sz w:val="20"/>
                <w:szCs w:val="20"/>
                <w:lang w:bidi="en-US"/>
              </w:rPr>
            </w:pPr>
            <w:r w:rsidRPr="00773149">
              <w:rPr>
                <w:bCs/>
                <w:sz w:val="20"/>
                <w:szCs w:val="20"/>
                <w:lang w:bidi="en-US"/>
              </w:rPr>
              <w:t>Solution</w:t>
            </w:r>
          </w:p>
        </w:tc>
        <w:tc>
          <w:tcPr>
            <w:tcW w:w="1250" w:type="pct"/>
          </w:tcPr>
          <w:p w14:paraId="28C77F14" w14:textId="64099B80"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0862F930" w14:textId="56CDCFE1" w:rsidR="00C915BE" w:rsidRPr="00773149"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7FE4E86"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52174B56" w14:textId="77777777" w:rsidR="00C915BE" w:rsidRPr="00773149" w:rsidRDefault="00C915BE" w:rsidP="00C915BE">
            <w:pPr>
              <w:pStyle w:val="JHEPBody"/>
              <w:rPr>
                <w:bCs/>
                <w:sz w:val="20"/>
                <w:szCs w:val="20"/>
                <w:lang w:bidi="en-US"/>
              </w:rPr>
            </w:pPr>
            <w:r w:rsidRPr="00773149">
              <w:rPr>
                <w:bCs/>
                <w:sz w:val="20"/>
                <w:szCs w:val="20"/>
                <w:lang w:bidi="en-US"/>
              </w:rPr>
              <w:t>company website.</w:t>
            </w:r>
          </w:p>
        </w:tc>
      </w:tr>
      <w:tr w:rsidR="00C915BE" w:rsidRPr="00773149" w14:paraId="37C54072" w14:textId="77777777" w:rsidTr="00571D0C">
        <w:trPr>
          <w:trHeight w:val="1098"/>
        </w:trPr>
        <w:tc>
          <w:tcPr>
            <w:tcW w:w="1699" w:type="pct"/>
          </w:tcPr>
          <w:p w14:paraId="02836A52"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0692881C"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0C2F2C8F" w14:textId="3E7C561E" w:rsidR="00C915BE" w:rsidRPr="00773149" w:rsidRDefault="00C915BE" w:rsidP="00C915BE">
            <w:pPr>
              <w:pStyle w:val="JHEPBody"/>
              <w:rPr>
                <w:b/>
                <w:bCs/>
                <w:sz w:val="20"/>
                <w:szCs w:val="20"/>
                <w:lang w:bidi="en-US"/>
              </w:rPr>
            </w:pPr>
            <w:r w:rsidRPr="00773149">
              <w:rPr>
                <w:bCs/>
                <w:sz w:val="20"/>
                <w:szCs w:val="20"/>
                <w:lang w:bidi="en-US"/>
              </w:rPr>
              <w:t>Solution</w:t>
            </w:r>
          </w:p>
        </w:tc>
        <w:tc>
          <w:tcPr>
            <w:tcW w:w="1250" w:type="pct"/>
          </w:tcPr>
          <w:p w14:paraId="08CD1B1B" w14:textId="4300935B"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3F959447" w14:textId="0821EC25" w:rsidR="00C915BE"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186CF201"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68664DD8" w14:textId="268CCA6F" w:rsidR="00C915BE" w:rsidRPr="00773149" w:rsidRDefault="00C915BE" w:rsidP="00C915BE">
            <w:pPr>
              <w:pStyle w:val="JHEPBody"/>
              <w:rPr>
                <w:bCs/>
                <w:sz w:val="20"/>
                <w:szCs w:val="20"/>
                <w:lang w:bidi="en-US"/>
              </w:rPr>
            </w:pPr>
            <w:r w:rsidRPr="00773149">
              <w:rPr>
                <w:bCs/>
                <w:sz w:val="20"/>
                <w:szCs w:val="20"/>
                <w:lang w:bidi="en-US"/>
              </w:rPr>
              <w:t>company website.</w:t>
            </w:r>
          </w:p>
        </w:tc>
      </w:tr>
      <w:tr w:rsidR="00481092" w:rsidRPr="00773149" w14:paraId="56E8CDBF" w14:textId="77777777" w:rsidTr="00571D0C">
        <w:trPr>
          <w:trHeight w:val="1098"/>
        </w:trPr>
        <w:tc>
          <w:tcPr>
            <w:tcW w:w="1699" w:type="pct"/>
          </w:tcPr>
          <w:p w14:paraId="1EBCAED8"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478C4732"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3B733ADD" w14:textId="6B9421E0"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EA5F24C" w14:textId="2CE490FA"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4F4D286C" w14:textId="579A915F"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FC7DF72"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5E1496C4" w14:textId="11D414E0"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4598A16A" w14:textId="77777777" w:rsidTr="00571D0C">
        <w:trPr>
          <w:trHeight w:val="1098"/>
        </w:trPr>
        <w:tc>
          <w:tcPr>
            <w:tcW w:w="1699" w:type="pct"/>
          </w:tcPr>
          <w:p w14:paraId="0DE1B271"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268750F3"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21333D1C" w14:textId="30394116"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5BC134B" w14:textId="1F82B56C"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5B3CFFF5" w14:textId="7476AE32"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0805BCB0"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4E34406E" w14:textId="5F245D9D"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5EB8A7FF" w14:textId="77777777" w:rsidTr="00571D0C">
        <w:trPr>
          <w:trHeight w:val="1319"/>
        </w:trPr>
        <w:tc>
          <w:tcPr>
            <w:tcW w:w="1699" w:type="pct"/>
          </w:tcPr>
          <w:p w14:paraId="7FE8FCA5" w14:textId="77777777" w:rsidR="00481092" w:rsidRPr="00773149" w:rsidRDefault="00481092" w:rsidP="00481092">
            <w:pPr>
              <w:pStyle w:val="JHEPBody"/>
              <w:rPr>
                <w:b/>
                <w:bCs/>
                <w:sz w:val="20"/>
                <w:szCs w:val="20"/>
                <w:lang w:bidi="en-US"/>
              </w:rPr>
            </w:pPr>
            <w:r w:rsidRPr="00773149">
              <w:rPr>
                <w:b/>
                <w:bCs/>
                <w:sz w:val="20"/>
                <w:szCs w:val="20"/>
                <w:u w:val="single"/>
                <w:lang w:bidi="en-US"/>
              </w:rPr>
              <w:t>Example</w:t>
            </w:r>
          </w:p>
          <w:p w14:paraId="283150DC" w14:textId="77777777" w:rsidR="00481092" w:rsidRPr="00773149" w:rsidRDefault="00481092" w:rsidP="00481092">
            <w:pPr>
              <w:pStyle w:val="JHEPBody"/>
              <w:rPr>
                <w:bCs/>
                <w:sz w:val="20"/>
                <w:szCs w:val="20"/>
                <w:lang w:bidi="en-US"/>
              </w:rPr>
            </w:pPr>
            <w:proofErr w:type="spellStart"/>
            <w:r w:rsidRPr="00773149">
              <w:rPr>
                <w:b/>
                <w:bCs/>
                <w:sz w:val="20"/>
                <w:szCs w:val="20"/>
                <w:lang w:bidi="en-US"/>
              </w:rPr>
              <w:t>Meso</w:t>
            </w:r>
            <w:proofErr w:type="spellEnd"/>
            <w:r w:rsidRPr="00773149">
              <w:rPr>
                <w:b/>
                <w:bCs/>
                <w:sz w:val="20"/>
                <w:szCs w:val="20"/>
                <w:lang w:bidi="en-US"/>
              </w:rPr>
              <w:t xml:space="preserve"> Biomatrix Scaffold </w:t>
            </w:r>
            <w:proofErr w:type="spellStart"/>
            <w:r w:rsidRPr="00773149">
              <w:rPr>
                <w:bCs/>
                <w:sz w:val="20"/>
                <w:szCs w:val="20"/>
                <w:lang w:bidi="en-US"/>
              </w:rPr>
              <w:t>Kensey</w:t>
            </w:r>
            <w:proofErr w:type="spellEnd"/>
            <w:r w:rsidRPr="00773149">
              <w:rPr>
                <w:bCs/>
                <w:sz w:val="20"/>
                <w:szCs w:val="20"/>
                <w:lang w:bidi="en-US"/>
              </w:rPr>
              <w:t xml:space="preserve"> Nash is developing a porcine </w:t>
            </w:r>
            <w:proofErr w:type="spellStart"/>
            <w:r w:rsidRPr="00773149">
              <w:rPr>
                <w:bCs/>
                <w:sz w:val="20"/>
                <w:szCs w:val="20"/>
                <w:lang w:bidi="en-US"/>
              </w:rPr>
              <w:t>mesothelaial</w:t>
            </w:r>
            <w:proofErr w:type="spellEnd"/>
            <w:r w:rsidRPr="00773149">
              <w:rPr>
                <w:bCs/>
                <w:sz w:val="20"/>
                <w:szCs w:val="20"/>
                <w:lang w:bidi="en-US"/>
              </w:rPr>
              <w:t xml:space="preserve"> matrix for</w:t>
            </w:r>
          </w:p>
          <w:p w14:paraId="06F7D8C6" w14:textId="77777777" w:rsidR="00481092" w:rsidRPr="00773149" w:rsidRDefault="00481092" w:rsidP="00481092">
            <w:pPr>
              <w:pStyle w:val="JHEPBody"/>
              <w:rPr>
                <w:bCs/>
                <w:sz w:val="20"/>
                <w:szCs w:val="20"/>
                <w:lang w:bidi="en-US"/>
              </w:rPr>
            </w:pPr>
            <w:r w:rsidRPr="00773149">
              <w:rPr>
                <w:bCs/>
                <w:sz w:val="20"/>
                <w:szCs w:val="20"/>
                <w:lang w:bidi="en-US"/>
              </w:rPr>
              <w:t>soft tissue repair including nerve</w:t>
            </w:r>
          </w:p>
          <w:p w14:paraId="6D43D707" w14:textId="77777777" w:rsidR="00481092" w:rsidRPr="00773149" w:rsidRDefault="00481092" w:rsidP="00481092">
            <w:pPr>
              <w:pStyle w:val="JHEPBody"/>
              <w:rPr>
                <w:bCs/>
                <w:sz w:val="20"/>
                <w:szCs w:val="20"/>
                <w:lang w:bidi="en-US"/>
              </w:rPr>
            </w:pPr>
            <w:r w:rsidRPr="00773149">
              <w:rPr>
                <w:bCs/>
                <w:sz w:val="20"/>
                <w:szCs w:val="20"/>
                <w:lang w:bidi="en-US"/>
              </w:rPr>
              <w:t>conduits.</w:t>
            </w:r>
          </w:p>
        </w:tc>
        <w:tc>
          <w:tcPr>
            <w:tcW w:w="1250" w:type="pct"/>
          </w:tcPr>
          <w:p w14:paraId="5E9D2319" w14:textId="77777777" w:rsidR="00481092" w:rsidRPr="00773149" w:rsidRDefault="00481092" w:rsidP="00481092">
            <w:pPr>
              <w:pStyle w:val="JHEPBody"/>
              <w:numPr>
                <w:ilvl w:val="0"/>
                <w:numId w:val="20"/>
              </w:numPr>
              <w:rPr>
                <w:bCs/>
                <w:sz w:val="20"/>
                <w:szCs w:val="20"/>
                <w:lang w:bidi="en-US"/>
              </w:rPr>
            </w:pPr>
            <w:r w:rsidRPr="00773149">
              <w:rPr>
                <w:bCs/>
                <w:sz w:val="20"/>
                <w:szCs w:val="20"/>
                <w:lang w:bidi="en-US"/>
              </w:rPr>
              <w:t>naturally-derived matrix facilitates cell infiltration and growth factor retention</w:t>
            </w:r>
          </w:p>
          <w:p w14:paraId="5306FF7D" w14:textId="3B15AFC3" w:rsidR="00481092" w:rsidRPr="00773149" w:rsidRDefault="00481092" w:rsidP="00481092">
            <w:pPr>
              <w:pStyle w:val="JHEPBody"/>
              <w:numPr>
                <w:ilvl w:val="0"/>
                <w:numId w:val="20"/>
              </w:numPr>
              <w:rPr>
                <w:bCs/>
                <w:sz w:val="20"/>
                <w:szCs w:val="20"/>
                <w:lang w:bidi="en-US"/>
              </w:rPr>
            </w:pPr>
            <w:r w:rsidRPr="00773149">
              <w:rPr>
                <w:bCs/>
                <w:sz w:val="20"/>
                <w:szCs w:val="20"/>
                <w:lang w:bidi="en-US"/>
              </w:rPr>
              <w:t>easy to handle surgically (short hydration time</w:t>
            </w:r>
            <w:r>
              <w:rPr>
                <w:bCs/>
                <w:sz w:val="20"/>
                <w:szCs w:val="20"/>
                <w:lang w:bidi="en-US"/>
              </w:rPr>
              <w:t xml:space="preserve"> </w:t>
            </w:r>
            <w:r w:rsidRPr="00773149">
              <w:rPr>
                <w:bCs/>
                <w:sz w:val="20"/>
                <w:szCs w:val="20"/>
                <w:lang w:bidi="en-US"/>
              </w:rPr>
              <w:t>durable, deformable)</w:t>
            </w:r>
          </w:p>
        </w:tc>
        <w:tc>
          <w:tcPr>
            <w:tcW w:w="1346" w:type="pct"/>
          </w:tcPr>
          <w:p w14:paraId="4E8437A6" w14:textId="77777777" w:rsidR="00481092" w:rsidRPr="00773149" w:rsidRDefault="00481092" w:rsidP="00481092">
            <w:pPr>
              <w:pStyle w:val="JHEPBody"/>
              <w:rPr>
                <w:bCs/>
                <w:sz w:val="20"/>
                <w:szCs w:val="20"/>
                <w:lang w:bidi="en-US"/>
              </w:rPr>
            </w:pPr>
            <w:r w:rsidRPr="00773149">
              <w:rPr>
                <w:bCs/>
                <w:sz w:val="20"/>
                <w:szCs w:val="20"/>
                <w:lang w:bidi="en-US"/>
              </w:rPr>
              <w:t>- matrix material is derived from another animal (pig)</w:t>
            </w:r>
          </w:p>
        </w:tc>
        <w:tc>
          <w:tcPr>
            <w:tcW w:w="705" w:type="pct"/>
          </w:tcPr>
          <w:p w14:paraId="4157C1F5" w14:textId="77777777" w:rsidR="00481092" w:rsidRPr="00773149" w:rsidRDefault="00481092" w:rsidP="00481092">
            <w:pPr>
              <w:pStyle w:val="JHEPBody"/>
              <w:rPr>
                <w:bCs/>
                <w:sz w:val="20"/>
                <w:szCs w:val="20"/>
                <w:lang w:bidi="en-US"/>
              </w:rPr>
            </w:pPr>
            <w:r w:rsidRPr="00773149">
              <w:rPr>
                <w:bCs/>
                <w:sz w:val="20"/>
                <w:szCs w:val="20"/>
                <w:lang w:bidi="en-US"/>
              </w:rPr>
              <w:t>http://www.kense ynash.com</w:t>
            </w:r>
          </w:p>
        </w:tc>
      </w:tr>
    </w:tbl>
    <w:p w14:paraId="7CD91824" w14:textId="77777777" w:rsidR="00773149" w:rsidRDefault="00773149" w:rsidP="009A165C">
      <w:pPr>
        <w:pStyle w:val="JHEPBody"/>
        <w:rPr>
          <w:bCs/>
        </w:rPr>
      </w:pPr>
    </w:p>
    <w:p w14:paraId="5DEDC790" w14:textId="77777777" w:rsidR="00773149" w:rsidRDefault="00773149" w:rsidP="009A165C">
      <w:pPr>
        <w:pStyle w:val="JHEPBody"/>
        <w:rPr>
          <w:bCs/>
        </w:rPr>
      </w:pPr>
    </w:p>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7BF1913E" w14:textId="2F800933" w:rsidR="006C1B0D" w:rsidRDefault="006C1B0D" w:rsidP="009A165C">
      <w:pPr>
        <w:pStyle w:val="JHEPBody"/>
        <w:rPr>
          <w:bCs/>
        </w:rPr>
      </w:pPr>
      <w:r>
        <w:rPr>
          <w:bCs/>
        </w:rPr>
        <w:lastRenderedPageBreak/>
        <w:t xml:space="preserve">[table] </w:t>
      </w:r>
    </w:p>
    <w:p w14:paraId="2D319609" w14:textId="77777777" w:rsidR="0056064F" w:rsidRDefault="0056064F" w:rsidP="009A165C">
      <w:pPr>
        <w:pStyle w:val="JHEPBody"/>
        <w:rPr>
          <w:bCs/>
        </w:rPr>
      </w:pPr>
    </w:p>
    <w:p w14:paraId="185A334E" w14:textId="007BECA1" w:rsidR="006C1B0D" w:rsidRDefault="0056064F" w:rsidP="009A165C">
      <w:pPr>
        <w:pStyle w:val="JHEPBody"/>
        <w:rPr>
          <w:bCs/>
        </w:rPr>
      </w:pPr>
      <w:r w:rsidRPr="007D40FA">
        <w:rPr>
          <w:bCs/>
        </w:rPr>
        <w:t>Table with 5 distinct solutions.</w:t>
      </w:r>
    </w:p>
    <w:p w14:paraId="3D4E50BB" w14:textId="77777777" w:rsidR="0056064F" w:rsidRDefault="0056064F" w:rsidP="009A165C">
      <w:pPr>
        <w:pStyle w:val="JHEPBody"/>
        <w:rPr>
          <w:bCs/>
        </w:rPr>
      </w:pPr>
    </w:p>
    <w:p w14:paraId="4D5A5E4F" w14:textId="6AA7AABF" w:rsidR="006C1B0D" w:rsidRDefault="006C1B0D" w:rsidP="009A165C">
      <w:pPr>
        <w:pStyle w:val="JHEPBody"/>
        <w:rPr>
          <w:bCs/>
        </w:rPr>
      </w:pPr>
      <w:r>
        <w:rPr>
          <w:bCs/>
        </w:rPr>
        <w:t xml:space="preserve">[text] </w:t>
      </w:r>
    </w:p>
    <w:p w14:paraId="3100CFE9" w14:textId="77777777" w:rsidR="006C1B0D" w:rsidRDefault="006C1B0D" w:rsidP="009A165C">
      <w:pPr>
        <w:pStyle w:val="JHEPBody"/>
        <w:rPr>
          <w:bCs/>
        </w:rPr>
      </w:pPr>
    </w:p>
    <w:p w14:paraId="162F5FE9" w14:textId="74DAF08B" w:rsidR="006C1B0D" w:rsidRDefault="007D40FA" w:rsidP="009A165C">
      <w:pPr>
        <w:pStyle w:val="JHEPBody"/>
        <w:rPr>
          <w:bCs/>
        </w:rPr>
      </w:pPr>
      <w:r w:rsidRPr="007D40FA">
        <w:rPr>
          <w:bCs/>
        </w:rPr>
        <w:t>Summary of descriptions, advantages, disadvantages, references. A well-written paragraph summarizing and referencing the content in the table</w:t>
      </w:r>
    </w:p>
    <w:p w14:paraId="639D4E7F" w14:textId="24D9575F" w:rsidR="007D40FA" w:rsidRDefault="007D40FA" w:rsidP="009A165C">
      <w:pPr>
        <w:pStyle w:val="JHEPBody"/>
        <w:rPr>
          <w:bCs/>
        </w:rPr>
      </w:pPr>
    </w:p>
    <w:p w14:paraId="40F9AD4E" w14:textId="344C67EA" w:rsidR="007D40FA" w:rsidRDefault="00FA181F" w:rsidP="009A165C">
      <w:pPr>
        <w:pStyle w:val="JHEPBody"/>
        <w:rPr>
          <w:bCs/>
        </w:rPr>
      </w:pPr>
      <w:r>
        <w:rPr>
          <w:bCs/>
        </w:rPr>
        <w:t>Include a careful</w:t>
      </w:r>
      <w:r w:rsidR="007D40FA" w:rsidRPr="007D40FA">
        <w:rPr>
          <w:bCs/>
        </w:rPr>
        <w:t xml:space="preserve"> consideration of the advantages and disadvantages</w:t>
      </w:r>
      <w:r>
        <w:rPr>
          <w:bCs/>
        </w:rPr>
        <w:t xml:space="preserve"> of each solution</w:t>
      </w:r>
      <w:r w:rsidR="007D40FA" w:rsidRPr="007D40FA">
        <w:rPr>
          <w:bCs/>
        </w:rPr>
        <w:t xml:space="preserve">. </w:t>
      </w:r>
      <w:r w:rsidR="00163066">
        <w:rPr>
          <w:bCs/>
        </w:rPr>
        <w:t>Review the l</w:t>
      </w:r>
      <w:r w:rsidR="007D40FA" w:rsidRPr="007D40FA">
        <w:rPr>
          <w:bCs/>
        </w:rPr>
        <w:t>ogic</w:t>
      </w:r>
      <w:r w:rsidR="00163066">
        <w:rPr>
          <w:bCs/>
        </w:rPr>
        <w:t>al argument</w:t>
      </w:r>
      <w:r w:rsidR="007D40FA" w:rsidRPr="007D40FA">
        <w:rPr>
          <w:bCs/>
        </w:rPr>
        <w:t xml:space="preserve"> of </w:t>
      </w:r>
      <w:r w:rsidR="00163066">
        <w:rPr>
          <w:bCs/>
        </w:rPr>
        <w:t xml:space="preserve">the text to </w:t>
      </w:r>
      <w:r w:rsidR="007D40FA" w:rsidRPr="007D40FA">
        <w:rPr>
          <w:bCs/>
        </w:rPr>
        <w:t>provide contrast</w:t>
      </w:r>
      <w:r w:rsidR="00163066">
        <w:rPr>
          <w:bCs/>
        </w:rPr>
        <w:t xml:space="preserve"> between the solutions</w:t>
      </w:r>
      <w:r w:rsidR="007D40FA" w:rsidRPr="007D40FA">
        <w:rPr>
          <w:bCs/>
        </w:rPr>
        <w:t xml:space="preserve"> and</w:t>
      </w:r>
      <w:r w:rsidR="00163066">
        <w:rPr>
          <w:bCs/>
        </w:rPr>
        <w:t xml:space="preserve"> a</w:t>
      </w:r>
      <w:r w:rsidR="007D40FA" w:rsidRPr="007D40FA">
        <w:rPr>
          <w:bCs/>
        </w:rPr>
        <w:t xml:space="preserve"> gap </w:t>
      </w:r>
      <w:r w:rsidR="00923B1B">
        <w:rPr>
          <w:bCs/>
        </w:rPr>
        <w:t>analysis/</w:t>
      </w:r>
      <w:r w:rsidR="007D40FA" w:rsidRPr="007D40FA">
        <w:rPr>
          <w:bCs/>
        </w:rPr>
        <w:t>description.</w:t>
      </w:r>
    </w:p>
    <w:p w14:paraId="54EF53DC" w14:textId="7F0EDBF7" w:rsidR="006C1B0D" w:rsidRDefault="006C1B0D" w:rsidP="009A165C">
      <w:pPr>
        <w:pStyle w:val="JHEPBody"/>
        <w:rPr>
          <w:bCs/>
        </w:rPr>
      </w:pPr>
    </w:p>
    <w:p w14:paraId="78197C87" w14:textId="01511104" w:rsidR="00E96AA1" w:rsidRDefault="00E96AA1" w:rsidP="009A165C">
      <w:pPr>
        <w:pStyle w:val="JHEPBody"/>
        <w:rPr>
          <w:bCs/>
        </w:rPr>
      </w:pPr>
      <w:r>
        <w:rPr>
          <w:bCs/>
        </w:rPr>
        <w:t>Provide a t</w:t>
      </w:r>
      <w:r w:rsidRPr="00E96AA1">
        <w:rPr>
          <w:bCs/>
        </w:rPr>
        <w:t>houghtful summary and analysis of the differences</w:t>
      </w:r>
      <w:r>
        <w:rPr>
          <w:bCs/>
        </w:rPr>
        <w:t xml:space="preserve"> in the </w:t>
      </w:r>
      <w:r w:rsidR="00FA181F">
        <w:rPr>
          <w:bCs/>
        </w:rPr>
        <w:t>available solutions</w:t>
      </w:r>
      <w:r w:rsidRPr="00E96AA1">
        <w:rPr>
          <w:bCs/>
        </w:rPr>
        <w:t>.</w:t>
      </w:r>
    </w:p>
    <w:p w14:paraId="0276B04C" w14:textId="77777777" w:rsidR="00E96AA1" w:rsidRDefault="00E96AA1" w:rsidP="009A165C">
      <w:pPr>
        <w:pStyle w:val="JHEPBody"/>
        <w:rPr>
          <w:bCs/>
        </w:rPr>
      </w:pPr>
    </w:p>
    <w:p w14:paraId="0B20B4B1" w14:textId="327F33B4" w:rsidR="009A165C" w:rsidRPr="009A165C" w:rsidRDefault="009A165C" w:rsidP="009A165C">
      <w:pPr>
        <w:pStyle w:val="JHEPBody"/>
        <w:rPr>
          <w:bCs/>
        </w:rPr>
      </w:pPr>
      <w:r w:rsidRPr="009A165C">
        <w:rPr>
          <w:bCs/>
        </w:rPr>
        <w:t xml:space="preserve">Use the text section to do more than just </w:t>
      </w:r>
      <w:r w:rsidRPr="009A165C">
        <w:rPr>
          <w:bCs/>
          <w:i/>
          <w:iCs/>
        </w:rPr>
        <w:t>repeat</w:t>
      </w:r>
      <w:r w:rsidRPr="009A165C">
        <w:rPr>
          <w:bCs/>
        </w:rPr>
        <w:t xml:space="preserve"> the information in the table in the summary paragraph – use the text section to describe trends and gaps in the table to set up a natural conclusion of how your selected product is able to address those gaps. It may be helpful to organize the section into smaller paragraphs for each specific gap you have identified. </w:t>
      </w:r>
    </w:p>
    <w:p w14:paraId="06418B6A" w14:textId="77777777" w:rsidR="00027200" w:rsidRDefault="00027200" w:rsidP="00274369">
      <w:pPr>
        <w:pStyle w:val="Heading2"/>
        <w:sectPr w:rsidR="00027200" w:rsidSect="00BD6FBB">
          <w:pgSz w:w="12240" w:h="15840"/>
          <w:pgMar w:top="720" w:right="1080" w:bottom="1728" w:left="1080" w:header="720" w:footer="720" w:gutter="0"/>
          <w:cols w:space="720"/>
          <w:docGrid w:linePitch="360"/>
        </w:sectPr>
      </w:pPr>
    </w:p>
    <w:p w14:paraId="1ED33F37" w14:textId="03958ECE"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09"/>
        <w:gridCol w:w="2701"/>
        <w:gridCol w:w="2519"/>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027200">
          <w:pgSz w:w="15840" w:h="12240" w:orient="landscape"/>
          <w:pgMar w:top="1080" w:right="720" w:bottom="1080" w:left="1728"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09151AD3" w:rsidR="00274369" w:rsidRDefault="006A11B0" w:rsidP="00274369">
      <w:pPr>
        <w:pStyle w:val="JHEPBody"/>
      </w:pPr>
      <w:r>
        <w:t>[table]</w:t>
      </w: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77A8BD04" w:rsidR="00535BEC" w:rsidRPr="00D739E1" w:rsidRDefault="002849BA" w:rsidP="00535BEC">
      <w:pPr>
        <w:rPr>
          <w:bCs/>
        </w:rPr>
      </w:pPr>
      <w:r w:rsidRPr="00D739E1">
        <w:rPr>
          <w:bCs/>
        </w:rPr>
        <w:lastRenderedPageBreak/>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70E02507"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so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29AD5872" w14:textId="7E9B0EFB" w:rsidR="00C17335"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D9ABAA8" w14:textId="77777777" w:rsidR="00277DDB" w:rsidRPr="00C17335" w:rsidRDefault="00277DDB" w:rsidP="00C17335">
      <w:pPr>
        <w:pStyle w:val="Body"/>
      </w:pPr>
    </w:p>
    <w:p w14:paraId="5279EB8E" w14:textId="46F2BAC5" w:rsidR="00AB0DA3" w:rsidRDefault="00974719" w:rsidP="001C3B9A">
      <w:pPr>
        <w:pStyle w:val="Heading2"/>
      </w:pPr>
      <w:r>
        <w:t>References</w:t>
      </w:r>
    </w:p>
    <w:p w14:paraId="0664FF2B" w14:textId="77777777" w:rsidR="00165462" w:rsidRPr="00165462" w:rsidRDefault="001F46EE" w:rsidP="00165462">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w:t>
      </w:r>
      <w:r w:rsidR="00AB0DA3" w:rsidRPr="00165462">
        <w:rPr>
          <w:sz w:val="22"/>
          <w:szCs w:val="22"/>
        </w:rPr>
        <w:t xml:space="preserve">National spinal cord injury statistical center: </w:t>
      </w:r>
      <w:hyperlink r:id="rId13" w:history="1">
        <w:r w:rsidR="00AB0DA3" w:rsidRPr="00165462">
          <w:rPr>
            <w:rStyle w:val="Hyperlink"/>
            <w:sz w:val="22"/>
            <w:szCs w:val="22"/>
          </w:rPr>
          <w:t>Facts and Figures 2020</w:t>
        </w:r>
      </w:hyperlink>
    </w:p>
    <w:p w14:paraId="1DCEF5CC" w14:textId="5A8D2590" w:rsidR="00165462" w:rsidRPr="00165462" w:rsidRDefault="00165462" w:rsidP="00165462">
      <w:pPr>
        <w:pStyle w:val="FootnoteText"/>
        <w:numPr>
          <w:ilvl w:val="0"/>
          <w:numId w:val="22"/>
        </w:numPr>
        <w:spacing w:before="120"/>
        <w:ind w:left="360"/>
        <w:rPr>
          <w:sz w:val="22"/>
          <w:szCs w:val="22"/>
        </w:rPr>
      </w:pPr>
      <w:r w:rsidRPr="00165462">
        <w:rPr>
          <w:rFonts w:cs="Tahoma"/>
          <w:sz w:val="22"/>
          <w:szCs w:val="22"/>
        </w:rPr>
        <w:t>lifeexpectancy.org</w:t>
      </w:r>
    </w:p>
    <w:p w14:paraId="0F25BEA6" w14:textId="711716B4" w:rsidR="00B10B19" w:rsidRPr="00165462" w:rsidRDefault="00B10B19" w:rsidP="001C3B9A">
      <w:pPr>
        <w:pStyle w:val="JHEPBody"/>
        <w:numPr>
          <w:ilvl w:val="0"/>
          <w:numId w:val="22"/>
        </w:numPr>
        <w:spacing w:before="120"/>
        <w:ind w:left="360"/>
        <w:rPr>
          <w:sz w:val="22"/>
        </w:rPr>
      </w:pPr>
      <w:r w:rsidRPr="00165462">
        <w:rPr>
          <w:sz w:val="22"/>
        </w:rPr>
        <w:t>SpinalCord.com:</w:t>
      </w:r>
      <w:hyperlink r:id="rId14" w:history="1">
        <w:r w:rsidRPr="00165462">
          <w:rPr>
            <w:rStyle w:val="Hyperlink"/>
            <w:sz w:val="22"/>
          </w:rPr>
          <w:t>4 Things You need to. Know about SCI Medicaid Coverage</w:t>
        </w:r>
      </w:hyperlink>
    </w:p>
    <w:p w14:paraId="74C53E3A"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bCs/>
          <w:sz w:val="22"/>
          <w:szCs w:val="22"/>
        </w:rPr>
        <w:fldChar w:fldCharType="begin"/>
      </w:r>
      <w:r w:rsidRPr="00165462">
        <w:rPr>
          <w:bCs/>
          <w:sz w:val="22"/>
          <w:szCs w:val="22"/>
        </w:rPr>
        <w:instrText xml:space="preserve"> ADDIN ZOTERO_BIBL {"uncited":[],"omitted":[],"custom":[]} CSL_BIBLIOGRAPHY </w:instrText>
      </w:r>
      <w:r w:rsidRPr="00165462">
        <w:rPr>
          <w:bCs/>
          <w:sz w:val="22"/>
          <w:szCs w:val="22"/>
        </w:rPr>
        <w:fldChar w:fldCharType="separate"/>
      </w:r>
      <w:r w:rsidRPr="00165462">
        <w:rPr>
          <w:rFonts w:cs="Tahoma"/>
          <w:sz w:val="22"/>
          <w:szCs w:val="22"/>
        </w:rPr>
        <w:t xml:space="preserve">Desai, Jyaysi, et al. “Molecular Pathophysiology of Gout.” </w:t>
      </w:r>
      <w:r w:rsidRPr="00165462">
        <w:rPr>
          <w:rFonts w:cs="Tahoma"/>
          <w:i/>
          <w:iCs/>
          <w:sz w:val="22"/>
          <w:szCs w:val="22"/>
        </w:rPr>
        <w:t>Trends in Molecular Medicine</w:t>
      </w:r>
      <w:r w:rsidRPr="00165462">
        <w:rPr>
          <w:rFonts w:cs="Tahoma"/>
          <w:sz w:val="22"/>
          <w:szCs w:val="22"/>
        </w:rPr>
        <w:t xml:space="preserve">, vol. 23, no. 8, Aug. 2017, pp. 756–68. </w:t>
      </w:r>
      <w:r w:rsidRPr="00165462">
        <w:rPr>
          <w:rFonts w:cs="Tahoma"/>
          <w:i/>
          <w:iCs/>
          <w:sz w:val="22"/>
          <w:szCs w:val="22"/>
        </w:rPr>
        <w:t>DOI.org (Crossref)</w:t>
      </w:r>
      <w:r w:rsidRPr="00165462">
        <w:rPr>
          <w:rFonts w:cs="Tahoma"/>
          <w:sz w:val="22"/>
          <w:szCs w:val="22"/>
        </w:rPr>
        <w:t>, https://doi.org/10.1016/j.molmed.2017.06.005.</w:t>
      </w:r>
    </w:p>
    <w:p w14:paraId="4DF13E51"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Dukes, Ellen M., et al. “Relationship of American Spinal Injury Association Impairment Scale Grade to Post-Injury Hospitalization and Costs in Thoracic Spinal Cord Injury.” </w:t>
      </w:r>
      <w:r w:rsidRPr="00165462">
        <w:rPr>
          <w:rFonts w:cs="Tahoma"/>
          <w:i/>
          <w:iCs/>
          <w:sz w:val="22"/>
          <w:szCs w:val="22"/>
        </w:rPr>
        <w:t>Neurosurgery</w:t>
      </w:r>
      <w:r w:rsidRPr="00165462">
        <w:rPr>
          <w:rFonts w:cs="Tahoma"/>
          <w:sz w:val="22"/>
          <w:szCs w:val="22"/>
        </w:rPr>
        <w:t xml:space="preserve">, vol. 83, no. 3, Sept. 2018, pp. 445–51. </w:t>
      </w:r>
      <w:r w:rsidRPr="00165462">
        <w:rPr>
          <w:rFonts w:cs="Tahoma"/>
          <w:i/>
          <w:iCs/>
          <w:sz w:val="22"/>
          <w:szCs w:val="22"/>
        </w:rPr>
        <w:t>PubMed Central</w:t>
      </w:r>
      <w:r w:rsidRPr="00165462">
        <w:rPr>
          <w:rFonts w:cs="Tahoma"/>
          <w:sz w:val="22"/>
          <w:szCs w:val="22"/>
        </w:rPr>
        <w:t>, https://doi.org/10.1093/neuros/nyx425.</w:t>
      </w:r>
    </w:p>
    <w:p w14:paraId="3AF07E05"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Jain, Nitin B., et al. “Traumatic Spinal Cord Injury in the United States, 1993–2012.” </w:t>
      </w:r>
      <w:r w:rsidRPr="00165462">
        <w:rPr>
          <w:rFonts w:cs="Tahoma"/>
          <w:i/>
          <w:iCs/>
          <w:sz w:val="22"/>
          <w:szCs w:val="22"/>
        </w:rPr>
        <w:t>JAMA</w:t>
      </w:r>
      <w:r w:rsidRPr="00165462">
        <w:rPr>
          <w:rFonts w:cs="Tahoma"/>
          <w:sz w:val="22"/>
          <w:szCs w:val="22"/>
        </w:rPr>
        <w:t xml:space="preserve">, vol. 313, no. 22, June 2015, pp. 2236–43. </w:t>
      </w:r>
      <w:r w:rsidRPr="00165462">
        <w:rPr>
          <w:rFonts w:cs="Tahoma"/>
          <w:i/>
          <w:iCs/>
          <w:sz w:val="22"/>
          <w:szCs w:val="22"/>
        </w:rPr>
        <w:t>PubMed Central</w:t>
      </w:r>
      <w:r w:rsidRPr="00165462">
        <w:rPr>
          <w:rFonts w:cs="Tahoma"/>
          <w:sz w:val="22"/>
          <w:szCs w:val="22"/>
        </w:rPr>
        <w:t>, https://doi.org/10.1001/jama.2015.6250.</w:t>
      </w:r>
    </w:p>
    <w:p w14:paraId="371F626E"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Norenberg, Michael D., et al. “The Pathology of Human Spinal Cord Injury: Defining the Problems.” </w:t>
      </w:r>
      <w:r w:rsidRPr="00165462">
        <w:rPr>
          <w:rFonts w:cs="Tahoma"/>
          <w:i/>
          <w:iCs/>
          <w:sz w:val="22"/>
          <w:szCs w:val="22"/>
        </w:rPr>
        <w:t>Journal of Neurotrauma</w:t>
      </w:r>
      <w:r w:rsidRPr="00165462">
        <w:rPr>
          <w:rFonts w:cs="Tahoma"/>
          <w:sz w:val="22"/>
          <w:szCs w:val="22"/>
        </w:rPr>
        <w:t xml:space="preserve">, vol. 21, no. 4, Apr. 2004, pp. 429–40. </w:t>
      </w:r>
      <w:r w:rsidRPr="00165462">
        <w:rPr>
          <w:rFonts w:cs="Tahoma"/>
          <w:i/>
          <w:iCs/>
          <w:sz w:val="22"/>
          <w:szCs w:val="22"/>
        </w:rPr>
        <w:t>DOI.org (Crossref)</w:t>
      </w:r>
      <w:r w:rsidRPr="00165462">
        <w:rPr>
          <w:rFonts w:cs="Tahoma"/>
          <w:sz w:val="22"/>
          <w:szCs w:val="22"/>
        </w:rPr>
        <w:t>, https://doi.org/10.1089/089771504323004575.</w:t>
      </w:r>
    </w:p>
    <w:p w14:paraId="17360E2D" w14:textId="67E3A55D" w:rsidR="00270D5F" w:rsidRPr="00551058" w:rsidRDefault="00004CA0" w:rsidP="001C3B9A">
      <w:pPr>
        <w:spacing w:before="120"/>
        <w:ind w:left="-360"/>
        <w:rPr>
          <w:bCs/>
        </w:rPr>
      </w:pPr>
      <w:r w:rsidRPr="00165462">
        <w:rPr>
          <w:bCs/>
          <w:sz w:val="22"/>
          <w:szCs w:val="22"/>
        </w:rPr>
        <w:fldChar w:fldCharType="end"/>
      </w:r>
    </w:p>
    <w:sectPr w:rsidR="00270D5F" w:rsidRPr="00551058"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94AFE" w14:textId="77777777" w:rsidR="009D418B" w:rsidRDefault="009D418B" w:rsidP="00B657A0">
      <w:r>
        <w:separator/>
      </w:r>
    </w:p>
  </w:endnote>
  <w:endnote w:type="continuationSeparator" w:id="0">
    <w:p w14:paraId="441D8042" w14:textId="77777777" w:rsidR="009D418B" w:rsidRDefault="009D418B" w:rsidP="00B657A0">
      <w:r>
        <w:continuationSeparator/>
      </w:r>
    </w:p>
  </w:endnote>
  <w:endnote w:type="continuationNotice" w:id="1">
    <w:p w14:paraId="156B497F" w14:textId="77777777" w:rsidR="009D418B" w:rsidRDefault="009D4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9EC58" w14:textId="77777777" w:rsidR="009D418B" w:rsidRDefault="009D418B" w:rsidP="00B657A0">
      <w:r>
        <w:separator/>
      </w:r>
    </w:p>
  </w:footnote>
  <w:footnote w:type="continuationSeparator" w:id="0">
    <w:p w14:paraId="572D82D4" w14:textId="77777777" w:rsidR="009D418B" w:rsidRDefault="009D418B" w:rsidP="00B657A0">
      <w:r>
        <w:continuationSeparator/>
      </w:r>
    </w:p>
  </w:footnote>
  <w:footnote w:type="continuationNotice" w:id="1">
    <w:p w14:paraId="2264088E" w14:textId="77777777" w:rsidR="009D418B" w:rsidRDefault="009D41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E567" w14:textId="7082C9C0" w:rsidR="00DD15DF" w:rsidRDefault="00B6644C" w:rsidP="00401D49">
    <w:pPr>
      <w:pStyle w:val="Header"/>
      <w:tabs>
        <w:tab w:val="clear" w:pos="8640"/>
        <w:tab w:val="right" w:pos="10080"/>
      </w:tabs>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r w:rsidRPr="00B6644C">
      <w:rPr>
        <w:b/>
        <w:bCs/>
        <w:sz w:val="16"/>
        <w:szCs w:val="16"/>
      </w:rPr>
      <w:t xml:space="preserve"> </w:t>
    </w:r>
  </w:p>
  <w:p w14:paraId="6482B512" w14:textId="77777777" w:rsidR="006F59A9" w:rsidRPr="00B6644C" w:rsidRDefault="006F59A9" w:rsidP="00401D49">
    <w:pPr>
      <w:pStyle w:val="Header"/>
      <w:tabs>
        <w:tab w:val="clear" w:pos="8640"/>
        <w:tab w:val="right" w:pos="10080"/>
      </w:tabs>
      <w:rPr>
        <w:b/>
        <w:bCs/>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B86D5FC"/>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C3687E4"/>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07B52"/>
    <w:multiLevelType w:val="hybridMultilevel"/>
    <w:tmpl w:val="4948D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1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9"/>
  </w:num>
  <w:num w:numId="2" w16cid:durableId="591012818">
    <w:abstractNumId w:val="15"/>
  </w:num>
  <w:num w:numId="3" w16cid:durableId="179856923">
    <w:abstractNumId w:val="3"/>
  </w:num>
  <w:num w:numId="4" w16cid:durableId="3915848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5"/>
  </w:num>
  <w:num w:numId="7" w16cid:durableId="2132432314">
    <w:abstractNumId w:val="2"/>
  </w:num>
  <w:num w:numId="8" w16cid:durableId="1193693858">
    <w:abstractNumId w:val="1"/>
  </w:num>
  <w:num w:numId="9" w16cid:durableId="803236281">
    <w:abstractNumId w:val="11"/>
  </w:num>
  <w:num w:numId="10" w16cid:durableId="1214929145">
    <w:abstractNumId w:val="11"/>
  </w:num>
  <w:num w:numId="11" w16cid:durableId="1534925248">
    <w:abstractNumId w:val="12"/>
  </w:num>
  <w:num w:numId="12" w16cid:durableId="1204631859">
    <w:abstractNumId w:val="10"/>
  </w:num>
  <w:num w:numId="13" w16cid:durableId="1999653488">
    <w:abstractNumId w:val="6"/>
  </w:num>
  <w:num w:numId="14" w16cid:durableId="1948655657">
    <w:abstractNumId w:val="18"/>
  </w:num>
  <w:num w:numId="15" w16cid:durableId="1426876100">
    <w:abstractNumId w:val="13"/>
  </w:num>
  <w:num w:numId="16" w16cid:durableId="148448031">
    <w:abstractNumId w:val="7"/>
  </w:num>
  <w:num w:numId="17" w16cid:durableId="432239574">
    <w:abstractNumId w:val="19"/>
  </w:num>
  <w:num w:numId="18" w16cid:durableId="1902785539">
    <w:abstractNumId w:val="4"/>
  </w:num>
  <w:num w:numId="19" w16cid:durableId="2016347357">
    <w:abstractNumId w:val="8"/>
  </w:num>
  <w:num w:numId="20" w16cid:durableId="1604259620">
    <w:abstractNumId w:val="17"/>
  </w:num>
  <w:num w:numId="21" w16cid:durableId="1341661621">
    <w:abstractNumId w:val="16"/>
  </w:num>
  <w:num w:numId="22" w16cid:durableId="788007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712D"/>
    <w:rsid w:val="00050DA8"/>
    <w:rsid w:val="00053B22"/>
    <w:rsid w:val="00057001"/>
    <w:rsid w:val="00057654"/>
    <w:rsid w:val="00061762"/>
    <w:rsid w:val="0006224F"/>
    <w:rsid w:val="0006400B"/>
    <w:rsid w:val="00070C64"/>
    <w:rsid w:val="000806C2"/>
    <w:rsid w:val="00082C06"/>
    <w:rsid w:val="000A2165"/>
    <w:rsid w:val="000A6413"/>
    <w:rsid w:val="000A64D4"/>
    <w:rsid w:val="000B452E"/>
    <w:rsid w:val="000B4CB2"/>
    <w:rsid w:val="000C1E44"/>
    <w:rsid w:val="000C64D8"/>
    <w:rsid w:val="000E3018"/>
    <w:rsid w:val="000E4D0E"/>
    <w:rsid w:val="000F5BA9"/>
    <w:rsid w:val="0010099F"/>
    <w:rsid w:val="00101D0A"/>
    <w:rsid w:val="00112196"/>
    <w:rsid w:val="0011427A"/>
    <w:rsid w:val="00114746"/>
    <w:rsid w:val="001153AF"/>
    <w:rsid w:val="00120765"/>
    <w:rsid w:val="00121359"/>
    <w:rsid w:val="0012408D"/>
    <w:rsid w:val="001308D6"/>
    <w:rsid w:val="00133B5F"/>
    <w:rsid w:val="0013522D"/>
    <w:rsid w:val="00135AFF"/>
    <w:rsid w:val="00142E4C"/>
    <w:rsid w:val="00163066"/>
    <w:rsid w:val="00164555"/>
    <w:rsid w:val="00165462"/>
    <w:rsid w:val="00166392"/>
    <w:rsid w:val="00166E18"/>
    <w:rsid w:val="00167B74"/>
    <w:rsid w:val="00173B03"/>
    <w:rsid w:val="00186157"/>
    <w:rsid w:val="0018724C"/>
    <w:rsid w:val="001914DC"/>
    <w:rsid w:val="00195531"/>
    <w:rsid w:val="00197A73"/>
    <w:rsid w:val="001A656F"/>
    <w:rsid w:val="001B287C"/>
    <w:rsid w:val="001B4B77"/>
    <w:rsid w:val="001C3B9A"/>
    <w:rsid w:val="001C7A67"/>
    <w:rsid w:val="001D05A1"/>
    <w:rsid w:val="001D134D"/>
    <w:rsid w:val="001D5A89"/>
    <w:rsid w:val="001E2772"/>
    <w:rsid w:val="001E453C"/>
    <w:rsid w:val="001E62E8"/>
    <w:rsid w:val="001E6BAB"/>
    <w:rsid w:val="001F1385"/>
    <w:rsid w:val="001F46EE"/>
    <w:rsid w:val="00200922"/>
    <w:rsid w:val="00213E68"/>
    <w:rsid w:val="0021559A"/>
    <w:rsid w:val="00215D9D"/>
    <w:rsid w:val="00221859"/>
    <w:rsid w:val="00227871"/>
    <w:rsid w:val="00233E85"/>
    <w:rsid w:val="00234800"/>
    <w:rsid w:val="00234F4F"/>
    <w:rsid w:val="00243F95"/>
    <w:rsid w:val="00257BF3"/>
    <w:rsid w:val="00264668"/>
    <w:rsid w:val="00270D49"/>
    <w:rsid w:val="00270D5F"/>
    <w:rsid w:val="00274369"/>
    <w:rsid w:val="00277DDB"/>
    <w:rsid w:val="00281D3C"/>
    <w:rsid w:val="002849BA"/>
    <w:rsid w:val="00286FCE"/>
    <w:rsid w:val="002A1561"/>
    <w:rsid w:val="002A28CC"/>
    <w:rsid w:val="002A3ED6"/>
    <w:rsid w:val="002A53A6"/>
    <w:rsid w:val="002B1421"/>
    <w:rsid w:val="002B4B79"/>
    <w:rsid w:val="002C1D5E"/>
    <w:rsid w:val="002C7F03"/>
    <w:rsid w:val="002D1199"/>
    <w:rsid w:val="002D4C78"/>
    <w:rsid w:val="002D5200"/>
    <w:rsid w:val="002D5742"/>
    <w:rsid w:val="002D78E1"/>
    <w:rsid w:val="002E6779"/>
    <w:rsid w:val="002F0A0D"/>
    <w:rsid w:val="002F4F5F"/>
    <w:rsid w:val="002F7AE7"/>
    <w:rsid w:val="00302A2C"/>
    <w:rsid w:val="00305298"/>
    <w:rsid w:val="0031358D"/>
    <w:rsid w:val="003214CE"/>
    <w:rsid w:val="0032283D"/>
    <w:rsid w:val="00325CDD"/>
    <w:rsid w:val="00326BD3"/>
    <w:rsid w:val="00330B7C"/>
    <w:rsid w:val="003440C1"/>
    <w:rsid w:val="0034779A"/>
    <w:rsid w:val="00352D15"/>
    <w:rsid w:val="00354968"/>
    <w:rsid w:val="00361909"/>
    <w:rsid w:val="00361E35"/>
    <w:rsid w:val="00371AB4"/>
    <w:rsid w:val="00373E0B"/>
    <w:rsid w:val="00385282"/>
    <w:rsid w:val="00390509"/>
    <w:rsid w:val="00394D40"/>
    <w:rsid w:val="00395CD2"/>
    <w:rsid w:val="003A39B6"/>
    <w:rsid w:val="003A4941"/>
    <w:rsid w:val="003B492B"/>
    <w:rsid w:val="003B55EE"/>
    <w:rsid w:val="003C3185"/>
    <w:rsid w:val="003D1CC2"/>
    <w:rsid w:val="003E0F1B"/>
    <w:rsid w:val="003F3C3E"/>
    <w:rsid w:val="003F7429"/>
    <w:rsid w:val="00400168"/>
    <w:rsid w:val="00401D49"/>
    <w:rsid w:val="00404F22"/>
    <w:rsid w:val="00426977"/>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90F68"/>
    <w:rsid w:val="004920A8"/>
    <w:rsid w:val="004A07BA"/>
    <w:rsid w:val="004A5E98"/>
    <w:rsid w:val="004A73EA"/>
    <w:rsid w:val="004B411F"/>
    <w:rsid w:val="004C4152"/>
    <w:rsid w:val="004D288E"/>
    <w:rsid w:val="004D2C44"/>
    <w:rsid w:val="004D45A4"/>
    <w:rsid w:val="004E5363"/>
    <w:rsid w:val="004E7B46"/>
    <w:rsid w:val="004F4DC9"/>
    <w:rsid w:val="005012FA"/>
    <w:rsid w:val="0050524A"/>
    <w:rsid w:val="0051604D"/>
    <w:rsid w:val="0051677F"/>
    <w:rsid w:val="0052634B"/>
    <w:rsid w:val="005272B8"/>
    <w:rsid w:val="00530CE3"/>
    <w:rsid w:val="00530FE4"/>
    <w:rsid w:val="00531115"/>
    <w:rsid w:val="00532FEF"/>
    <w:rsid w:val="00535BEC"/>
    <w:rsid w:val="00541D64"/>
    <w:rsid w:val="005448CC"/>
    <w:rsid w:val="00551058"/>
    <w:rsid w:val="00551497"/>
    <w:rsid w:val="0056064F"/>
    <w:rsid w:val="00571D0C"/>
    <w:rsid w:val="005730F3"/>
    <w:rsid w:val="00576764"/>
    <w:rsid w:val="00576936"/>
    <w:rsid w:val="005800F4"/>
    <w:rsid w:val="0058650F"/>
    <w:rsid w:val="00586F7D"/>
    <w:rsid w:val="00590C85"/>
    <w:rsid w:val="00591DBC"/>
    <w:rsid w:val="00596DCD"/>
    <w:rsid w:val="00597ED6"/>
    <w:rsid w:val="005A7269"/>
    <w:rsid w:val="005A7F09"/>
    <w:rsid w:val="005B2C71"/>
    <w:rsid w:val="005B6A4F"/>
    <w:rsid w:val="005B6F74"/>
    <w:rsid w:val="005C39C9"/>
    <w:rsid w:val="005D015A"/>
    <w:rsid w:val="005D4D53"/>
    <w:rsid w:val="005D52DF"/>
    <w:rsid w:val="005D6CC6"/>
    <w:rsid w:val="005E1094"/>
    <w:rsid w:val="005E3547"/>
    <w:rsid w:val="005E3B7F"/>
    <w:rsid w:val="005F1607"/>
    <w:rsid w:val="005F1878"/>
    <w:rsid w:val="005F3322"/>
    <w:rsid w:val="005F5C75"/>
    <w:rsid w:val="0060043C"/>
    <w:rsid w:val="00606C1B"/>
    <w:rsid w:val="00607DB4"/>
    <w:rsid w:val="00607FAD"/>
    <w:rsid w:val="00611842"/>
    <w:rsid w:val="00616389"/>
    <w:rsid w:val="006262F8"/>
    <w:rsid w:val="00631DB9"/>
    <w:rsid w:val="00637550"/>
    <w:rsid w:val="00645CFC"/>
    <w:rsid w:val="00647133"/>
    <w:rsid w:val="00654D6D"/>
    <w:rsid w:val="006554C7"/>
    <w:rsid w:val="00665250"/>
    <w:rsid w:val="00665811"/>
    <w:rsid w:val="00671488"/>
    <w:rsid w:val="00676BF0"/>
    <w:rsid w:val="00677343"/>
    <w:rsid w:val="00682F78"/>
    <w:rsid w:val="006830EF"/>
    <w:rsid w:val="00683BF2"/>
    <w:rsid w:val="0068539E"/>
    <w:rsid w:val="00692C82"/>
    <w:rsid w:val="006A11B0"/>
    <w:rsid w:val="006B46C8"/>
    <w:rsid w:val="006B7A31"/>
    <w:rsid w:val="006C0E35"/>
    <w:rsid w:val="006C1B0D"/>
    <w:rsid w:val="006D05FF"/>
    <w:rsid w:val="006D6FA5"/>
    <w:rsid w:val="006D7727"/>
    <w:rsid w:val="006E340F"/>
    <w:rsid w:val="006E6CBE"/>
    <w:rsid w:val="006F17F3"/>
    <w:rsid w:val="006F59A9"/>
    <w:rsid w:val="006F6478"/>
    <w:rsid w:val="0070184A"/>
    <w:rsid w:val="00712BC3"/>
    <w:rsid w:val="00712E49"/>
    <w:rsid w:val="007176BB"/>
    <w:rsid w:val="007204BA"/>
    <w:rsid w:val="007211E2"/>
    <w:rsid w:val="007217F7"/>
    <w:rsid w:val="00721831"/>
    <w:rsid w:val="007228F1"/>
    <w:rsid w:val="00724C85"/>
    <w:rsid w:val="00730FD9"/>
    <w:rsid w:val="00735565"/>
    <w:rsid w:val="00740841"/>
    <w:rsid w:val="0074555B"/>
    <w:rsid w:val="00745EB2"/>
    <w:rsid w:val="00746457"/>
    <w:rsid w:val="00746BEA"/>
    <w:rsid w:val="007539B9"/>
    <w:rsid w:val="007610FD"/>
    <w:rsid w:val="0076194B"/>
    <w:rsid w:val="0076569D"/>
    <w:rsid w:val="007708A3"/>
    <w:rsid w:val="00772BDF"/>
    <w:rsid w:val="00773149"/>
    <w:rsid w:val="00792AA1"/>
    <w:rsid w:val="007957AE"/>
    <w:rsid w:val="007A11CA"/>
    <w:rsid w:val="007B4431"/>
    <w:rsid w:val="007B5FF2"/>
    <w:rsid w:val="007D40FA"/>
    <w:rsid w:val="007D7210"/>
    <w:rsid w:val="007E342D"/>
    <w:rsid w:val="007E7E4D"/>
    <w:rsid w:val="007F36E1"/>
    <w:rsid w:val="007F6BD5"/>
    <w:rsid w:val="007F7D1C"/>
    <w:rsid w:val="00806525"/>
    <w:rsid w:val="00807EC5"/>
    <w:rsid w:val="00811526"/>
    <w:rsid w:val="00817BCB"/>
    <w:rsid w:val="00823809"/>
    <w:rsid w:val="00833E3B"/>
    <w:rsid w:val="008425D1"/>
    <w:rsid w:val="00843423"/>
    <w:rsid w:val="0084541D"/>
    <w:rsid w:val="00854596"/>
    <w:rsid w:val="0085662B"/>
    <w:rsid w:val="008574B6"/>
    <w:rsid w:val="00857FA7"/>
    <w:rsid w:val="008600BF"/>
    <w:rsid w:val="00860536"/>
    <w:rsid w:val="00862393"/>
    <w:rsid w:val="00862E2B"/>
    <w:rsid w:val="0087391D"/>
    <w:rsid w:val="00873957"/>
    <w:rsid w:val="00884C18"/>
    <w:rsid w:val="00891790"/>
    <w:rsid w:val="008A3268"/>
    <w:rsid w:val="008A3B7E"/>
    <w:rsid w:val="008A5518"/>
    <w:rsid w:val="008B1806"/>
    <w:rsid w:val="008B7517"/>
    <w:rsid w:val="008D69E8"/>
    <w:rsid w:val="008F1475"/>
    <w:rsid w:val="008F1BBC"/>
    <w:rsid w:val="008F4047"/>
    <w:rsid w:val="008F6C0C"/>
    <w:rsid w:val="00900886"/>
    <w:rsid w:val="00900920"/>
    <w:rsid w:val="00901982"/>
    <w:rsid w:val="009039C7"/>
    <w:rsid w:val="009065D5"/>
    <w:rsid w:val="00923B1B"/>
    <w:rsid w:val="0092485D"/>
    <w:rsid w:val="009407F4"/>
    <w:rsid w:val="00944BE1"/>
    <w:rsid w:val="00945D93"/>
    <w:rsid w:val="009549B9"/>
    <w:rsid w:val="009551D4"/>
    <w:rsid w:val="00955CB3"/>
    <w:rsid w:val="00955D45"/>
    <w:rsid w:val="009573F6"/>
    <w:rsid w:val="009655D2"/>
    <w:rsid w:val="00971BC3"/>
    <w:rsid w:val="00974719"/>
    <w:rsid w:val="00994FA8"/>
    <w:rsid w:val="009A017A"/>
    <w:rsid w:val="009A165C"/>
    <w:rsid w:val="009B3375"/>
    <w:rsid w:val="009B57C6"/>
    <w:rsid w:val="009B7B5B"/>
    <w:rsid w:val="009C27FA"/>
    <w:rsid w:val="009C2987"/>
    <w:rsid w:val="009D13C5"/>
    <w:rsid w:val="009D418B"/>
    <w:rsid w:val="009D5022"/>
    <w:rsid w:val="009D6626"/>
    <w:rsid w:val="009E13FB"/>
    <w:rsid w:val="009E18B4"/>
    <w:rsid w:val="009E1C63"/>
    <w:rsid w:val="00A0108A"/>
    <w:rsid w:val="00A04AD7"/>
    <w:rsid w:val="00A15BDD"/>
    <w:rsid w:val="00A17305"/>
    <w:rsid w:val="00A24EFB"/>
    <w:rsid w:val="00A34DA6"/>
    <w:rsid w:val="00A44CDC"/>
    <w:rsid w:val="00A4664A"/>
    <w:rsid w:val="00A654DD"/>
    <w:rsid w:val="00A661AF"/>
    <w:rsid w:val="00A6627B"/>
    <w:rsid w:val="00A754AB"/>
    <w:rsid w:val="00A7775B"/>
    <w:rsid w:val="00AA119B"/>
    <w:rsid w:val="00AA202B"/>
    <w:rsid w:val="00AA2548"/>
    <w:rsid w:val="00AA7B38"/>
    <w:rsid w:val="00AB0DA3"/>
    <w:rsid w:val="00AB3639"/>
    <w:rsid w:val="00AB586D"/>
    <w:rsid w:val="00AB5B69"/>
    <w:rsid w:val="00AC32EA"/>
    <w:rsid w:val="00AC6117"/>
    <w:rsid w:val="00AD1558"/>
    <w:rsid w:val="00AF0151"/>
    <w:rsid w:val="00B0788C"/>
    <w:rsid w:val="00B10B19"/>
    <w:rsid w:val="00B12241"/>
    <w:rsid w:val="00B12D09"/>
    <w:rsid w:val="00B1488B"/>
    <w:rsid w:val="00B26C43"/>
    <w:rsid w:val="00B30A1C"/>
    <w:rsid w:val="00B30E39"/>
    <w:rsid w:val="00B32730"/>
    <w:rsid w:val="00B4237E"/>
    <w:rsid w:val="00B4678E"/>
    <w:rsid w:val="00B51CAB"/>
    <w:rsid w:val="00B63A1C"/>
    <w:rsid w:val="00B657A0"/>
    <w:rsid w:val="00B6644C"/>
    <w:rsid w:val="00B71413"/>
    <w:rsid w:val="00B756D6"/>
    <w:rsid w:val="00B76433"/>
    <w:rsid w:val="00B76D73"/>
    <w:rsid w:val="00B83268"/>
    <w:rsid w:val="00B929AF"/>
    <w:rsid w:val="00B9364C"/>
    <w:rsid w:val="00BA4AF0"/>
    <w:rsid w:val="00BC6A7E"/>
    <w:rsid w:val="00BD6FBB"/>
    <w:rsid w:val="00BD72E9"/>
    <w:rsid w:val="00BF1759"/>
    <w:rsid w:val="00BF7C8E"/>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3273"/>
    <w:rsid w:val="00C741E2"/>
    <w:rsid w:val="00C76ED0"/>
    <w:rsid w:val="00C84C52"/>
    <w:rsid w:val="00C86645"/>
    <w:rsid w:val="00C86EC9"/>
    <w:rsid w:val="00C9133F"/>
    <w:rsid w:val="00C91504"/>
    <w:rsid w:val="00C915BE"/>
    <w:rsid w:val="00C9645A"/>
    <w:rsid w:val="00CA07CB"/>
    <w:rsid w:val="00CA2BB1"/>
    <w:rsid w:val="00CA7B90"/>
    <w:rsid w:val="00CC516A"/>
    <w:rsid w:val="00CE1935"/>
    <w:rsid w:val="00CE19A8"/>
    <w:rsid w:val="00CF3906"/>
    <w:rsid w:val="00D062D5"/>
    <w:rsid w:val="00D1051A"/>
    <w:rsid w:val="00D135B7"/>
    <w:rsid w:val="00D162A1"/>
    <w:rsid w:val="00D2614C"/>
    <w:rsid w:val="00D33E93"/>
    <w:rsid w:val="00D351F1"/>
    <w:rsid w:val="00D35CE5"/>
    <w:rsid w:val="00D410A3"/>
    <w:rsid w:val="00D45C8E"/>
    <w:rsid w:val="00D46AFF"/>
    <w:rsid w:val="00D5304B"/>
    <w:rsid w:val="00D575D9"/>
    <w:rsid w:val="00D6427A"/>
    <w:rsid w:val="00D6563E"/>
    <w:rsid w:val="00D67489"/>
    <w:rsid w:val="00D739E1"/>
    <w:rsid w:val="00D759E7"/>
    <w:rsid w:val="00D777F8"/>
    <w:rsid w:val="00D81B25"/>
    <w:rsid w:val="00D82F74"/>
    <w:rsid w:val="00D83402"/>
    <w:rsid w:val="00D8775C"/>
    <w:rsid w:val="00D97EE6"/>
    <w:rsid w:val="00DA1735"/>
    <w:rsid w:val="00DA1E60"/>
    <w:rsid w:val="00DA2185"/>
    <w:rsid w:val="00DB0621"/>
    <w:rsid w:val="00DD05AB"/>
    <w:rsid w:val="00DD0642"/>
    <w:rsid w:val="00DD15DF"/>
    <w:rsid w:val="00DD1AA7"/>
    <w:rsid w:val="00DD2DB1"/>
    <w:rsid w:val="00DD3ED7"/>
    <w:rsid w:val="00DD4975"/>
    <w:rsid w:val="00DD5EA9"/>
    <w:rsid w:val="00DD6A15"/>
    <w:rsid w:val="00DD7A4A"/>
    <w:rsid w:val="00DE28EB"/>
    <w:rsid w:val="00DF1464"/>
    <w:rsid w:val="00DF6DFA"/>
    <w:rsid w:val="00E01888"/>
    <w:rsid w:val="00E0739F"/>
    <w:rsid w:val="00E07F77"/>
    <w:rsid w:val="00E113BD"/>
    <w:rsid w:val="00E15F5D"/>
    <w:rsid w:val="00E17716"/>
    <w:rsid w:val="00E242DA"/>
    <w:rsid w:val="00E262AC"/>
    <w:rsid w:val="00E33606"/>
    <w:rsid w:val="00E3475C"/>
    <w:rsid w:val="00E35B7B"/>
    <w:rsid w:val="00E42006"/>
    <w:rsid w:val="00E42B96"/>
    <w:rsid w:val="00E61926"/>
    <w:rsid w:val="00E71D45"/>
    <w:rsid w:val="00E76600"/>
    <w:rsid w:val="00E81074"/>
    <w:rsid w:val="00E925DF"/>
    <w:rsid w:val="00E96AA1"/>
    <w:rsid w:val="00EA33CE"/>
    <w:rsid w:val="00EB44C2"/>
    <w:rsid w:val="00EB5ECE"/>
    <w:rsid w:val="00EC3E0C"/>
    <w:rsid w:val="00EC4B4D"/>
    <w:rsid w:val="00EC4C7F"/>
    <w:rsid w:val="00ED63AB"/>
    <w:rsid w:val="00EE033B"/>
    <w:rsid w:val="00EE0771"/>
    <w:rsid w:val="00EE3203"/>
    <w:rsid w:val="00EF1726"/>
    <w:rsid w:val="00F10F8E"/>
    <w:rsid w:val="00F1522E"/>
    <w:rsid w:val="00F162AE"/>
    <w:rsid w:val="00F17F33"/>
    <w:rsid w:val="00F20B42"/>
    <w:rsid w:val="00F22299"/>
    <w:rsid w:val="00F2455A"/>
    <w:rsid w:val="00F31AA8"/>
    <w:rsid w:val="00F33895"/>
    <w:rsid w:val="00F3538F"/>
    <w:rsid w:val="00F55F29"/>
    <w:rsid w:val="00F57C2E"/>
    <w:rsid w:val="00F60386"/>
    <w:rsid w:val="00F62CFF"/>
    <w:rsid w:val="00F63A38"/>
    <w:rsid w:val="00F710BC"/>
    <w:rsid w:val="00F727D6"/>
    <w:rsid w:val="00F8258D"/>
    <w:rsid w:val="00F876F3"/>
    <w:rsid w:val="00F95EB6"/>
    <w:rsid w:val="00FA181F"/>
    <w:rsid w:val="00FB2E7F"/>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337</TotalTime>
  <Pages>9</Pages>
  <Words>4222</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28238</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249</cp:revision>
  <dcterms:created xsi:type="dcterms:W3CDTF">2022-07-26T21:22:00Z</dcterms:created>
  <dcterms:modified xsi:type="dcterms:W3CDTF">2022-10-18T14:00:00Z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id="qNsJo9Uf"/&gt;&lt;style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