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3B7C13C2"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Thin alpha helix fibrils, found in intervertebral disks </w:t>
      </w:r>
      <w:r w:rsidR="00485623" w:rsidRPr="00485623">
        <w:rPr>
          <w:rFonts w:ascii="Tahoma" w:hAnsi="Tahoma" w:cs="Tahoma"/>
          <w:b/>
          <w:bCs/>
          <w:color w:val="4472C4" w:themeColor="accent1"/>
        </w:rPr>
        <w:t>microfibril</w:t>
      </w:r>
    </w:p>
    <w:p w14:paraId="6377D750" w14:textId="3D1A37EF"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43C96031" w14:textId="39B854BF"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 xml:space="preserve">increasing their sugar content </w:t>
      </w:r>
      <w:r w:rsidR="00810748" w:rsidRPr="00810748">
        <w:rPr>
          <w:rFonts w:ascii="Tahoma" w:hAnsi="Tahoma" w:cs="Tahoma"/>
          <w:b/>
          <w:bCs/>
          <w:color w:val="4472C4" w:themeColor="accent1"/>
        </w:rPr>
        <w:t>glycoprotein</w:t>
      </w:r>
    </w:p>
    <w:p w14:paraId="1DC2E7CA" w14:textId="57893A5C" w:rsidR="008E4FB1" w:rsidRPr="00D13A2F" w:rsidRDefault="008E4FB1" w:rsidP="008E4FB1">
      <w:pPr>
        <w:pStyle w:val="NormalWeb"/>
        <w:numPr>
          <w:ilvl w:val="0"/>
          <w:numId w:val="36"/>
        </w:numPr>
        <w:rPr>
          <w:rFonts w:ascii="Tahoma" w:hAnsi="Tahoma" w:cs="Tahoma"/>
          <w:b/>
          <w:bCs/>
          <w:color w:val="4472C4" w:themeColor="accent1"/>
        </w:rPr>
      </w:pPr>
      <w:r w:rsidRPr="00770A60">
        <w:rPr>
          <w:rFonts w:ascii="Tahoma" w:hAnsi="Tahoma" w:cs="Tahoma"/>
          <w:color w:val="000000" w:themeColor="text1"/>
        </w:rPr>
        <w:t>An adhesion that utilizes integrins and conn</w:t>
      </w:r>
      <w:r w:rsidRPr="008E4FB1">
        <w:rPr>
          <w:rFonts w:ascii="Tahoma" w:hAnsi="Tahoma" w:cs="Tahoma"/>
        </w:rPr>
        <w:t xml:space="preserve">ects to the actin cytoskeleton </w:t>
      </w:r>
      <w:r w:rsidR="00D13A2F" w:rsidRPr="00D13A2F">
        <w:rPr>
          <w:rFonts w:ascii="Tahoma" w:hAnsi="Tahoma" w:cs="Tahoma"/>
          <w:b/>
          <w:bCs/>
          <w:color w:val="4472C4" w:themeColor="accent1"/>
        </w:rPr>
        <w:t>focal adhesion</w:t>
      </w:r>
    </w:p>
    <w:p w14:paraId="3670DFD0" w14:textId="4C2C9EE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3612DA22" w14:textId="3CC0B571" w:rsidR="00000D68" w:rsidRDefault="00000D68" w:rsidP="00000D68">
      <w:pPr>
        <w:rPr>
          <w:rFonts w:ascii="Tahoma" w:hAnsi="Tahoma" w:cs="Tahoma"/>
        </w:rPr>
      </w:pPr>
      <w:r>
        <w:rPr>
          <w:rFonts w:ascii="Tahoma" w:hAnsi="Tahoma" w:cs="Tahoma"/>
        </w:rPr>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w:t>
      </w:r>
      <w:r w:rsidR="0061792F">
        <w:rPr>
          <w:rFonts w:ascii="Tahoma" w:hAnsi="Tahoma" w:cs="Tahoma"/>
        </w:rPr>
        <w:lastRenderedPageBreak/>
        <w:t xml:space="preserve">recommend 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p>
    <w:p w14:paraId="50AE6770" w14:textId="6F754015" w:rsidR="007F50EE" w:rsidRDefault="007F50EE" w:rsidP="00000D68">
      <w:pPr>
        <w:rPr>
          <w:rFonts w:ascii="Tahoma" w:hAnsi="Tahoma" w:cs="Tahoma"/>
        </w:rPr>
      </w:pPr>
    </w:p>
    <w:p w14:paraId="0028556D" w14:textId="38F52029" w:rsidR="00C21687" w:rsidRDefault="000E1514" w:rsidP="00000D68">
      <w:pPr>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p>
    <w:p w14:paraId="04B1DA5D" w14:textId="2B0C7406" w:rsidR="00000D68" w:rsidRDefault="00291F5B" w:rsidP="008E4FB1">
      <w:pPr>
        <w:rPr>
          <w:rFonts w:ascii="Tahoma" w:hAnsi="Tahoma" w:cs="Tahoma"/>
        </w:rPr>
      </w:pPr>
      <w:r>
        <w:rPr>
          <w:rFonts w:ascii="Tahoma" w:hAnsi="Tahoma" w:cs="Tahoma"/>
        </w:rPr>
        <w:t>In</w:t>
      </w:r>
      <w:r w:rsidR="00AA4E15">
        <w:rPr>
          <w:rFonts w:ascii="Tahoma" w:hAnsi="Tahoma" w:cs="Tahoma"/>
        </w:rPr>
        <w:t xml:space="preserve"> chemotaxis research, </w:t>
      </w:r>
      <w:proofErr w:type="spellStart"/>
      <w:r>
        <w:rPr>
          <w:rFonts w:ascii="Tahoma" w:hAnsi="Tahoma" w:cs="Tahoma"/>
        </w:rPr>
        <w:t>Kithapalli</w:t>
      </w:r>
      <w:proofErr w:type="spellEnd"/>
      <w:r>
        <w:rPr>
          <w:rFonts w:ascii="Tahoma" w:hAnsi="Tahoma" w:cs="Tahoma"/>
        </w:rPr>
        <w:t xml:space="preserve"> et al., </w:t>
      </w:r>
      <w:r w:rsidR="00B47675">
        <w:rPr>
          <w:rFonts w:ascii="Tahoma" w:hAnsi="Tahoma" w:cs="Tahoma"/>
        </w:rPr>
        <w:t xml:space="preserve">have </w:t>
      </w:r>
      <w:r>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Similarly, Webber et al. </w:t>
      </w:r>
      <w:r w:rsidR="00B47675">
        <w:rPr>
          <w:rFonts w:ascii="Tahoma" w:hAnsi="Tahoma" w:cs="Tahoma"/>
        </w:rPr>
        <w:t xml:space="preserve">have </w:t>
      </w:r>
      <w:r w:rsidR="00094045">
        <w:rPr>
          <w:rFonts w:ascii="Tahoma" w:hAnsi="Tahoma" w:cs="Tahoma"/>
        </w:rPr>
        <w:t>prevented neurite growth in the wrong direction.</w:t>
      </w:r>
      <w:r w:rsidR="009169B0">
        <w:rPr>
          <w:rFonts w:ascii="Tahoma" w:hAnsi="Tahoma" w:cs="Tahoma"/>
        </w:rPr>
        <w:t xml:space="preserve">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This technic allows a fine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26FD9423" w14:textId="77777777" w:rsidR="00A2327F" w:rsidRDefault="00A2327F" w:rsidP="008E4FB1">
      <w:pPr>
        <w:rPr>
          <w:rFonts w:ascii="Tahoma" w:hAnsi="Tahoma" w:cs="Tahoma"/>
        </w:rPr>
      </w:pPr>
    </w:p>
    <w:p w14:paraId="324FBE5C" w14:textId="3B96B9B4" w:rsidR="00E3798D" w:rsidRDefault="00D94E9B" w:rsidP="008E4FB1">
      <w:pPr>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Experiment from Engler et al. showed that </w:t>
      </w:r>
      <w:proofErr w:type="spellStart"/>
      <w:r w:rsidR="00B824CC">
        <w:rPr>
          <w:rFonts w:ascii="Tahoma" w:hAnsi="Tahoma" w:cs="Tahoma"/>
        </w:rPr>
        <w:t>Durotaxis</w:t>
      </w:r>
      <w:proofErr w:type="spellEnd"/>
      <w:r w:rsidR="00B824CC">
        <w:rPr>
          <w:rFonts w:ascii="Tahoma" w:hAnsi="Tahoma" w:cs="Tahoma"/>
        </w:rPr>
        <w:t xml:space="preserve"> can play a role in cell differentiation.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r w:rsidR="000262A1">
        <w:rPr>
          <w:rFonts w:ascii="Tahoma" w:hAnsi="Tahoma" w:cs="Tahoma"/>
        </w:rPr>
        <w:t xml:space="preserve"> </w:t>
      </w:r>
      <w:r w:rsidR="00E3798D">
        <w:rPr>
          <w:rFonts w:ascii="Tahoma" w:hAnsi="Tahoma" w:cs="Tahoma"/>
        </w:rPr>
        <w:t>Topographical gradients can 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sidR="00E3798D">
        <w:rPr>
          <w:rFonts w:ascii="Tahoma" w:hAnsi="Tahoma" w:cs="Tahoma"/>
        </w:rPr>
        <w:t xml:space="preserve"> that on patterned surface laminin stripes with in-between graduated PMMA intervals, cells aligned within laminin stripes.</w:t>
      </w:r>
    </w:p>
    <w:p w14:paraId="1D3CA55A" w14:textId="12BF3811" w:rsidR="00692036" w:rsidRDefault="00692036" w:rsidP="008E4FB1">
      <w:pPr>
        <w:rPr>
          <w:rFonts w:ascii="Tahoma" w:hAnsi="Tahoma" w:cs="Tahoma"/>
        </w:rPr>
      </w:pPr>
    </w:p>
    <w:p w14:paraId="4CD69242" w14:textId="0FDCDDFA" w:rsidR="002D381C" w:rsidRDefault="005E1A8C" w:rsidP="008E4FB1">
      <w:pPr>
        <w:rPr>
          <w:rFonts w:ascii="Tahoma" w:hAnsi="Tahoma" w:cs="Tahoma"/>
        </w:rPr>
      </w:pPr>
      <w:r>
        <w:rPr>
          <w:rFonts w:ascii="Tahoma" w:hAnsi="Tahoma" w:cs="Tahoma"/>
        </w:rPr>
        <w:t xml:space="preserve">Several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Pr>
          <w:rFonts w:ascii="Tahoma" w:hAnsi="Tahoma" w:cs="Tahoma"/>
        </w:rPr>
        <w:t xml:space="preserve">. This is particularly important as </w:t>
      </w:r>
      <w:proofErr w:type="spellStart"/>
      <w:r>
        <w:rPr>
          <w:rFonts w:ascii="Tahoma" w:hAnsi="Tahoma" w:cs="Tahoma"/>
        </w:rPr>
        <w:t>electrotaxis</w:t>
      </w:r>
      <w:proofErr w:type="spellEnd"/>
      <w:r>
        <w:rPr>
          <w:rFonts w:ascii="Tahoma" w:hAnsi="Tahoma" w:cs="Tahoma"/>
        </w:rPr>
        <w:t xml:space="preserve"> is easier to modulate and maintain compared to chemical gradient.</w:t>
      </w:r>
      <w:r w:rsidR="00C53A24">
        <w:rPr>
          <w:rFonts w:ascii="Tahoma" w:hAnsi="Tahoma" w:cs="Tahoma"/>
        </w:rPr>
        <w:t xml:space="preserve"> They could be combined for a synergistic effect; for example, NT-3 can initiate cathodal attraction. </w:t>
      </w:r>
      <w:r w:rsidR="00DA59FC">
        <w:rPr>
          <w:rFonts w:ascii="Tahoma" w:hAnsi="Tahoma" w:cs="Tahoma"/>
        </w:rPr>
        <w:t>More</w:t>
      </w:r>
      <w:r w:rsidR="00C53A24">
        <w:rPr>
          <w:rFonts w:ascii="Tahoma" w:hAnsi="Tahoma" w:cs="Tahoma"/>
        </w:rPr>
        <w:t xml:space="preserve"> studies are required to quantify and understand the combinatorial effects. </w:t>
      </w:r>
    </w:p>
    <w:p w14:paraId="2205B1E6" w14:textId="1BC73246" w:rsidR="00A93073" w:rsidRPr="008E4FB1" w:rsidRDefault="003677B7" w:rsidP="008E4FB1">
      <w:pPr>
        <w:rPr>
          <w:rFonts w:ascii="Tahoma" w:hAnsi="Tahoma" w:cs="Tahoma"/>
        </w:rPr>
      </w:pPr>
      <w:r>
        <w:rPr>
          <w:rFonts w:ascii="Tahoma" w:hAnsi="Tahoma" w:cs="Tahoma"/>
        </w:rPr>
        <w:t>One important factor the article mention</w:t>
      </w:r>
      <w:r w:rsidR="00FD711E">
        <w:rPr>
          <w:rFonts w:ascii="Tahoma" w:hAnsi="Tahoma" w:cs="Tahoma"/>
        </w:rPr>
        <w:t>s</w:t>
      </w:r>
      <w:r>
        <w:rPr>
          <w:rFonts w:ascii="Tahoma" w:hAnsi="Tahoma" w:cs="Tahoma"/>
        </w:rPr>
        <w:t xml:space="preserve"> is related to co-culturing and </w:t>
      </w:r>
      <w:proofErr w:type="spellStart"/>
      <w:r>
        <w:rPr>
          <w:rFonts w:ascii="Tahoma" w:hAnsi="Tahoma" w:cs="Tahoma"/>
        </w:rPr>
        <w:t>preseeding</w:t>
      </w:r>
      <w:proofErr w:type="spellEnd"/>
      <w:r>
        <w:rPr>
          <w:rFonts w:ascii="Tahoma" w:hAnsi="Tahoma" w:cs="Tahoma"/>
        </w:rPr>
        <w:t xml:space="preserve"> which can improve significantly neuron migration and growth; </w:t>
      </w:r>
      <w:proofErr w:type="spellStart"/>
      <w:r>
        <w:rPr>
          <w:rFonts w:ascii="Tahoma" w:hAnsi="Tahoma" w:cs="Tahoma"/>
        </w:rPr>
        <w:t>Mattotti</w:t>
      </w:r>
      <w:proofErr w:type="spellEnd"/>
      <w:r>
        <w:rPr>
          <w:rFonts w:ascii="Tahoma" w:hAnsi="Tahoma" w:cs="Tahoma"/>
        </w:rPr>
        <w:t xml:space="preserve"> et al., obtained a 3-fold improvement in av</w:t>
      </w:r>
      <w:r w:rsidR="00870DB8">
        <w:rPr>
          <w:rFonts w:ascii="Tahoma" w:hAnsi="Tahoma" w:cs="Tahoma"/>
        </w:rPr>
        <w:t xml:space="preserve">erage speed and overall migration distance </w:t>
      </w:r>
      <w:r>
        <w:rPr>
          <w:rFonts w:ascii="Tahoma" w:hAnsi="Tahoma" w:cs="Tahoma"/>
        </w:rPr>
        <w:t xml:space="preserve">by placing neurons on </w:t>
      </w:r>
      <w:r w:rsidR="00870DB8">
        <w:rPr>
          <w:rFonts w:ascii="Tahoma" w:hAnsi="Tahoma" w:cs="Tahoma"/>
        </w:rPr>
        <w:t>RGLC-covered PMMA lines.</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A753" w14:textId="77777777" w:rsidR="00913E6C" w:rsidRDefault="00913E6C" w:rsidP="002E070F">
      <w:r>
        <w:separator/>
      </w:r>
    </w:p>
  </w:endnote>
  <w:endnote w:type="continuationSeparator" w:id="0">
    <w:p w14:paraId="0AD9D09C" w14:textId="77777777" w:rsidR="00913E6C" w:rsidRDefault="00913E6C"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5F941" w14:textId="77777777" w:rsidR="00913E6C" w:rsidRDefault="00913E6C" w:rsidP="002E070F">
      <w:r>
        <w:separator/>
      </w:r>
    </w:p>
  </w:footnote>
  <w:footnote w:type="continuationSeparator" w:id="0">
    <w:p w14:paraId="30025827" w14:textId="77777777" w:rsidR="00913E6C" w:rsidRDefault="00913E6C"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4"/>
  </w:num>
  <w:num w:numId="5" w16cid:durableId="619142107">
    <w:abstractNumId w:val="5"/>
  </w:num>
  <w:num w:numId="6" w16cid:durableId="289701588">
    <w:abstractNumId w:val="23"/>
  </w:num>
  <w:num w:numId="7" w16cid:durableId="962152761">
    <w:abstractNumId w:val="17"/>
  </w:num>
  <w:num w:numId="8" w16cid:durableId="1298340162">
    <w:abstractNumId w:val="31"/>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2"/>
  </w:num>
  <w:num w:numId="14" w16cid:durableId="567573440">
    <w:abstractNumId w:val="16"/>
  </w:num>
  <w:num w:numId="15" w16cid:durableId="1294555110">
    <w:abstractNumId w:val="0"/>
  </w:num>
  <w:num w:numId="16" w16cid:durableId="1863744528">
    <w:abstractNumId w:val="15"/>
  </w:num>
  <w:num w:numId="17" w16cid:durableId="1811901423">
    <w:abstractNumId w:val="26"/>
  </w:num>
  <w:num w:numId="18" w16cid:durableId="1096560177">
    <w:abstractNumId w:val="20"/>
  </w:num>
  <w:num w:numId="19" w16cid:durableId="1205562634">
    <w:abstractNumId w:val="25"/>
  </w:num>
  <w:num w:numId="20" w16cid:durableId="38819174">
    <w:abstractNumId w:val="27"/>
  </w:num>
  <w:num w:numId="21" w16cid:durableId="1963225767">
    <w:abstractNumId w:val="9"/>
  </w:num>
  <w:num w:numId="22" w16cid:durableId="651720454">
    <w:abstractNumId w:val="30"/>
  </w:num>
  <w:num w:numId="23" w16cid:durableId="332345630">
    <w:abstractNumId w:val="2"/>
  </w:num>
  <w:num w:numId="24" w16cid:durableId="1311599072">
    <w:abstractNumId w:val="35"/>
  </w:num>
  <w:num w:numId="25" w16cid:durableId="1171992100">
    <w:abstractNumId w:val="1"/>
  </w:num>
  <w:num w:numId="26" w16cid:durableId="1701935460">
    <w:abstractNumId w:val="8"/>
  </w:num>
  <w:num w:numId="27" w16cid:durableId="1338574284">
    <w:abstractNumId w:val="33"/>
  </w:num>
  <w:num w:numId="28" w16cid:durableId="1240405908">
    <w:abstractNumId w:val="29"/>
  </w:num>
  <w:num w:numId="29" w16cid:durableId="402022764">
    <w:abstractNumId w:val="7"/>
  </w:num>
  <w:num w:numId="30" w16cid:durableId="1868835599">
    <w:abstractNumId w:val="18"/>
  </w:num>
  <w:num w:numId="31" w16cid:durableId="1214582979">
    <w:abstractNumId w:val="11"/>
  </w:num>
  <w:num w:numId="32" w16cid:durableId="1227256818">
    <w:abstractNumId w:val="28"/>
  </w:num>
  <w:num w:numId="33" w16cid:durableId="814689419">
    <w:abstractNumId w:val="3"/>
  </w:num>
  <w:num w:numId="34" w16cid:durableId="834221272">
    <w:abstractNumId w:val="36"/>
  </w:num>
  <w:num w:numId="35" w16cid:durableId="236743555">
    <w:abstractNumId w:val="34"/>
  </w:num>
  <w:num w:numId="36" w16cid:durableId="219244449">
    <w:abstractNumId w:val="21"/>
  </w:num>
  <w:num w:numId="37" w16cid:durableId="989552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20768"/>
    <w:rsid w:val="001216FC"/>
    <w:rsid w:val="00124878"/>
    <w:rsid w:val="00132916"/>
    <w:rsid w:val="00133871"/>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677B7"/>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AF0"/>
    <w:rsid w:val="00937E05"/>
    <w:rsid w:val="00940E90"/>
    <w:rsid w:val="00954894"/>
    <w:rsid w:val="00954BC1"/>
    <w:rsid w:val="00955238"/>
    <w:rsid w:val="0095574C"/>
    <w:rsid w:val="00962F6A"/>
    <w:rsid w:val="009654D0"/>
    <w:rsid w:val="00965663"/>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2022-10-14T17:42:00Z</cp:lastPrinted>
  <dcterms:created xsi:type="dcterms:W3CDTF">2022-10-14T17:42:00Z</dcterms:created>
  <dcterms:modified xsi:type="dcterms:W3CDTF">2022-10-14T17:42:00Z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