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04EDEAC6" w14:textId="1CC73B98" w:rsidR="006E340F" w:rsidRDefault="00FB2E7F" w:rsidP="006E340F">
      <w:pPr>
        <w:pStyle w:val="NormalWeb"/>
        <w:spacing w:line="480" w:lineRule="auto"/>
        <w:rPr>
          <w:rFonts w:ascii="Tahoma" w:hAnsi="Tahoma" w:cs="Tahoma"/>
          <w:sz w:val="22"/>
          <w:szCs w:val="22"/>
        </w:rPr>
      </w:pPr>
      <w:r w:rsidRPr="00E76600">
        <w:rPr>
          <w:rFonts w:ascii="Tahoma" w:hAnsi="Tahoma" w:cs="Tahoma"/>
          <w:sz w:val="22"/>
          <w:szCs w:val="22"/>
        </w:rPr>
        <w:t xml:space="preserve">Spinal cord injury (SCI) is a devastating trauma in the life of a patient and has severe costs on our society. Today there are about 285,000 people in the U.S living with SCI, and approximately 17,000 new acute SCI cases diagnosed each </w:t>
      </w:r>
      <w:r w:rsidR="00F8258D" w:rsidRPr="00E76600">
        <w:rPr>
          <w:rFonts w:ascii="Tahoma" w:hAnsi="Tahoma" w:cs="Tahoma"/>
          <w:sz w:val="22"/>
          <w:szCs w:val="22"/>
        </w:rPr>
        <w:t xml:space="preserve">year (NSCIC). </w:t>
      </w:r>
      <w:r w:rsidRPr="00E76600">
        <w:rPr>
          <w:rFonts w:ascii="Tahoma" w:hAnsi="Tahoma" w:cs="Tahoma"/>
          <w:sz w:val="22"/>
          <w:szCs w:val="22"/>
        </w:rPr>
        <w:t>Mortality rates in the first years after the injury, have fallen by some 50%, however beyond this period, there have not been significant improvements</w:t>
      </w:r>
      <w:r w:rsidR="002C7F03" w:rsidRPr="00E76600">
        <w:rPr>
          <w:rFonts w:ascii="Tahoma" w:hAnsi="Tahoma" w:cs="Tahoma"/>
          <w:sz w:val="22"/>
          <w:szCs w:val="22"/>
        </w:rPr>
        <w:t xml:space="preserve"> (lifeexpectancy.org).</w:t>
      </w:r>
      <w:r w:rsidRPr="00E76600">
        <w:rPr>
          <w:rFonts w:ascii="Tahoma" w:hAnsi="Tahoma" w:cs="Tahoma"/>
          <w:sz w:val="22"/>
          <w:szCs w:val="22"/>
        </w:rPr>
        <w:t xml:space="preserve"> Older people have half of the life expectancy of younger people and people in their twenties have a life-expectancy of about 30 years or 15 years</w:t>
      </w:r>
      <w:r w:rsidR="00E76600">
        <w:rPr>
          <w:rFonts w:ascii="Tahoma" w:hAnsi="Tahoma" w:cs="Tahoma"/>
          <w:sz w:val="22"/>
          <w:szCs w:val="22"/>
        </w:rPr>
        <w:t xml:space="preserve"> (</w:t>
      </w:r>
      <w:r w:rsidR="00E76600" w:rsidRPr="00E76600">
        <w:rPr>
          <w:rFonts w:ascii="Tahoma" w:hAnsi="Tahoma" w:cs="Tahoma"/>
          <w:sz w:val="22"/>
          <w:szCs w:val="22"/>
        </w:rPr>
        <w:t>NSCIC)</w:t>
      </w:r>
      <w:r w:rsidRPr="00E76600">
        <w:rPr>
          <w:rFonts w:ascii="Tahoma" w:hAnsi="Tahoma" w:cs="Tahoma"/>
          <w:sz w:val="22"/>
          <w:szCs w:val="22"/>
        </w:rPr>
        <w:t>.  People sustaining a SCI have permanent and profound injury complications</w:t>
      </w:r>
      <w:r w:rsidR="00E76600" w:rsidRPr="00E76600">
        <w:rPr>
          <w:rFonts w:ascii="Tahoma" w:hAnsi="Tahoma" w:cs="Tahoma"/>
          <w:sz w:val="22"/>
          <w:szCs w:val="22"/>
        </w:rPr>
        <w:t xml:space="preserve"> occurring in multiple </w:t>
      </w:r>
      <w:r w:rsidRPr="00E76600">
        <w:rPr>
          <w:rFonts w:ascii="Tahoma" w:hAnsi="Tahoma" w:cs="Tahoma"/>
          <w:sz w:val="22"/>
          <w:szCs w:val="22"/>
        </w:rPr>
        <w:t xml:space="preserve">with functional loss or disability, and potential neurologic disorders. </w:t>
      </w:r>
    </w:p>
    <w:p w14:paraId="74587B0A" w14:textId="202D32DE" w:rsidR="00FB2E7F" w:rsidRPr="006E340F" w:rsidRDefault="00FB2E7F" w:rsidP="006E340F">
      <w:pPr>
        <w:pStyle w:val="NormalWeb"/>
        <w:spacing w:line="480" w:lineRule="auto"/>
        <w:rPr>
          <w:rFonts w:ascii="Tahoma" w:hAnsi="Tahoma" w:cs="Tahoma"/>
          <w:sz w:val="22"/>
          <w:szCs w:val="22"/>
        </w:rPr>
      </w:pPr>
      <w:proofErr w:type="spellStart"/>
      <w:r w:rsidRPr="006E340F">
        <w:rPr>
          <w:rFonts w:ascii="Tahoma" w:hAnsi="Tahoma" w:cs="Tahoma"/>
          <w:b/>
          <w:sz w:val="22"/>
          <w:szCs w:val="22"/>
        </w:rPr>
        <w:t>Invivo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00E242DA"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sidR="00E242DA">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w:t>
      </w:r>
      <w:r w:rsidR="00070C64" w:rsidRPr="006E340F">
        <w:rPr>
          <w:rFonts w:ascii="Tahoma" w:hAnsi="Tahoma" w:cs="Tahoma"/>
          <w:sz w:val="22"/>
          <w:szCs w:val="22"/>
        </w:rPr>
        <w:t>ASIA</w:t>
      </w:r>
      <w:r w:rsidRPr="006E340F">
        <w:rPr>
          <w:rFonts w:ascii="Tahoma" w:hAnsi="Tahoma" w:cs="Tahoma"/>
          <w:sz w:val="22"/>
          <w:szCs w:val="22"/>
        </w:rPr>
        <w:t xml:space="preserve"> </w:t>
      </w:r>
      <w:r w:rsidR="00070C64" w:rsidRPr="006E340F">
        <w:rPr>
          <w:rFonts w:ascii="Tahoma" w:hAnsi="Tahoma" w:cs="Tahoma"/>
          <w:sz w:val="22"/>
          <w:szCs w:val="22"/>
        </w:rPr>
        <w:t>Impairment</w:t>
      </w:r>
      <w:r w:rsidRPr="006E340F">
        <w:rPr>
          <w:rFonts w:ascii="Tahoma" w:hAnsi="Tahoma" w:cs="Tahoma"/>
          <w:sz w:val="22"/>
          <w:szCs w:val="22"/>
        </w:rPr>
        <w:t xml:space="preserve"> Scale (AIS) grade. </w:t>
      </w:r>
    </w:p>
    <w:p w14:paraId="3BEE8409" w14:textId="26A995AE" w:rsidR="003A4941" w:rsidRDefault="00D8775C" w:rsidP="003A4941">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proofErr w:type="spellStart"/>
      <w:r w:rsidRPr="00D6563E">
        <w:rPr>
          <w:rFonts w:cs="Tahoma"/>
          <w:b/>
          <w:bCs w:val="0"/>
          <w:sz w:val="22"/>
          <w:szCs w:val="22"/>
        </w:rPr>
        <w:t>LineageTherapeutics</w:t>
      </w:r>
      <w:proofErr w:type="spellEnd"/>
      <w:r w:rsidRPr="00D6563E">
        <w:rPr>
          <w:rFonts w:cs="Tahoma"/>
          <w:sz w:val="22"/>
          <w:szCs w:val="22"/>
        </w:rPr>
        <w:t xml:space="preserve"> oligodendrocyte progenitor cell </w:t>
      </w:r>
      <w:r w:rsidR="009065D5">
        <w:rPr>
          <w:rFonts w:cs="Tahoma"/>
          <w:sz w:val="22"/>
          <w:szCs w:val="22"/>
        </w:rPr>
        <w:t xml:space="preserve">(OPC) </w:t>
      </w:r>
      <w:r w:rsidRPr="00D6563E">
        <w:rPr>
          <w:rFonts w:cs="Tahoma"/>
          <w:sz w:val="22"/>
          <w:szCs w:val="22"/>
        </w:rPr>
        <w:t xml:space="preserve">therapy, has received a regenerative medicine advanced therapy (RMAT) and </w:t>
      </w:r>
      <w:r w:rsidR="00E61926">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sidR="00E61926">
        <w:rPr>
          <w:rFonts w:cs="Tahoma"/>
          <w:sz w:val="22"/>
          <w:szCs w:val="22"/>
        </w:rPr>
        <w:t>later</w:t>
      </w:r>
      <w:r w:rsidRPr="00D6563E">
        <w:rPr>
          <w:rFonts w:cs="Tahoma"/>
          <w:sz w:val="22"/>
          <w:szCs w:val="22"/>
        </w:rPr>
        <w:t xml:space="preserve"> trial, 96% reported improved in motor functions with 32% at two or more levels</w:t>
      </w:r>
      <w:r w:rsidR="003A4941" w:rsidRPr="003A4941">
        <w:rPr>
          <w:rFonts w:cs="Tahoma"/>
          <w:sz w:val="22"/>
          <w:szCs w:val="22"/>
        </w:rPr>
        <w:t xml:space="preserve"> </w:t>
      </w:r>
    </w:p>
    <w:p w14:paraId="5BE21EB4" w14:textId="1C7E2FCB" w:rsidR="006E340F" w:rsidRPr="004A73EA" w:rsidRDefault="00E61926" w:rsidP="004A73EA">
      <w:pPr>
        <w:pStyle w:val="Body"/>
        <w:spacing w:line="480" w:lineRule="auto"/>
        <w:rPr>
          <w:sz w:val="22"/>
          <w:szCs w:val="22"/>
        </w:rPr>
      </w:pPr>
      <w:r>
        <w:rPr>
          <w:rFonts w:cs="Tahoma"/>
          <w:sz w:val="22"/>
          <w:szCs w:val="22"/>
        </w:rPr>
        <w:t>None of these</w:t>
      </w:r>
      <w:r w:rsidRPr="003A12FC">
        <w:rPr>
          <w:rFonts w:cs="Tahoma"/>
          <w:sz w:val="22"/>
          <w:szCs w:val="22"/>
        </w:rPr>
        <w:t xml:space="preserve"> companies </w:t>
      </w:r>
      <w:r>
        <w:rPr>
          <w:rFonts w:cs="Tahoma"/>
          <w:sz w:val="22"/>
          <w:szCs w:val="22"/>
        </w:rPr>
        <w:t>have</w:t>
      </w:r>
      <w:r w:rsidRPr="003A12FC">
        <w:rPr>
          <w:rFonts w:cs="Tahoma"/>
          <w:sz w:val="22"/>
          <w:szCs w:val="22"/>
        </w:rPr>
        <w:t xml:space="preserve"> </w:t>
      </w:r>
      <w:r>
        <w:rPr>
          <w:rFonts w:cs="Tahoma"/>
          <w:sz w:val="22"/>
          <w:szCs w:val="22"/>
        </w:rPr>
        <w:t>reported</w:t>
      </w:r>
      <w:r w:rsidRPr="003A12FC">
        <w:rPr>
          <w:rFonts w:cs="Tahoma"/>
          <w:sz w:val="22"/>
          <w:szCs w:val="22"/>
        </w:rPr>
        <w:t xml:space="preserve"> an official date for the </w:t>
      </w:r>
      <w:r>
        <w:rPr>
          <w:rFonts w:cs="Tahoma"/>
          <w:sz w:val="22"/>
          <w:szCs w:val="22"/>
        </w:rPr>
        <w:t xml:space="preserve">commercialization of their </w:t>
      </w:r>
      <w:r w:rsidRPr="003A12FC">
        <w:rPr>
          <w:rFonts w:cs="Tahoma"/>
          <w:sz w:val="22"/>
          <w:szCs w:val="22"/>
        </w:rPr>
        <w:t>products</w:t>
      </w:r>
      <w:r>
        <w:rPr>
          <w:rFonts w:cs="Tahoma"/>
          <w:sz w:val="22"/>
          <w:szCs w:val="22"/>
        </w:rPr>
        <w:t>.</w:t>
      </w:r>
    </w:p>
    <w:p w14:paraId="60CB05A5" w14:textId="36545232" w:rsidR="00167B74" w:rsidRDefault="00167B74" w:rsidP="00E35B7B">
      <w:pPr>
        <w:pStyle w:val="JHEPBody"/>
        <w:rPr>
          <w:rFonts w:eastAsiaTheme="majorEastAsia"/>
        </w:rPr>
      </w:pPr>
      <w:r w:rsidRPr="005730F3">
        <w:rPr>
          <w:rFonts w:eastAsiaTheme="majorEastAsia"/>
          <w:b/>
          <w:bCs/>
        </w:rPr>
        <w:t>Problem statement</w:t>
      </w:r>
      <w:r>
        <w:rPr>
          <w:rFonts w:eastAsiaTheme="majorEastAsia"/>
        </w:rPr>
        <w:t xml:space="preserve"> </w:t>
      </w:r>
    </w:p>
    <w:p w14:paraId="04CDED53" w14:textId="2D5B42D1" w:rsidR="005012FA" w:rsidRPr="00C30520" w:rsidRDefault="00945D93" w:rsidP="00945D93">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32415156" w:rsidR="006F59A9" w:rsidRPr="00C30520" w:rsidRDefault="00373E0B" w:rsidP="00270D49">
      <w:pPr>
        <w:pStyle w:val="Body"/>
        <w:spacing w:line="480" w:lineRule="auto"/>
        <w:rPr>
          <w:sz w:val="22"/>
          <w:szCs w:val="22"/>
        </w:rPr>
      </w:pPr>
      <w:r w:rsidRPr="00C30520">
        <w:rPr>
          <w:sz w:val="22"/>
          <w:szCs w:val="22"/>
        </w:rPr>
        <w:t>SCI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590B876B"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 xml:space="preserve">$17 Millions US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This estimation does not include aftercare costs (however, patients reported improvement of their motor functions within a year which costs less than a lifetime immobilization with no progress).</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3BA7896D"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sold OTC with doctor prescription.</w:t>
            </w:r>
          </w:p>
        </w:tc>
        <w:tc>
          <w:tcPr>
            <w:tcW w:w="975" w:type="pct"/>
          </w:tcPr>
          <w:p w14:paraId="7823582C" w14:textId="1B54138A" w:rsidR="00535BDB" w:rsidRDefault="00535BDB" w:rsidP="00535BDB">
            <w:pPr>
              <w:pStyle w:val="JHEPBody"/>
              <w:numPr>
                <w:ilvl w:val="0"/>
                <w:numId w:val="23"/>
              </w:numPr>
              <w:rPr>
                <w:bCs/>
                <w:sz w:val="20"/>
                <w:szCs w:val="20"/>
                <w:lang w:bidi="en-US"/>
              </w:rPr>
            </w:pPr>
            <w:r>
              <w:rPr>
                <w:bCs/>
                <w:sz w:val="20"/>
                <w:szCs w:val="20"/>
                <w:lang w:bidi="en-US"/>
              </w:rPr>
              <w:t>If administered within 8 hours if injury, improve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57F64AEB" w:rsidR="00C915BE" w:rsidRDefault="00D13F90" w:rsidP="0024277D">
            <w:pPr>
              <w:pStyle w:val="JHEPBody"/>
              <w:numPr>
                <w:ilvl w:val="0"/>
                <w:numId w:val="24"/>
              </w:numPr>
              <w:rPr>
                <w:bCs/>
                <w:sz w:val="20"/>
                <w:szCs w:val="20"/>
                <w:lang w:bidi="en-US"/>
              </w:rPr>
            </w:pPr>
            <w:r>
              <w:rPr>
                <w:bCs/>
                <w:sz w:val="20"/>
                <w:szCs w:val="20"/>
                <w:lang w:bidi="en-US"/>
              </w:rPr>
              <w:t>Does not improve 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C4027DA" w:rsidR="00996F07" w:rsidRPr="00773149" w:rsidRDefault="00996F07" w:rsidP="00BD31ED">
            <w:pPr>
              <w:pStyle w:val="JHEPBody"/>
              <w:numPr>
                <w:ilvl w:val="0"/>
                <w:numId w:val="26"/>
              </w:numPr>
              <w:rPr>
                <w:bCs/>
                <w:sz w:val="20"/>
                <w:szCs w:val="20"/>
                <w:lang w:bidi="en-US"/>
              </w:rPr>
            </w:pPr>
            <w:r>
              <w:rPr>
                <w:bCs/>
                <w:sz w:val="20"/>
                <w:szCs w:val="20"/>
                <w:lang w:bidi="en-US"/>
              </w:rPr>
              <w:t>Improved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404C6BE0" w:rsidR="00B027F5" w:rsidRDefault="00B027F5" w:rsidP="00B027F5">
            <w:pPr>
              <w:pStyle w:val="JHEPBody"/>
              <w:numPr>
                <w:ilvl w:val="0"/>
                <w:numId w:val="25"/>
              </w:numPr>
              <w:rPr>
                <w:bCs/>
                <w:sz w:val="20"/>
                <w:szCs w:val="20"/>
                <w:lang w:bidi="en-US"/>
              </w:rPr>
            </w:pPr>
            <w:r>
              <w:rPr>
                <w:bCs/>
                <w:sz w:val="20"/>
                <w:szCs w:val="20"/>
                <w:lang w:bidi="en-US"/>
              </w:rPr>
              <w:t>Increase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77777777" w:rsidR="00B027F5" w:rsidRDefault="00B027F5" w:rsidP="00B027F5">
            <w:pPr>
              <w:pStyle w:val="JHEPBody"/>
              <w:numPr>
                <w:ilvl w:val="0"/>
                <w:numId w:val="25"/>
              </w:numPr>
              <w:rPr>
                <w:bCs/>
                <w:sz w:val="20"/>
                <w:szCs w:val="20"/>
                <w:lang w:bidi="en-US"/>
              </w:rPr>
            </w:pPr>
            <w:r>
              <w:rPr>
                <w:bCs/>
                <w:sz w:val="20"/>
                <w:szCs w:val="20"/>
                <w:lang w:bidi="en-US"/>
              </w:rPr>
              <w:t>Reimplantation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56E8CDBF" w14:textId="77777777" w:rsidTr="008267EC">
        <w:trPr>
          <w:trHeight w:val="1098"/>
        </w:trPr>
        <w:tc>
          <w:tcPr>
            <w:tcW w:w="1424" w:type="pct"/>
          </w:tcPr>
          <w:p w14:paraId="3B733ADD" w14:textId="33DF48AA" w:rsidR="00481092" w:rsidRPr="001742C2" w:rsidRDefault="00236C73" w:rsidP="00481092">
            <w:pPr>
              <w:pStyle w:val="JHEPBody"/>
              <w:rPr>
                <w:sz w:val="20"/>
                <w:szCs w:val="20"/>
                <w:lang w:bidi="en-US"/>
              </w:rPr>
            </w:pPr>
            <w:proofErr w:type="spellStart"/>
            <w:r>
              <w:rPr>
                <w:b/>
                <w:bCs/>
                <w:sz w:val="20"/>
                <w:szCs w:val="20"/>
                <w:lang w:bidi="en-US"/>
              </w:rPr>
              <w:t>NeuroRegen</w:t>
            </w:r>
            <w:r w:rsidR="00CF00C6" w:rsidRPr="00CF00C6">
              <w:rPr>
                <w:b/>
                <w:bCs/>
                <w:sz w:val="20"/>
                <w:szCs w:val="20"/>
                <w:vertAlign w:val="superscript"/>
                <w:lang w:bidi="en-US"/>
              </w:rPr>
              <w:t>TM</w:t>
            </w:r>
            <w:proofErr w:type="spellEnd"/>
            <w:r w:rsidR="001742C2">
              <w:rPr>
                <w:b/>
                <w:bCs/>
                <w:sz w:val="20"/>
                <w:szCs w:val="20"/>
                <w:lang w:bidi="en-US"/>
              </w:rPr>
              <w:t xml:space="preserve"> </w:t>
            </w:r>
            <w:r w:rsidR="001742C2" w:rsidRPr="001742C2">
              <w:rPr>
                <w:sz w:val="20"/>
                <w:szCs w:val="20"/>
                <w:lang w:bidi="en-US"/>
              </w:rPr>
              <w:t xml:space="preserve">is a collagen </w:t>
            </w:r>
            <w:r w:rsidR="001A6A15">
              <w:rPr>
                <w:sz w:val="20"/>
                <w:szCs w:val="20"/>
                <w:lang w:bidi="en-US"/>
              </w:rPr>
              <w:t>scaffold</w:t>
            </w:r>
            <w:r w:rsidR="001742C2">
              <w:rPr>
                <w:sz w:val="20"/>
                <w:szCs w:val="20"/>
                <w:lang w:bidi="en-US"/>
              </w:rPr>
              <w:t xml:space="preserve"> </w:t>
            </w:r>
            <w:r w:rsidR="001A6A15">
              <w:rPr>
                <w:sz w:val="20"/>
                <w:szCs w:val="20"/>
                <w:lang w:bidi="en-US"/>
              </w:rPr>
              <w:t xml:space="preserve">with </w:t>
            </w:r>
            <w:r w:rsidR="00CF00C6">
              <w:rPr>
                <w:sz w:val="20"/>
                <w:szCs w:val="20"/>
                <w:lang w:bidi="en-US"/>
              </w:rPr>
              <w:t>m</w:t>
            </w:r>
            <w:r w:rsidR="001A6A15">
              <w:rPr>
                <w:sz w:val="20"/>
                <w:szCs w:val="20"/>
                <w:lang w:bidi="en-US"/>
              </w:rPr>
              <w:t xml:space="preserve">esenchymal </w:t>
            </w:r>
            <w:r w:rsidR="00CF00C6">
              <w:rPr>
                <w:sz w:val="20"/>
                <w:szCs w:val="20"/>
                <w:lang w:bidi="en-US"/>
              </w:rPr>
              <w:t>s</w:t>
            </w:r>
            <w:r w:rsidR="001A6A15">
              <w:rPr>
                <w:sz w:val="20"/>
                <w:szCs w:val="20"/>
                <w:lang w:bidi="en-US"/>
              </w:rPr>
              <w:t xml:space="preserve">tem </w:t>
            </w:r>
            <w:r w:rsidR="00CF00C6">
              <w:rPr>
                <w:sz w:val="20"/>
                <w:szCs w:val="20"/>
                <w:lang w:bidi="en-US"/>
              </w:rPr>
              <w:t>cells transplantation</w:t>
            </w:r>
            <w:r w:rsidR="001A6A15">
              <w:rPr>
                <w:sz w:val="20"/>
                <w:szCs w:val="20"/>
                <w:lang w:bidi="en-US"/>
              </w:rPr>
              <w:t xml:space="preserve"> in SCI patients.</w:t>
            </w:r>
          </w:p>
        </w:tc>
        <w:tc>
          <w:tcPr>
            <w:tcW w:w="975" w:type="pct"/>
          </w:tcPr>
          <w:p w14:paraId="7D019FFC" w14:textId="4FE75541" w:rsidR="00E502A5" w:rsidRDefault="00E502A5" w:rsidP="00EA2161">
            <w:pPr>
              <w:pStyle w:val="JHEPBody"/>
              <w:numPr>
                <w:ilvl w:val="0"/>
                <w:numId w:val="27"/>
              </w:numPr>
              <w:rPr>
                <w:bCs/>
                <w:sz w:val="20"/>
                <w:szCs w:val="20"/>
                <w:lang w:bidi="en-US"/>
              </w:rPr>
            </w:pPr>
            <w:r>
              <w:rPr>
                <w:bCs/>
                <w:sz w:val="20"/>
                <w:szCs w:val="20"/>
                <w:lang w:bidi="en-US"/>
              </w:rPr>
              <w:t>Resists compression from surrounding tissues less scar tissue</w:t>
            </w:r>
          </w:p>
          <w:p w14:paraId="78BE7BD2" w14:textId="3EE6A1AC" w:rsidR="00CF00C6" w:rsidRPr="00CF00C6" w:rsidRDefault="00CF00C6" w:rsidP="00CF00C6">
            <w:pPr>
              <w:pStyle w:val="JHEPBody"/>
              <w:numPr>
                <w:ilvl w:val="0"/>
                <w:numId w:val="27"/>
              </w:numPr>
              <w:rPr>
                <w:bCs/>
                <w:sz w:val="20"/>
                <w:szCs w:val="20"/>
                <w:lang w:bidi="en-US"/>
              </w:rPr>
            </w:pPr>
            <w:r>
              <w:rPr>
                <w:bCs/>
                <w:sz w:val="20"/>
                <w:szCs w:val="20"/>
                <w:lang w:bidi="en-US"/>
              </w:rPr>
              <w:t>Could be p</w:t>
            </w:r>
            <w:r>
              <w:rPr>
                <w:bCs/>
                <w:sz w:val="20"/>
                <w:szCs w:val="20"/>
                <w:lang w:bidi="en-US"/>
              </w:rPr>
              <w:t>urified so lower risk of inflammatory response</w:t>
            </w:r>
          </w:p>
          <w:p w14:paraId="5F6E2C62" w14:textId="5A0F63C1" w:rsidR="00E502A5" w:rsidRDefault="00E502A5" w:rsidP="00EA2161">
            <w:pPr>
              <w:pStyle w:val="JHEPBody"/>
              <w:numPr>
                <w:ilvl w:val="0"/>
                <w:numId w:val="27"/>
              </w:numPr>
              <w:rPr>
                <w:bCs/>
                <w:sz w:val="20"/>
                <w:szCs w:val="20"/>
                <w:lang w:bidi="en-US"/>
              </w:rPr>
            </w:pPr>
            <w:r>
              <w:rPr>
                <w:bCs/>
                <w:sz w:val="20"/>
                <w:szCs w:val="20"/>
                <w:lang w:bidi="en-US"/>
              </w:rPr>
              <w:t>Completely resorbed after healing</w:t>
            </w:r>
          </w:p>
          <w:p w14:paraId="4EA5F24C" w14:textId="04BA6000" w:rsidR="00E502A5" w:rsidRPr="00773149" w:rsidRDefault="00E502A5" w:rsidP="00E502A5">
            <w:pPr>
              <w:pStyle w:val="JHEPBody"/>
              <w:rPr>
                <w:bCs/>
                <w:sz w:val="20"/>
                <w:szCs w:val="20"/>
                <w:lang w:bidi="en-US"/>
              </w:rPr>
            </w:pPr>
          </w:p>
        </w:tc>
        <w:tc>
          <w:tcPr>
            <w:tcW w:w="1383" w:type="pct"/>
          </w:tcPr>
          <w:p w14:paraId="60925D5F" w14:textId="44BF1474" w:rsidR="00E502A5" w:rsidRDefault="00E502A5" w:rsidP="00A026F4">
            <w:pPr>
              <w:pStyle w:val="JHEPBody"/>
              <w:numPr>
                <w:ilvl w:val="0"/>
                <w:numId w:val="28"/>
              </w:numPr>
              <w:rPr>
                <w:bCs/>
                <w:sz w:val="20"/>
                <w:szCs w:val="20"/>
                <w:lang w:bidi="en-US"/>
              </w:rPr>
            </w:pPr>
            <w:r>
              <w:rPr>
                <w:bCs/>
                <w:sz w:val="20"/>
                <w:szCs w:val="20"/>
                <w:lang w:bidi="en-US"/>
              </w:rPr>
              <w:t>Source from animals (bovine tendon)</w:t>
            </w:r>
          </w:p>
          <w:p w14:paraId="6A14DE73" w14:textId="77777777" w:rsidR="00E502A5" w:rsidRDefault="00E502A5" w:rsidP="00A026F4">
            <w:pPr>
              <w:pStyle w:val="JHEPBody"/>
              <w:numPr>
                <w:ilvl w:val="0"/>
                <w:numId w:val="28"/>
              </w:numPr>
              <w:rPr>
                <w:bCs/>
                <w:sz w:val="20"/>
                <w:szCs w:val="20"/>
                <w:lang w:bidi="en-US"/>
              </w:rPr>
            </w:pPr>
            <w:r>
              <w:rPr>
                <w:bCs/>
                <w:sz w:val="20"/>
                <w:szCs w:val="20"/>
                <w:lang w:bidi="en-US"/>
              </w:rPr>
              <w:t>Causes fever in patient (FDA recall)</w:t>
            </w:r>
          </w:p>
          <w:p w14:paraId="4F4D286C" w14:textId="50BF93B5" w:rsidR="00E502A5" w:rsidRDefault="00E502A5" w:rsidP="00481092">
            <w:pPr>
              <w:pStyle w:val="JHEPBody"/>
              <w:rPr>
                <w:bCs/>
                <w:sz w:val="20"/>
                <w:szCs w:val="20"/>
                <w:lang w:bidi="en-US"/>
              </w:rPr>
            </w:pPr>
          </w:p>
        </w:tc>
        <w:tc>
          <w:tcPr>
            <w:tcW w:w="1218" w:type="pct"/>
          </w:tcPr>
          <w:p w14:paraId="69F1ECAE" w14:textId="356550F0" w:rsidR="00236C73" w:rsidRPr="00CF00C6" w:rsidRDefault="00236C73" w:rsidP="00236C73">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sidR="00CF00C6">
              <w:rPr>
                <w:rFonts w:ascii="Tahoma" w:hAnsi="Tahoma" w:cs="Tahoma"/>
                <w:sz w:val="20"/>
                <w:szCs w:val="20"/>
              </w:rPr>
              <w:t xml:space="preserve"> and research </w:t>
            </w:r>
            <w:r w:rsidR="00CF00C6">
              <w:rPr>
                <w:rFonts w:ascii="Tahoma" w:hAnsi="Tahoma" w:cs="Tahoma"/>
                <w:sz w:val="20"/>
                <w:szCs w:val="20"/>
              </w:rPr>
              <w:fldChar w:fldCharType="begin"/>
            </w:r>
            <w:r w:rsidR="00CF00C6">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sidR="00CF00C6">
              <w:rPr>
                <w:rFonts w:ascii="Tahoma" w:hAnsi="Tahoma" w:cs="Tahoma"/>
                <w:sz w:val="20"/>
                <w:szCs w:val="20"/>
              </w:rPr>
              <w:fldChar w:fldCharType="separate"/>
            </w:r>
            <w:r w:rsidR="00CF00C6">
              <w:rPr>
                <w:rFonts w:ascii="Tahoma" w:hAnsi="Tahoma" w:cs="Tahoma"/>
                <w:noProof/>
                <w:sz w:val="20"/>
                <w:szCs w:val="20"/>
              </w:rPr>
              <w:t>(Li et al.)</w:t>
            </w:r>
            <w:r w:rsidR="00CF00C6">
              <w:rPr>
                <w:rFonts w:ascii="Tahoma" w:hAnsi="Tahoma" w:cs="Tahoma"/>
                <w:sz w:val="20"/>
                <w:szCs w:val="20"/>
              </w:rPr>
              <w:fldChar w:fldCharType="end"/>
            </w:r>
            <w:r w:rsidRPr="00236C73">
              <w:rPr>
                <w:rFonts w:ascii="Tahoma" w:hAnsi="Tahoma" w:cs="Tahoma"/>
                <w:sz w:val="20"/>
                <w:szCs w:val="20"/>
              </w:rPr>
              <w:t xml:space="preserve"> </w:t>
            </w:r>
          </w:p>
          <w:p w14:paraId="5E1496C4" w14:textId="0111B651" w:rsidR="001742C2" w:rsidRPr="00773149" w:rsidRDefault="001742C2" w:rsidP="00481092">
            <w:pPr>
              <w:pStyle w:val="JHEPBody"/>
              <w:rPr>
                <w:bCs/>
                <w:sz w:val="20"/>
                <w:szCs w:val="20"/>
                <w:lang w:bidi="en-US"/>
              </w:rPr>
            </w:pP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751C5942" w:rsidR="008267EC" w:rsidRDefault="00164AE3" w:rsidP="008267EC">
            <w:pPr>
              <w:pStyle w:val="JHEPBody"/>
              <w:numPr>
                <w:ilvl w:val="0"/>
                <w:numId w:val="30"/>
              </w:numPr>
              <w:rPr>
                <w:bCs/>
                <w:sz w:val="20"/>
                <w:szCs w:val="20"/>
                <w:lang w:bidi="en-US"/>
              </w:rPr>
            </w:pPr>
            <w:r>
              <w:rPr>
                <w:bCs/>
                <w:sz w:val="20"/>
                <w:szCs w:val="20"/>
                <w:lang w:bidi="en-US"/>
              </w:rPr>
              <w:t>Restore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1B3867EE" w:rsidR="008267EC" w:rsidRDefault="008267EC" w:rsidP="008267EC">
            <w:pPr>
              <w:pStyle w:val="JHEPBody"/>
              <w:numPr>
                <w:ilvl w:val="0"/>
                <w:numId w:val="30"/>
              </w:numPr>
              <w:rPr>
                <w:bCs/>
                <w:sz w:val="20"/>
                <w:szCs w:val="20"/>
                <w:lang w:bidi="en-US"/>
              </w:rPr>
            </w:pPr>
            <w:r>
              <w:rPr>
                <w:bCs/>
                <w:sz w:val="20"/>
                <w:szCs w:val="20"/>
                <w:lang w:bidi="en-US"/>
              </w:rPr>
              <w:t>Might require physical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8267EC" w:rsidRPr="00773149" w14:paraId="448B613B" w14:textId="77777777" w:rsidTr="008267EC">
        <w:trPr>
          <w:trHeight w:val="1098"/>
        </w:trPr>
        <w:tc>
          <w:tcPr>
            <w:tcW w:w="1424" w:type="pct"/>
          </w:tcPr>
          <w:p w14:paraId="0234E0D1" w14:textId="07111737"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w:t>
            </w:r>
            <w:proofErr w:type="spellStart"/>
            <w:r w:rsidR="00335876">
              <w:rPr>
                <w:sz w:val="20"/>
                <w:szCs w:val="20"/>
                <w:lang w:bidi="en-US"/>
              </w:rPr>
              <w:t>therapry</w:t>
            </w:r>
            <w:proofErr w:type="spellEnd"/>
            <w:r w:rsidR="00335876">
              <w:rPr>
                <w:sz w:val="20"/>
                <w:szCs w:val="20"/>
                <w:lang w:bidi="en-US"/>
              </w:rPr>
              <w:t xml:space="preserve"> </w:t>
            </w:r>
            <w:r w:rsidR="0031629E">
              <w:rPr>
                <w:sz w:val="20"/>
                <w:szCs w:val="20"/>
                <w:lang w:bidi="en-US"/>
              </w:rPr>
              <w:t>for patients with ASIA-</w:t>
            </w:r>
            <w:r w:rsidR="00335876">
              <w:rPr>
                <w:sz w:val="20"/>
                <w:szCs w:val="20"/>
                <w:lang w:bidi="en-US"/>
              </w:rPr>
              <w:t>B SCI.</w:t>
            </w:r>
          </w:p>
        </w:tc>
        <w:tc>
          <w:tcPr>
            <w:tcW w:w="975" w:type="pct"/>
          </w:tcPr>
          <w:p w14:paraId="249461D2" w14:textId="7D4E1932" w:rsidR="002B7FA5" w:rsidRDefault="002B7FA5" w:rsidP="002A5FD4">
            <w:pPr>
              <w:pStyle w:val="JHEPBody"/>
              <w:numPr>
                <w:ilvl w:val="0"/>
                <w:numId w:val="31"/>
              </w:numPr>
              <w:rPr>
                <w:bCs/>
                <w:sz w:val="20"/>
                <w:szCs w:val="20"/>
                <w:lang w:bidi="en-US"/>
              </w:rPr>
            </w:pPr>
            <w:r>
              <w:rPr>
                <w:bCs/>
                <w:sz w:val="20"/>
                <w:szCs w:val="20"/>
                <w:lang w:bidi="en-US"/>
              </w:rPr>
              <w:t>Limit demyelination</w:t>
            </w:r>
          </w:p>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97BE1D4" w:rsidR="002B7FA5" w:rsidRDefault="002B7FA5" w:rsidP="002A5FD4">
            <w:pPr>
              <w:pStyle w:val="JHEPBody"/>
              <w:numPr>
                <w:ilvl w:val="0"/>
                <w:numId w:val="31"/>
              </w:numPr>
              <w:rPr>
                <w:bCs/>
                <w:sz w:val="20"/>
                <w:szCs w:val="20"/>
                <w:lang w:bidi="en-US"/>
              </w:rPr>
            </w:pPr>
            <w:r>
              <w:rPr>
                <w:bCs/>
                <w:sz w:val="20"/>
                <w:szCs w:val="20"/>
                <w:lang w:bidi="en-US"/>
              </w:rPr>
              <w:t>Decrease apoptosis</w:t>
            </w:r>
          </w:p>
          <w:p w14:paraId="40935317" w14:textId="6C530FEC" w:rsidR="002B7FA5" w:rsidRDefault="002B7FA5" w:rsidP="002A5FD4">
            <w:pPr>
              <w:pStyle w:val="JHEPBody"/>
              <w:numPr>
                <w:ilvl w:val="0"/>
                <w:numId w:val="31"/>
              </w:numPr>
              <w:rPr>
                <w:bCs/>
                <w:sz w:val="20"/>
                <w:szCs w:val="20"/>
                <w:lang w:bidi="en-US"/>
              </w:rPr>
            </w:pPr>
            <w:r>
              <w:rPr>
                <w:bCs/>
                <w:sz w:val="20"/>
                <w:szCs w:val="20"/>
                <w:lang w:bidi="en-US"/>
              </w:rPr>
              <w:t>Reduce glial &amp; trophic factors</w:t>
            </w:r>
          </w:p>
          <w:p w14:paraId="41A1634E" w14:textId="65295CD5" w:rsidR="008267EC" w:rsidRDefault="001D3822" w:rsidP="001D3822">
            <w:pPr>
              <w:pStyle w:val="JHEPBody"/>
              <w:numPr>
                <w:ilvl w:val="0"/>
                <w:numId w:val="31"/>
              </w:numPr>
              <w:rPr>
                <w:bCs/>
                <w:sz w:val="20"/>
                <w:szCs w:val="20"/>
                <w:lang w:bidi="en-US"/>
              </w:rPr>
            </w:pPr>
            <w:r>
              <w:rPr>
                <w:bCs/>
                <w:sz w:val="20"/>
                <w:szCs w:val="20"/>
                <w:lang w:bidi="en-US"/>
              </w:rPr>
              <w:t>Lower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2F01753F"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w:t>
      </w:r>
      <w:r w:rsidRPr="00483BCD">
        <w:rPr>
          <w:bCs/>
          <w:sz w:val="22"/>
        </w:rPr>
        <w:t>is a controversial drug</w:t>
      </w:r>
      <w:r w:rsidRPr="00483BCD">
        <w:rPr>
          <w:bCs/>
          <w:sz w:val="22"/>
        </w:rPr>
        <w:t xml:space="preserve">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facilitating neuronal conduction,  </w:t>
      </w:r>
      <w:r w:rsidR="009A6475" w:rsidRPr="00483BCD">
        <w:rPr>
          <w:bCs/>
          <w:sz w:val="22"/>
        </w:rPr>
        <w:t>improving vascular perfusion, preventing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and blocks proinflammatory genes, and promotes expression of anti-inflammatory genes, and inhibits synthesis of cytokines</w:t>
      </w:r>
      <w:r w:rsidR="00173FC6" w:rsidRPr="00483BCD">
        <w:rPr>
          <w:bCs/>
          <w:sz w:val="22"/>
        </w:rPr>
        <w:t xml:space="preserve"> (</w:t>
      </w:r>
      <w:proofErr w:type="spellStart"/>
      <w:r w:rsidR="00173FC6" w:rsidRPr="00483BCD">
        <w:rPr>
          <w:sz w:val="22"/>
        </w:rPr>
        <w:t>StatsPearl</w:t>
      </w:r>
      <w:proofErr w:type="spellEnd"/>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65FBC1D5"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w:t>
      </w:r>
      <w:r w:rsidR="00D867CC" w:rsidRPr="00483BCD">
        <w:rPr>
          <w:bCs/>
          <w:sz w:val="22"/>
        </w:rPr>
        <w:t xml:space="preserve">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in animal models or patients 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E5578B" w:rsidRPr="00483BCD">
        <w:rPr>
          <w:bCs/>
          <w:sz w:val="22"/>
        </w:rPr>
        <w:t xml:space="preserve">or the opposite like this study which reviewed the data of </w:t>
      </w:r>
      <w:r w:rsidR="00E5578B" w:rsidRPr="00483BCD">
        <w:rPr>
          <w:bCs/>
          <w:sz w:val="22"/>
        </w:rPr>
        <w:t>12 hospitals</w:t>
      </w:r>
      <w:r w:rsidR="00E5578B" w:rsidRPr="00483BCD">
        <w:rPr>
          <w:bCs/>
          <w:sz w:val="22"/>
        </w:rPr>
        <w:t xml:space="preserve">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151707C3" w14:textId="77777777" w:rsidR="00DA5E05" w:rsidRDefault="00A11B58" w:rsidP="00483BCD">
      <w:pPr>
        <w:pStyle w:val="JHEPBody"/>
        <w:numPr>
          <w:ilvl w:val="0"/>
          <w:numId w:val="29"/>
        </w:numPr>
        <w:spacing w:line="480" w:lineRule="auto"/>
        <w:rPr>
          <w:bCs/>
          <w:sz w:val="22"/>
        </w:rPr>
      </w:pPr>
      <w:r w:rsidRPr="00483BCD">
        <w:rPr>
          <w:bCs/>
          <w:sz w:val="22"/>
        </w:rPr>
        <w:t xml:space="preserve">Collagen is abundant in the central nervous system, and connective </w:t>
      </w:r>
      <w:r w:rsidR="004C559F" w:rsidRPr="00483BCD">
        <w:rPr>
          <w:bCs/>
          <w:sz w:val="22"/>
        </w:rPr>
        <w:t xml:space="preserve">tissue. Implanted collagen hydrogels could promote the migrations neurons, the growth and regeneration of nerve </w:t>
      </w:r>
      <w:r w:rsidR="0055598D" w:rsidRPr="00483BCD">
        <w:rPr>
          <w:bCs/>
          <w:sz w:val="22"/>
        </w:rPr>
        <w:t>axons, expression of BNDF</w:t>
      </w:r>
      <w:r w:rsidR="009B1458" w:rsidRPr="00483BCD">
        <w:rPr>
          <w:bCs/>
          <w:sz w:val="22"/>
        </w:rPr>
        <w:t xml:space="preserve">, </w:t>
      </w:r>
      <w:r w:rsidR="0055598D" w:rsidRPr="00483BCD">
        <w:rPr>
          <w:bCs/>
          <w:sz w:val="22"/>
        </w:rPr>
        <w:t xml:space="preserve">neurotrophin-3 (NT3), </w:t>
      </w:r>
      <w:r w:rsidRPr="00483BCD">
        <w:rPr>
          <w:bCs/>
          <w:sz w:val="22"/>
        </w:rPr>
        <w:t>a</w:t>
      </w:r>
      <w:r w:rsidR="004C559F" w:rsidRPr="00483BCD">
        <w:rPr>
          <w:bCs/>
          <w:sz w:val="22"/>
        </w:rPr>
        <w:t>n</w:t>
      </w:r>
      <w:r w:rsidRPr="00483BCD">
        <w:rPr>
          <w:bCs/>
          <w:sz w:val="22"/>
        </w:rPr>
        <w:t xml:space="preserve">d </w:t>
      </w:r>
      <w:r w:rsidR="0055598D" w:rsidRPr="00483BCD">
        <w:rPr>
          <w:bCs/>
          <w:sz w:val="22"/>
        </w:rPr>
        <w:t xml:space="preserve">the </w:t>
      </w:r>
      <w:r w:rsidRPr="00483BCD">
        <w:rPr>
          <w:bCs/>
          <w:sz w:val="22"/>
        </w:rPr>
        <w:t>inhibit</w:t>
      </w:r>
      <w:r w:rsidR="0055598D" w:rsidRPr="00483BCD">
        <w:rPr>
          <w:bCs/>
          <w:sz w:val="22"/>
        </w:rPr>
        <w:t>ion</w:t>
      </w:r>
      <w:r w:rsidRPr="00483BCD">
        <w:rPr>
          <w:bCs/>
          <w:sz w:val="22"/>
        </w:rPr>
        <w:t xml:space="preserve"> </w:t>
      </w:r>
      <w:r w:rsidR="0055598D" w:rsidRPr="00483BCD">
        <w:rPr>
          <w:bCs/>
          <w:sz w:val="22"/>
        </w:rPr>
        <w:t xml:space="preserve">of </w:t>
      </w:r>
      <w:r w:rsidRPr="00483BCD">
        <w:rPr>
          <w:bCs/>
          <w:sz w:val="22"/>
        </w:rPr>
        <w:t>hypertrophy of glial cell (gliosis).</w:t>
      </w:r>
      <w:r w:rsidR="00605B5C" w:rsidRPr="00483BCD">
        <w:rPr>
          <w:bCs/>
          <w:sz w:val="22"/>
        </w:rPr>
        <w:t xml:space="preserve"> Collagen is difficult to harvest and requires expensive thorough purification protocols to </w:t>
      </w:r>
      <w:r w:rsidR="00532B45" w:rsidRPr="00483BCD">
        <w:rPr>
          <w:bCs/>
          <w:sz w:val="22"/>
        </w:rPr>
        <w:t>suppress</w:t>
      </w:r>
      <w:r w:rsidR="00605B5C" w:rsidRPr="00483BCD">
        <w:rPr>
          <w:bCs/>
          <w:sz w:val="22"/>
        </w:rPr>
        <w:t xml:space="preserve"> </w:t>
      </w:r>
      <w:r w:rsidR="00532B45" w:rsidRPr="00483BCD">
        <w:rPr>
          <w:bCs/>
          <w:sz w:val="22"/>
        </w:rPr>
        <w:t xml:space="preserve">the </w:t>
      </w:r>
      <w:r w:rsidR="00605B5C" w:rsidRPr="00483BCD">
        <w:rPr>
          <w:bCs/>
          <w:sz w:val="22"/>
        </w:rPr>
        <w:t>immun</w:t>
      </w:r>
      <w:r w:rsidR="00532B45" w:rsidRPr="00483BCD">
        <w:rPr>
          <w:bCs/>
          <w:sz w:val="22"/>
        </w:rPr>
        <w:t>e</w:t>
      </w:r>
      <w:r w:rsidR="00605B5C" w:rsidRPr="00483BCD">
        <w:rPr>
          <w:bCs/>
          <w:sz w:val="22"/>
        </w:rPr>
        <w:t xml:space="preserve"> response.</w:t>
      </w:r>
      <w:r w:rsidR="006F7A1E" w:rsidRPr="00483BCD">
        <w:rPr>
          <w:bCs/>
          <w:sz w:val="22"/>
        </w:rPr>
        <w:t xml:space="preserve"> </w:t>
      </w:r>
      <w:r w:rsidR="00236C73" w:rsidRPr="00483BCD">
        <w:rPr>
          <w:bCs/>
          <w:sz w:val="22"/>
        </w:rPr>
        <w:t xml:space="preserve">Despite two clinical trials, with encouraging results, including motor and </w:t>
      </w:r>
    </w:p>
    <w:p w14:paraId="7B41E898" w14:textId="77777777" w:rsidR="00DA5E05" w:rsidRDefault="00DA5E05" w:rsidP="00DA5E05">
      <w:pPr>
        <w:pStyle w:val="JHEPBody"/>
        <w:spacing w:line="480" w:lineRule="auto"/>
        <w:rPr>
          <w:bCs/>
          <w:sz w:val="22"/>
        </w:rPr>
      </w:pPr>
    </w:p>
    <w:p w14:paraId="730BD13E" w14:textId="2F917BAA" w:rsidR="00236C73" w:rsidRDefault="00236C73" w:rsidP="000868E4">
      <w:pPr>
        <w:pStyle w:val="JHEPBody"/>
        <w:spacing w:line="480" w:lineRule="auto"/>
        <w:ind w:left="360"/>
        <w:rPr>
          <w:bCs/>
          <w:sz w:val="22"/>
        </w:rPr>
      </w:pPr>
      <w:r w:rsidRPr="00483BCD">
        <w:rPr>
          <w:bCs/>
          <w:sz w:val="22"/>
        </w:rPr>
        <w:lastRenderedPageBreak/>
        <w:t xml:space="preserve">sensory rehabilitation for 8 </w:t>
      </w:r>
      <w:r w:rsidR="00AE4E75" w:rsidRPr="00483BCD">
        <w:rPr>
          <w:bCs/>
          <w:sz w:val="22"/>
        </w:rPr>
        <w:t xml:space="preserve">patients, </w:t>
      </w:r>
      <w:proofErr w:type="spellStart"/>
      <w:r w:rsidR="00AE4E75" w:rsidRPr="00483BCD">
        <w:rPr>
          <w:bCs/>
          <w:sz w:val="22"/>
        </w:rPr>
        <w:t>NeuroRegen</w:t>
      </w:r>
      <w:r w:rsidR="00AE4E75" w:rsidRPr="00663DC6">
        <w:rPr>
          <w:bCs/>
          <w:sz w:val="22"/>
          <w:vertAlign w:val="superscript"/>
        </w:rPr>
        <w:t>T</w:t>
      </w:r>
      <w:r w:rsidR="00AE4E75" w:rsidRPr="00AE4E75">
        <w:rPr>
          <w:bCs/>
          <w:sz w:val="22"/>
          <w:vertAlign w:val="superscript"/>
        </w:rPr>
        <w:t>M</w:t>
      </w:r>
      <w:proofErr w:type="spellEnd"/>
      <w:r w:rsidRPr="00483BCD">
        <w:rPr>
          <w:bCs/>
          <w:sz w:val="22"/>
        </w:rPr>
        <w:t xml:space="preserve"> scaffolds have never been commercialized</w:t>
      </w:r>
      <w:r w:rsidR="00663DC6">
        <w:rPr>
          <w:bCs/>
          <w:sz w:val="22"/>
        </w:rPr>
        <w:t>.</w:t>
      </w:r>
    </w:p>
    <w:p w14:paraId="4538E91F" w14:textId="7063D624" w:rsidR="00663DC6" w:rsidRDefault="00E35265" w:rsidP="00DA5E05">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Locomotor training can enhance recovery of walking and individuals with severe SCI can still benefit from it on improving cardiovascular,  respiratory, and bowel function</w:t>
      </w:r>
      <w:r w:rsidR="00A76AC1">
        <w:rPr>
          <w:bCs/>
          <w:sz w:val="22"/>
        </w:rPr>
        <w:t>; yet quantitative results of its benefits still need to be established</w:t>
      </w:r>
      <w:r w:rsidR="00DA5E05">
        <w:rPr>
          <w:bCs/>
          <w:sz w:val="22"/>
        </w:rPr>
        <w:t xml:space="preserve"> </w:t>
      </w:r>
      <w:r w:rsidR="00DA5E05">
        <w:rPr>
          <w:bCs/>
          <w:sz w:val="22"/>
        </w:rPr>
        <w:fldChar w:fldCharType="begin"/>
      </w:r>
      <w:r w:rsidR="00DA5E05">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Pr>
          <w:bCs/>
          <w:sz w:val="22"/>
        </w:rPr>
        <w:fldChar w:fldCharType="separate"/>
      </w:r>
      <w:r w:rsidR="00DA5E05">
        <w:rPr>
          <w:bCs/>
          <w:noProof/>
          <w:sz w:val="22"/>
        </w:rPr>
        <w:t>(Dobkin et al.)</w:t>
      </w:r>
      <w:r w:rsidR="00DA5E05">
        <w:rPr>
          <w:bCs/>
          <w:sz w:val="22"/>
        </w:rPr>
        <w:fldChar w:fldCharType="end"/>
      </w:r>
      <w:r w:rsidR="007C54B2">
        <w:rPr>
          <w:bCs/>
          <w:sz w:val="22"/>
        </w:rPr>
        <w:t>.</w:t>
      </w:r>
      <w:r w:rsidR="00A76AC1">
        <w:rPr>
          <w:bCs/>
          <w:sz w:val="22"/>
        </w:rPr>
        <w:t xml:space="preserve"> </w:t>
      </w:r>
    </w:p>
    <w:p w14:paraId="7E690663" w14:textId="191EF35C" w:rsidR="00354B95" w:rsidRPr="00B721B3" w:rsidRDefault="00AA3564" w:rsidP="00274369">
      <w:pPr>
        <w:pStyle w:val="JHEPBody"/>
        <w:numPr>
          <w:ilvl w:val="0"/>
          <w:numId w:val="29"/>
        </w:numPr>
        <w:spacing w:line="480" w:lineRule="auto"/>
        <w:rPr>
          <w:bCs/>
        </w:rPr>
      </w:pPr>
      <w:r w:rsidRPr="00B721B3">
        <w:rPr>
          <w:bCs/>
          <w:sz w:val="22"/>
        </w:rPr>
        <w:t xml:space="preserve">A variety of stem cells of different types have been investigated for SCI (Schwann cells, mesenchymal stromal cells, neural progenitor cells, OPCs). 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674"/>
        <w:gridCol w:w="1963"/>
        <w:gridCol w:w="2033"/>
        <w:gridCol w:w="1895"/>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DA5E05">
          <w:pgSz w:w="12240" w:h="15840"/>
          <w:pgMar w:top="1728" w:right="1080" w:bottom="720" w:left="1080"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1DF31B44" w:rsidR="00274369" w:rsidRDefault="006A11B0" w:rsidP="00274369">
      <w:pPr>
        <w:pStyle w:val="JHEPBody"/>
      </w:pPr>
      <w:r>
        <w:t>[table]</w:t>
      </w:r>
    </w:p>
    <w:p w14:paraId="1269CDA2" w14:textId="3AAB86FA" w:rsidR="00240673" w:rsidRDefault="00240673" w:rsidP="00274369">
      <w:pPr>
        <w:pStyle w:val="JHEPBody"/>
      </w:pPr>
    </w:p>
    <w:p w14:paraId="7105C640" w14:textId="77777777" w:rsidR="00240673" w:rsidRDefault="00240673" w:rsidP="00274369">
      <w:pPr>
        <w:pStyle w:val="JHEPBody"/>
      </w:pP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77A8BD04" w:rsidR="00535BEC" w:rsidRPr="00D739E1" w:rsidRDefault="002849BA" w:rsidP="00535BEC">
      <w:pPr>
        <w:rPr>
          <w:bCs/>
        </w:rPr>
      </w:pPr>
      <w:r w:rsidRPr="00D739E1">
        <w:rPr>
          <w:bCs/>
        </w:rPr>
        <w:lastRenderedPageBreak/>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70E02507"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so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29AD5872" w14:textId="2FC1D132" w:rsidR="00C17335"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39832AC7" w14:textId="780CF64C" w:rsidR="00BB4E41" w:rsidRDefault="00BB4E41" w:rsidP="00C17335">
      <w:pPr>
        <w:pStyle w:val="Body"/>
      </w:pPr>
    </w:p>
    <w:p w14:paraId="6D23B5B9" w14:textId="77777777" w:rsidR="00BB4E41" w:rsidRPr="00165462" w:rsidRDefault="00BB4E41" w:rsidP="00BB4E41">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National spinal cord injury statistical center: </w:t>
      </w:r>
      <w:hyperlink r:id="rId13" w:history="1">
        <w:r w:rsidRPr="00165462">
          <w:rPr>
            <w:rStyle w:val="Hyperlink"/>
            <w:sz w:val="22"/>
            <w:szCs w:val="22"/>
          </w:rPr>
          <w:t>Facts and Figures 2020</w:t>
        </w:r>
      </w:hyperlink>
    </w:p>
    <w:p w14:paraId="0DFF783D" w14:textId="77777777" w:rsidR="00BB4E41" w:rsidRPr="00165462" w:rsidRDefault="00BB4E41" w:rsidP="00BB4E41">
      <w:pPr>
        <w:pStyle w:val="FootnoteText"/>
        <w:numPr>
          <w:ilvl w:val="0"/>
          <w:numId w:val="22"/>
        </w:numPr>
        <w:spacing w:before="120"/>
        <w:ind w:left="360"/>
        <w:rPr>
          <w:sz w:val="22"/>
          <w:szCs w:val="22"/>
        </w:rPr>
      </w:pPr>
      <w:r w:rsidRPr="00165462">
        <w:rPr>
          <w:rFonts w:cs="Tahoma"/>
          <w:sz w:val="22"/>
          <w:szCs w:val="22"/>
        </w:rPr>
        <w:t>lifeexpectancy.org</w:t>
      </w:r>
    </w:p>
    <w:p w14:paraId="4FFB96A5" w14:textId="77777777" w:rsidR="00BB4E41" w:rsidRPr="00BB4E41" w:rsidRDefault="00BB4E41" w:rsidP="00BB4E41">
      <w:pPr>
        <w:pStyle w:val="JHEPBody"/>
        <w:numPr>
          <w:ilvl w:val="0"/>
          <w:numId w:val="22"/>
        </w:numPr>
        <w:spacing w:before="120"/>
        <w:ind w:left="360"/>
        <w:rPr>
          <w:rStyle w:val="Hyperlink"/>
          <w:color w:val="auto"/>
          <w:sz w:val="22"/>
          <w:u w:val="none"/>
        </w:rPr>
      </w:pPr>
      <w:r w:rsidRPr="00165462">
        <w:rPr>
          <w:sz w:val="22"/>
        </w:rPr>
        <w:t>SpinalCord.com:</w:t>
      </w:r>
      <w:hyperlink r:id="rId14" w:history="1">
        <w:r w:rsidRPr="00165462">
          <w:rPr>
            <w:rStyle w:val="Hyperlink"/>
            <w:sz w:val="22"/>
          </w:rPr>
          <w:t>4 Things You need to. Know about SCI Medicaid Coverage</w:t>
        </w:r>
      </w:hyperlink>
    </w:p>
    <w:p w14:paraId="2451B1EE" w14:textId="281F0BD1" w:rsidR="00BB4E41" w:rsidRPr="00DF11B6" w:rsidRDefault="00BB4E41" w:rsidP="00BB4E41">
      <w:pPr>
        <w:pStyle w:val="JHEPBody"/>
        <w:numPr>
          <w:ilvl w:val="0"/>
          <w:numId w:val="22"/>
        </w:numPr>
        <w:spacing w:before="120"/>
        <w:ind w:left="360"/>
        <w:rPr>
          <w:rStyle w:val="Hyperlink"/>
          <w:color w:val="auto"/>
          <w:sz w:val="22"/>
          <w:u w:val="none"/>
        </w:rPr>
      </w:pPr>
      <w:r>
        <w:t>Kaiser</w:t>
      </w:r>
      <w:r w:rsidR="00F55848">
        <w:t>:</w:t>
      </w:r>
      <w:r>
        <w:t xml:space="preserve"> reference: </w:t>
      </w:r>
      <w:hyperlink r:id="rId15" w:history="1">
        <w:r w:rsidRPr="00BB4E41">
          <w:rPr>
            <w:rStyle w:val="Hyperlink"/>
          </w:rPr>
          <w:t>Drug Encyclopedia Entry on Medrol</w:t>
        </w:r>
      </w:hyperlink>
    </w:p>
    <w:p w14:paraId="6DA08A2F" w14:textId="77777777" w:rsidR="007D2A17" w:rsidRDefault="003F052D" w:rsidP="007D2A17">
      <w:pPr>
        <w:pStyle w:val="JHEPBody"/>
        <w:numPr>
          <w:ilvl w:val="0"/>
          <w:numId w:val="22"/>
        </w:numPr>
        <w:spacing w:before="120"/>
        <w:ind w:left="360"/>
        <w:rPr>
          <w:sz w:val="22"/>
        </w:rPr>
      </w:pPr>
      <w:proofErr w:type="spellStart"/>
      <w:proofErr w:type="gramStart"/>
      <w:r>
        <w:rPr>
          <w:sz w:val="22"/>
        </w:rPr>
        <w:t>StatsPearl</w:t>
      </w:r>
      <w:proofErr w:type="spellEnd"/>
      <w:r>
        <w:rPr>
          <w:sz w:val="22"/>
        </w:rPr>
        <w:t xml:space="preserve"> :</w:t>
      </w:r>
      <w:proofErr w:type="gramEnd"/>
      <w:r>
        <w:rPr>
          <w:sz w:val="22"/>
        </w:rPr>
        <w:t xml:space="preserve"> </w:t>
      </w:r>
      <w:r w:rsidR="00DF11B6">
        <w:rPr>
          <w:sz w:val="22"/>
        </w:rPr>
        <w:t xml:space="preserve">Antonio </w:t>
      </w:r>
      <w:proofErr w:type="spellStart"/>
      <w:r w:rsidR="00DF11B6">
        <w:rPr>
          <w:sz w:val="22"/>
        </w:rPr>
        <w:t>Ocejo</w:t>
      </w:r>
      <w:proofErr w:type="spellEnd"/>
      <w:r w:rsidR="00DF11B6">
        <w:rPr>
          <w:sz w:val="22"/>
        </w:rPr>
        <w:t xml:space="preserve">, Ricardo Correa: </w:t>
      </w:r>
      <w:hyperlink r:id="rId16" w:history="1">
        <w:proofErr w:type="spellStart"/>
        <w:r w:rsidR="00DF11B6">
          <w:rPr>
            <w:rStyle w:val="Hyperlink"/>
            <w:sz w:val="22"/>
          </w:rPr>
          <w:t>Methylprednisolone</w:t>
        </w:r>
      </w:hyperlink>
      <w:proofErr w:type="spellEnd"/>
    </w:p>
    <w:p w14:paraId="2CDCA7D3" w14:textId="331F61CC" w:rsidR="00DF11B6" w:rsidRDefault="007D2A17" w:rsidP="007D2A17">
      <w:pPr>
        <w:pStyle w:val="JHEPBody"/>
        <w:numPr>
          <w:ilvl w:val="0"/>
          <w:numId w:val="22"/>
        </w:numPr>
        <w:spacing w:before="120"/>
        <w:ind w:left="360"/>
        <w:rPr>
          <w:sz w:val="22"/>
        </w:rPr>
      </w:pPr>
      <w:r w:rsidRPr="007D2A17">
        <w:rPr>
          <w:sz w:val="22"/>
        </w:rPr>
        <w:t xml:space="preserve">Class 2 Device Recall </w:t>
      </w:r>
      <w:proofErr w:type="spellStart"/>
      <w:r w:rsidRPr="007D2A17">
        <w:rPr>
          <w:sz w:val="22"/>
        </w:rPr>
        <w:t>NeuraWrap</w:t>
      </w:r>
      <w:proofErr w:type="spellEnd"/>
      <w:r w:rsidRPr="007D2A17">
        <w:rPr>
          <w:sz w:val="22"/>
        </w:rPr>
        <w:t xml:space="preserve"> Nerve Protector – Recall Event Id: 64778</w:t>
      </w:r>
    </w:p>
    <w:p w14:paraId="71D6D46A" w14:textId="2E2FEA95" w:rsidR="00AE7B54" w:rsidRPr="00AE7B54" w:rsidRDefault="00881FB4" w:rsidP="007130C0">
      <w:pPr>
        <w:pStyle w:val="Bibliography"/>
        <w:numPr>
          <w:ilvl w:val="0"/>
          <w:numId w:val="22"/>
        </w:numPr>
        <w:spacing w:before="120" w:line="240" w:lineRule="auto"/>
        <w:ind w:left="360"/>
        <w:rPr>
          <w:sz w:val="22"/>
        </w:rPr>
      </w:pPr>
      <w:r w:rsidRPr="00881FB4">
        <w:rPr>
          <w:rFonts w:cs="Tahoma"/>
        </w:rPr>
        <w:t xml:space="preserve">The Effects and Potential Mechanisms of Locomotor Training on Improvements of Functional Recovery after Spinal Cord Injury | Elsevier Enhanced Reader. </w:t>
      </w:r>
      <w:hyperlink r:id="rId17" w:history="1">
        <w:r w:rsidR="00AE7B54" w:rsidRPr="007F43F8">
          <w:rPr>
            <w:rStyle w:val="Hyperlink"/>
            <w:rFonts w:cs="Tahoma"/>
          </w:rPr>
          <w:t>https://doi.org/10.1016/bs.irn.2019.08.003</w:t>
        </w:r>
      </w:hyperlink>
      <w:r w:rsidRPr="00881FB4">
        <w:rPr>
          <w:rFonts w:cs="Tahoma"/>
        </w:rPr>
        <w:t>.</w:t>
      </w:r>
    </w:p>
    <w:p w14:paraId="55F7AF8B" w14:textId="03171CA7" w:rsidR="00881FB4" w:rsidRPr="00881FB4" w:rsidRDefault="00AE7B54" w:rsidP="007130C0">
      <w:pPr>
        <w:pStyle w:val="Bibliography"/>
        <w:numPr>
          <w:ilvl w:val="0"/>
          <w:numId w:val="22"/>
        </w:numPr>
        <w:spacing w:before="120" w:line="240" w:lineRule="auto"/>
        <w:ind w:left="360"/>
        <w:rPr>
          <w:sz w:val="22"/>
        </w:rPr>
      </w:pPr>
      <w:r w:rsidRPr="00AE7B54">
        <w:rPr>
          <w:rFonts w:cs="Tahoma"/>
        </w:rPr>
        <w:t>https://academic-oup-com.proxy1.library.jhu.edu/bmb/article/116/1/19/401008</w:t>
      </w:r>
      <w:r w:rsidR="00881FB4" w:rsidRPr="00881FB4">
        <w:rPr>
          <w:rFonts w:cs="Tahoma"/>
        </w:rPr>
        <w:t xml:space="preserve"> </w:t>
      </w:r>
    </w:p>
    <w:p w14:paraId="4D3C56DC" w14:textId="77777777" w:rsidR="00B027F5" w:rsidRPr="00B027F5" w:rsidRDefault="00B027F5" w:rsidP="00B027F5"/>
    <w:p w14:paraId="05C1B78E" w14:textId="2BE6B07C" w:rsidR="00040E46" w:rsidRDefault="00974719" w:rsidP="00040E46">
      <w:pPr>
        <w:pStyle w:val="Heading2"/>
      </w:pPr>
      <w:r>
        <w:t>Reference</w:t>
      </w:r>
      <w:r w:rsidR="00040E46">
        <w:t>s</w:t>
      </w:r>
    </w:p>
    <w:p w14:paraId="11958FBE" w14:textId="31B817B5" w:rsidR="00040E46" w:rsidRDefault="00040E46" w:rsidP="00040E46">
      <w:pPr>
        <w:pStyle w:val="Body"/>
      </w:pPr>
    </w:p>
    <w:p w14:paraId="1D52F065" w14:textId="77777777" w:rsidR="00EF18F3" w:rsidRPr="00EF18F3" w:rsidRDefault="00BB4E41" w:rsidP="00EF18F3">
      <w:pPr>
        <w:pStyle w:val="Bibliography"/>
        <w:rPr>
          <w:rFonts w:cs="Tahoma"/>
        </w:rPr>
      </w:pPr>
      <w:r>
        <w:lastRenderedPageBreak/>
        <w:fldChar w:fldCharType="begin"/>
      </w:r>
      <w:r w:rsidR="00881FB4">
        <w:instrText xml:space="preserve"> ADDIN ZOTERO_BIBL {"uncited":[],"omitted":[],"custom":[]} CSL_BIBLIOGRAPHY </w:instrText>
      </w:r>
      <w:r>
        <w:fldChar w:fldCharType="separate"/>
      </w:r>
      <w:proofErr w:type="spellStart"/>
      <w:r w:rsidR="00EF18F3" w:rsidRPr="00EF18F3">
        <w:rPr>
          <w:rFonts w:cs="Tahoma"/>
        </w:rPr>
        <w:t>Badner</w:t>
      </w:r>
      <w:proofErr w:type="spellEnd"/>
      <w:r w:rsidR="00EF18F3" w:rsidRPr="00EF18F3">
        <w:rPr>
          <w:rFonts w:cs="Tahoma"/>
        </w:rPr>
        <w:t xml:space="preserve">, Anna, et al. “Spinal Cord Injuries: How Could Cell Therapy Help?” </w:t>
      </w:r>
      <w:r w:rsidR="00EF18F3" w:rsidRPr="00EF18F3">
        <w:rPr>
          <w:rFonts w:cs="Tahoma"/>
          <w:i/>
          <w:iCs/>
        </w:rPr>
        <w:t>Expert Opinion on Biological Therapy</w:t>
      </w:r>
      <w:r w:rsidR="00EF18F3" w:rsidRPr="00EF18F3">
        <w:rPr>
          <w:rFonts w:cs="Tahoma"/>
        </w:rPr>
        <w:t xml:space="preserve">, vol. 17, no. 5, May 2017, pp. 529–41. </w:t>
      </w:r>
      <w:r w:rsidR="00EF18F3" w:rsidRPr="00EF18F3">
        <w:rPr>
          <w:rFonts w:cs="Tahoma"/>
          <w:i/>
          <w:iCs/>
        </w:rPr>
        <w:t>DOI.org (</w:t>
      </w:r>
      <w:proofErr w:type="spellStart"/>
      <w:r w:rsidR="00EF18F3" w:rsidRPr="00EF18F3">
        <w:rPr>
          <w:rFonts w:cs="Tahoma"/>
          <w:i/>
          <w:iCs/>
        </w:rPr>
        <w:t>Crossref</w:t>
      </w:r>
      <w:proofErr w:type="spellEnd"/>
      <w:r w:rsidR="00EF18F3" w:rsidRPr="00EF18F3">
        <w:rPr>
          <w:rFonts w:cs="Tahoma"/>
          <w:i/>
          <w:iCs/>
        </w:rPr>
        <w:t>)</w:t>
      </w:r>
      <w:r w:rsidR="00EF18F3" w:rsidRPr="00EF18F3">
        <w:rPr>
          <w:rFonts w:cs="Tahoma"/>
        </w:rPr>
        <w:t>, https://doi.org/10.1080/14712598.2017.1308481.</w:t>
      </w:r>
    </w:p>
    <w:p w14:paraId="11DD2232" w14:textId="77777777" w:rsidR="00EF18F3" w:rsidRPr="00EF18F3" w:rsidRDefault="00EF18F3" w:rsidP="00EF18F3">
      <w:pPr>
        <w:pStyle w:val="Bibliography"/>
        <w:rPr>
          <w:rFonts w:cs="Tahoma"/>
        </w:rPr>
      </w:pPr>
      <w:r w:rsidRPr="00EF18F3">
        <w:rPr>
          <w:rFonts w:cs="Tahoma"/>
        </w:rPr>
        <w:t xml:space="preserve">Desai, </w:t>
      </w:r>
      <w:proofErr w:type="spellStart"/>
      <w:r w:rsidRPr="00EF18F3">
        <w:rPr>
          <w:rFonts w:cs="Tahoma"/>
        </w:rPr>
        <w:t>Jyaysi</w:t>
      </w:r>
      <w:proofErr w:type="spellEnd"/>
      <w:r w:rsidRPr="00EF18F3">
        <w:rPr>
          <w:rFonts w:cs="Tahoma"/>
        </w:rPr>
        <w:t xml:space="preserve">, et al. “Molecular Pathophysiology of Gout.” </w:t>
      </w:r>
      <w:r w:rsidRPr="00EF18F3">
        <w:rPr>
          <w:rFonts w:cs="Tahoma"/>
          <w:i/>
          <w:iCs/>
        </w:rPr>
        <w:t>Trends in Molecular Medicine</w:t>
      </w:r>
      <w:r w:rsidRPr="00EF18F3">
        <w:rPr>
          <w:rFonts w:cs="Tahoma"/>
        </w:rPr>
        <w:t xml:space="preserve">, vol. 23, no. 8, Aug. 2017, pp. 756–68. </w:t>
      </w:r>
      <w:r w:rsidRPr="00EF18F3">
        <w:rPr>
          <w:rFonts w:cs="Tahoma"/>
          <w:i/>
          <w:iCs/>
        </w:rPr>
        <w:t>DOI.org (</w:t>
      </w:r>
      <w:proofErr w:type="spellStart"/>
      <w:r w:rsidRPr="00EF18F3">
        <w:rPr>
          <w:rFonts w:cs="Tahoma"/>
          <w:i/>
          <w:iCs/>
        </w:rPr>
        <w:t>Crossref</w:t>
      </w:r>
      <w:proofErr w:type="spellEnd"/>
      <w:r w:rsidRPr="00EF18F3">
        <w:rPr>
          <w:rFonts w:cs="Tahoma"/>
          <w:i/>
          <w:iCs/>
        </w:rPr>
        <w:t>)</w:t>
      </w:r>
      <w:r w:rsidRPr="00EF18F3">
        <w:rPr>
          <w:rFonts w:cs="Tahoma"/>
        </w:rPr>
        <w:t>, https://doi.org/10.1016/j.molmed.2017.06.005.</w:t>
      </w:r>
    </w:p>
    <w:p w14:paraId="6B7580EC" w14:textId="77777777" w:rsidR="00EF18F3" w:rsidRPr="00EF18F3" w:rsidRDefault="00EF18F3" w:rsidP="00EF18F3">
      <w:pPr>
        <w:pStyle w:val="Bibliography"/>
        <w:rPr>
          <w:rFonts w:cs="Tahoma"/>
        </w:rPr>
      </w:pPr>
      <w:proofErr w:type="spellStart"/>
      <w:r w:rsidRPr="00EF18F3">
        <w:rPr>
          <w:rFonts w:cs="Tahoma"/>
        </w:rPr>
        <w:t>Dobkin</w:t>
      </w:r>
      <w:proofErr w:type="spellEnd"/>
      <w:r w:rsidRPr="00EF18F3">
        <w:rPr>
          <w:rFonts w:cs="Tahoma"/>
        </w:rPr>
        <w:t xml:space="preserve">, B., et al. “Weight-Supported Treadmill vs over-Ground Training for Walking after Acute Incomplete SCI.” </w:t>
      </w:r>
      <w:r w:rsidRPr="00EF18F3">
        <w:rPr>
          <w:rFonts w:cs="Tahoma"/>
          <w:i/>
          <w:iCs/>
        </w:rPr>
        <w:t>Neurology</w:t>
      </w:r>
      <w:r w:rsidRPr="00EF18F3">
        <w:rPr>
          <w:rFonts w:cs="Tahoma"/>
        </w:rPr>
        <w:t xml:space="preserve">, vol. 66, no. 4, Feb. 2006, pp. 484–93. </w:t>
      </w:r>
      <w:r w:rsidRPr="00EF18F3">
        <w:rPr>
          <w:rFonts w:cs="Tahoma"/>
          <w:i/>
          <w:iCs/>
        </w:rPr>
        <w:t>PubMed Central</w:t>
      </w:r>
      <w:r w:rsidRPr="00EF18F3">
        <w:rPr>
          <w:rFonts w:cs="Tahoma"/>
        </w:rPr>
        <w:t>, https://doi.org/10.1212/01.wnl.0000202600.72018.39.</w:t>
      </w:r>
    </w:p>
    <w:p w14:paraId="15DFD6BF" w14:textId="77777777" w:rsidR="00EF18F3" w:rsidRPr="00EF18F3" w:rsidRDefault="00EF18F3" w:rsidP="00EF18F3">
      <w:pPr>
        <w:pStyle w:val="Bibliography"/>
        <w:rPr>
          <w:rFonts w:cs="Tahoma"/>
        </w:rPr>
      </w:pPr>
      <w:r w:rsidRPr="00EF18F3">
        <w:rPr>
          <w:rFonts w:cs="Tahoma"/>
        </w:rPr>
        <w:t xml:space="preserve">Dukes, Ellen M., et al. “Relationship of American Spinal Injury Association Impairment Scale Grade to Post-Injury Hospitalization and Costs in Thoracic Spinal Cord Injury.” </w:t>
      </w:r>
      <w:r w:rsidRPr="00EF18F3">
        <w:rPr>
          <w:rFonts w:cs="Tahoma"/>
          <w:i/>
          <w:iCs/>
        </w:rPr>
        <w:t>Neurosurgery</w:t>
      </w:r>
      <w:r w:rsidRPr="00EF18F3">
        <w:rPr>
          <w:rFonts w:cs="Tahoma"/>
        </w:rPr>
        <w:t xml:space="preserve">, vol. 83, no. 3, Sept. 2018, pp. 445–51. </w:t>
      </w:r>
      <w:r w:rsidRPr="00EF18F3">
        <w:rPr>
          <w:rFonts w:cs="Tahoma"/>
          <w:i/>
          <w:iCs/>
        </w:rPr>
        <w:t>PubMed Central</w:t>
      </w:r>
      <w:r w:rsidRPr="00EF18F3">
        <w:rPr>
          <w:rFonts w:cs="Tahoma"/>
        </w:rPr>
        <w:t>, https://doi.org/10.1093/neuros/nyx425.</w:t>
      </w:r>
    </w:p>
    <w:p w14:paraId="473E1E59" w14:textId="77777777" w:rsidR="00EF18F3" w:rsidRPr="00EF18F3" w:rsidRDefault="00EF18F3" w:rsidP="00EF18F3">
      <w:pPr>
        <w:pStyle w:val="Bibliography"/>
        <w:rPr>
          <w:rFonts w:cs="Tahoma"/>
        </w:rPr>
      </w:pPr>
      <w:r w:rsidRPr="00EF18F3">
        <w:rPr>
          <w:rFonts w:cs="Tahoma"/>
        </w:rPr>
        <w:t xml:space="preserve">Epstein, Nancy E. “Cerebrospinal Fluid Drains Reduce Risk of Spinal Cord Injury for Thoracic/Thoracoabdominal Aneurysm Surgery: A Review.” </w:t>
      </w:r>
      <w:r w:rsidRPr="00EF18F3">
        <w:rPr>
          <w:rFonts w:cs="Tahoma"/>
          <w:i/>
          <w:iCs/>
        </w:rPr>
        <w:t>Surgical Neurology International</w:t>
      </w:r>
      <w:r w:rsidRPr="00EF18F3">
        <w:rPr>
          <w:rFonts w:cs="Tahoma"/>
        </w:rPr>
        <w:t xml:space="preserve">, vol. 9, Feb. 2018, p. 48. </w:t>
      </w:r>
      <w:r w:rsidRPr="00EF18F3">
        <w:rPr>
          <w:rFonts w:cs="Tahoma"/>
          <w:i/>
          <w:iCs/>
        </w:rPr>
        <w:t>PubMed Central</w:t>
      </w:r>
      <w:r w:rsidRPr="00EF18F3">
        <w:rPr>
          <w:rFonts w:cs="Tahoma"/>
        </w:rPr>
        <w:t>, https://doi.org/10.4103/sni.sni_433_17.</w:t>
      </w:r>
    </w:p>
    <w:p w14:paraId="351F28AE" w14:textId="77777777" w:rsidR="00EF18F3" w:rsidRPr="00EF18F3" w:rsidRDefault="00EF18F3" w:rsidP="00EF18F3">
      <w:pPr>
        <w:pStyle w:val="Bibliography"/>
        <w:rPr>
          <w:rFonts w:cs="Tahoma"/>
        </w:rPr>
      </w:pPr>
      <w:proofErr w:type="spellStart"/>
      <w:r w:rsidRPr="00EF18F3">
        <w:rPr>
          <w:rFonts w:cs="Tahoma"/>
        </w:rPr>
        <w:t>Fehlings</w:t>
      </w:r>
      <w:proofErr w:type="spellEnd"/>
      <w:r w:rsidRPr="00EF18F3">
        <w:rPr>
          <w:rFonts w:cs="Tahoma"/>
        </w:rPr>
        <w:t xml:space="preserve">, Michael G., et al. “A Clinical Practice Guideline for the Management of Patients </w:t>
      </w:r>
      <w:proofErr w:type="gramStart"/>
      <w:r w:rsidRPr="00EF18F3">
        <w:rPr>
          <w:rFonts w:cs="Tahoma"/>
        </w:rPr>
        <w:t>With</w:t>
      </w:r>
      <w:proofErr w:type="gramEnd"/>
      <w:r w:rsidRPr="00EF18F3">
        <w:rPr>
          <w:rFonts w:cs="Tahoma"/>
        </w:rPr>
        <w:t xml:space="preserve"> Acute Spinal Cord Injury: Recommendations on the Use of Methylprednisolone Sodium Succinate.” </w:t>
      </w:r>
      <w:r w:rsidRPr="00EF18F3">
        <w:rPr>
          <w:rFonts w:cs="Tahoma"/>
          <w:i/>
          <w:iCs/>
        </w:rPr>
        <w:t>Global Spine Journal</w:t>
      </w:r>
      <w:r w:rsidRPr="00EF18F3">
        <w:rPr>
          <w:rFonts w:cs="Tahoma"/>
        </w:rPr>
        <w:t xml:space="preserve">, vol. 7, no. 3 Suppl, Sept. 2017, pp. 203S-211S. </w:t>
      </w:r>
      <w:r w:rsidRPr="00EF18F3">
        <w:rPr>
          <w:rFonts w:cs="Tahoma"/>
          <w:i/>
          <w:iCs/>
        </w:rPr>
        <w:t>PubMed Central</w:t>
      </w:r>
      <w:r w:rsidRPr="00EF18F3">
        <w:rPr>
          <w:rFonts w:cs="Tahoma"/>
        </w:rPr>
        <w:t>, https://doi.org/10.1177/2192568217703085.</w:t>
      </w:r>
    </w:p>
    <w:p w14:paraId="076867B7" w14:textId="77777777" w:rsidR="00EF18F3" w:rsidRPr="00EF18F3" w:rsidRDefault="00EF18F3" w:rsidP="00EF18F3">
      <w:pPr>
        <w:pStyle w:val="Bibliography"/>
        <w:rPr>
          <w:rFonts w:cs="Tahoma"/>
        </w:rPr>
      </w:pPr>
      <w:r w:rsidRPr="00EF18F3">
        <w:rPr>
          <w:rFonts w:cs="Tahoma"/>
        </w:rPr>
        <w:lastRenderedPageBreak/>
        <w:t xml:space="preserve">Jain, Nitin B., et al. “Traumatic Spinal Cord Injury in the United States, 1993–2012.” </w:t>
      </w:r>
      <w:r w:rsidRPr="00EF18F3">
        <w:rPr>
          <w:rFonts w:cs="Tahoma"/>
          <w:i/>
          <w:iCs/>
        </w:rPr>
        <w:t>JAMA</w:t>
      </w:r>
      <w:r w:rsidRPr="00EF18F3">
        <w:rPr>
          <w:rFonts w:cs="Tahoma"/>
        </w:rPr>
        <w:t xml:space="preserve">, vol. 313, no. 22, June 2015, pp. 2236–43. </w:t>
      </w:r>
      <w:r w:rsidRPr="00EF18F3">
        <w:rPr>
          <w:rFonts w:cs="Tahoma"/>
          <w:i/>
          <w:iCs/>
        </w:rPr>
        <w:t>PubMed Central</w:t>
      </w:r>
      <w:r w:rsidRPr="00EF18F3">
        <w:rPr>
          <w:rFonts w:cs="Tahoma"/>
        </w:rPr>
        <w:t>, https://doi.org/10.1001/jama.2015.6250.</w:t>
      </w:r>
    </w:p>
    <w:p w14:paraId="4B5F9C6A" w14:textId="77777777" w:rsidR="00EF18F3" w:rsidRPr="00EF18F3" w:rsidRDefault="00EF18F3" w:rsidP="00EF18F3">
      <w:pPr>
        <w:pStyle w:val="Bibliography"/>
        <w:rPr>
          <w:rFonts w:cs="Tahoma"/>
        </w:rPr>
      </w:pPr>
      <w:r w:rsidRPr="00EF18F3">
        <w:rPr>
          <w:rFonts w:cs="Tahoma"/>
        </w:rPr>
        <w:t>Lee, Byung-</w:t>
      </w:r>
      <w:proofErr w:type="spellStart"/>
      <w:r w:rsidRPr="00EF18F3">
        <w:rPr>
          <w:rFonts w:cs="Tahoma"/>
        </w:rPr>
        <w:t>Jou</w:t>
      </w:r>
      <w:proofErr w:type="spellEnd"/>
      <w:r w:rsidRPr="00EF18F3">
        <w:rPr>
          <w:rFonts w:cs="Tahoma"/>
        </w:rPr>
        <w:t xml:space="preserve">, and Je </w:t>
      </w:r>
      <w:proofErr w:type="spellStart"/>
      <w:r w:rsidRPr="00EF18F3">
        <w:rPr>
          <w:rFonts w:cs="Tahoma"/>
        </w:rPr>
        <w:t>Hoon</w:t>
      </w:r>
      <w:proofErr w:type="spellEnd"/>
      <w:r w:rsidRPr="00EF18F3">
        <w:rPr>
          <w:rFonts w:cs="Tahoma"/>
        </w:rPr>
        <w:t xml:space="preserve"> </w:t>
      </w:r>
      <w:proofErr w:type="spellStart"/>
      <w:r w:rsidRPr="00EF18F3">
        <w:rPr>
          <w:rFonts w:cs="Tahoma"/>
        </w:rPr>
        <w:t>Jeong</w:t>
      </w:r>
      <w:proofErr w:type="spellEnd"/>
      <w:r w:rsidRPr="00EF18F3">
        <w:rPr>
          <w:rFonts w:cs="Tahoma"/>
        </w:rPr>
        <w:t xml:space="preserve">. “Review: Steroid Use in Patients </w:t>
      </w:r>
      <w:proofErr w:type="gramStart"/>
      <w:r w:rsidRPr="00EF18F3">
        <w:rPr>
          <w:rFonts w:cs="Tahoma"/>
        </w:rPr>
        <w:t>With</w:t>
      </w:r>
      <w:proofErr w:type="gramEnd"/>
      <w:r w:rsidRPr="00EF18F3">
        <w:rPr>
          <w:rFonts w:cs="Tahoma"/>
        </w:rPr>
        <w:t xml:space="preserve"> Acute Spinal Cord Injury and Guideline Update.” </w:t>
      </w:r>
      <w:r w:rsidRPr="00EF18F3">
        <w:rPr>
          <w:rFonts w:cs="Tahoma"/>
          <w:i/>
          <w:iCs/>
        </w:rPr>
        <w:t>Korean Journal of Neurotrauma</w:t>
      </w:r>
      <w:r w:rsidRPr="00EF18F3">
        <w:rPr>
          <w:rFonts w:cs="Tahoma"/>
        </w:rPr>
        <w:t xml:space="preserve">, vol. 18, no. 1, 2022, p. 22. </w:t>
      </w:r>
      <w:r w:rsidRPr="00EF18F3">
        <w:rPr>
          <w:rFonts w:cs="Tahoma"/>
          <w:i/>
          <w:iCs/>
        </w:rPr>
        <w:t>DOI.org (</w:t>
      </w:r>
      <w:proofErr w:type="spellStart"/>
      <w:r w:rsidRPr="00EF18F3">
        <w:rPr>
          <w:rFonts w:cs="Tahoma"/>
          <w:i/>
          <w:iCs/>
        </w:rPr>
        <w:t>Crossref</w:t>
      </w:r>
      <w:proofErr w:type="spellEnd"/>
      <w:r w:rsidRPr="00EF18F3">
        <w:rPr>
          <w:rFonts w:cs="Tahoma"/>
          <w:i/>
          <w:iCs/>
        </w:rPr>
        <w:t>)</w:t>
      </w:r>
      <w:r w:rsidRPr="00EF18F3">
        <w:rPr>
          <w:rFonts w:cs="Tahoma"/>
        </w:rPr>
        <w:t>, https://doi.org/10.13004/kjnt.2022.18.e21.</w:t>
      </w:r>
    </w:p>
    <w:p w14:paraId="2E006C8B" w14:textId="77777777" w:rsidR="00EF18F3" w:rsidRPr="00EF18F3" w:rsidRDefault="00EF18F3" w:rsidP="00EF18F3">
      <w:pPr>
        <w:pStyle w:val="Bibliography"/>
        <w:rPr>
          <w:rFonts w:cs="Tahoma"/>
        </w:rPr>
      </w:pPr>
      <w:r w:rsidRPr="00EF18F3">
        <w:rPr>
          <w:rFonts w:cs="Tahoma"/>
        </w:rPr>
        <w:t xml:space="preserve">Li, Xing, et al. “Transplantation of HUC-MSCs Seeded Collagen Scaffolds Reduces Scar Formation and Promotes Functional Recovery in Canines with Chronic Spinal Cord Injury.” </w:t>
      </w:r>
      <w:r w:rsidRPr="00EF18F3">
        <w:rPr>
          <w:rFonts w:cs="Tahoma"/>
          <w:i/>
          <w:iCs/>
        </w:rPr>
        <w:t>Scientific Reports</w:t>
      </w:r>
      <w:r w:rsidRPr="00EF18F3">
        <w:rPr>
          <w:rFonts w:cs="Tahoma"/>
        </w:rPr>
        <w:t xml:space="preserve">, vol. 7, no. 1, Apr. 2017, p. 43559. </w:t>
      </w:r>
      <w:r w:rsidRPr="00EF18F3">
        <w:rPr>
          <w:rFonts w:cs="Tahoma"/>
          <w:i/>
          <w:iCs/>
        </w:rPr>
        <w:t>DOI.org (</w:t>
      </w:r>
      <w:proofErr w:type="spellStart"/>
      <w:r w:rsidRPr="00EF18F3">
        <w:rPr>
          <w:rFonts w:cs="Tahoma"/>
          <w:i/>
          <w:iCs/>
        </w:rPr>
        <w:t>Crossref</w:t>
      </w:r>
      <w:proofErr w:type="spellEnd"/>
      <w:r w:rsidRPr="00EF18F3">
        <w:rPr>
          <w:rFonts w:cs="Tahoma"/>
          <w:i/>
          <w:iCs/>
        </w:rPr>
        <w:t>)</w:t>
      </w:r>
      <w:r w:rsidRPr="00EF18F3">
        <w:rPr>
          <w:rFonts w:cs="Tahoma"/>
        </w:rPr>
        <w:t>, https://doi.org/10.1038/srep43559.</w:t>
      </w:r>
    </w:p>
    <w:p w14:paraId="6150E8C3" w14:textId="77777777" w:rsidR="00EF18F3" w:rsidRPr="00EF18F3" w:rsidRDefault="00EF18F3" w:rsidP="00EF18F3">
      <w:pPr>
        <w:pStyle w:val="Bibliography"/>
        <w:rPr>
          <w:rFonts w:cs="Tahoma"/>
        </w:rPr>
      </w:pPr>
      <w:r w:rsidRPr="00EF18F3">
        <w:rPr>
          <w:rFonts w:cs="Tahoma"/>
        </w:rPr>
        <w:t xml:space="preserve">Martirosyan, Nikolay L., et al. “Blood Supply and Vascular Reactivity of the Spinal Cord under Normal and Pathological Conditions: A Review.” </w:t>
      </w:r>
      <w:r w:rsidRPr="00EF18F3">
        <w:rPr>
          <w:rFonts w:cs="Tahoma"/>
          <w:i/>
          <w:iCs/>
        </w:rPr>
        <w:t>Journal of Neurosurgery: Spine</w:t>
      </w:r>
      <w:r w:rsidRPr="00EF18F3">
        <w:rPr>
          <w:rFonts w:cs="Tahoma"/>
        </w:rPr>
        <w:t xml:space="preserve">, vol. 15, no. 3, Sept. 2011, pp. 238–51. </w:t>
      </w:r>
      <w:r w:rsidRPr="00EF18F3">
        <w:rPr>
          <w:rFonts w:cs="Tahoma"/>
          <w:i/>
          <w:iCs/>
        </w:rPr>
        <w:t>DOI.org (</w:t>
      </w:r>
      <w:proofErr w:type="spellStart"/>
      <w:r w:rsidRPr="00EF18F3">
        <w:rPr>
          <w:rFonts w:cs="Tahoma"/>
          <w:i/>
          <w:iCs/>
        </w:rPr>
        <w:t>Crossref</w:t>
      </w:r>
      <w:proofErr w:type="spellEnd"/>
      <w:r w:rsidRPr="00EF18F3">
        <w:rPr>
          <w:rFonts w:cs="Tahoma"/>
          <w:i/>
          <w:iCs/>
        </w:rPr>
        <w:t>)</w:t>
      </w:r>
      <w:r w:rsidRPr="00EF18F3">
        <w:rPr>
          <w:rFonts w:cs="Tahoma"/>
        </w:rPr>
        <w:t>, https://doi.org/10.3171/2011.4.SPINE10543.</w:t>
      </w:r>
    </w:p>
    <w:p w14:paraId="77FE59A0" w14:textId="77777777" w:rsidR="00EF18F3" w:rsidRPr="00EF18F3" w:rsidRDefault="00EF18F3" w:rsidP="00EF18F3">
      <w:pPr>
        <w:pStyle w:val="Bibliography"/>
        <w:rPr>
          <w:rFonts w:cs="Tahoma"/>
        </w:rPr>
      </w:pPr>
      <w:proofErr w:type="spellStart"/>
      <w:r w:rsidRPr="00EF18F3">
        <w:rPr>
          <w:rFonts w:cs="Tahoma"/>
        </w:rPr>
        <w:t>Norenberg</w:t>
      </w:r>
      <w:proofErr w:type="spellEnd"/>
      <w:r w:rsidRPr="00EF18F3">
        <w:rPr>
          <w:rFonts w:cs="Tahoma"/>
        </w:rPr>
        <w:t xml:space="preserve">, Michael D., et al. “The Pathology of Human Spinal Cord Injury: Defining the Problems.” </w:t>
      </w:r>
      <w:r w:rsidRPr="00EF18F3">
        <w:rPr>
          <w:rFonts w:cs="Tahoma"/>
          <w:i/>
          <w:iCs/>
        </w:rPr>
        <w:t>Journal of Neurotrauma</w:t>
      </w:r>
      <w:r w:rsidRPr="00EF18F3">
        <w:rPr>
          <w:rFonts w:cs="Tahoma"/>
        </w:rPr>
        <w:t xml:space="preserve">, vol. 21, no. 4, Apr. 2004, pp. 429–40. </w:t>
      </w:r>
      <w:r w:rsidRPr="00EF18F3">
        <w:rPr>
          <w:rFonts w:cs="Tahoma"/>
          <w:i/>
          <w:iCs/>
        </w:rPr>
        <w:t>DOI.org (</w:t>
      </w:r>
      <w:proofErr w:type="spellStart"/>
      <w:r w:rsidRPr="00EF18F3">
        <w:rPr>
          <w:rFonts w:cs="Tahoma"/>
          <w:i/>
          <w:iCs/>
        </w:rPr>
        <w:t>Crossref</w:t>
      </w:r>
      <w:proofErr w:type="spellEnd"/>
      <w:r w:rsidRPr="00EF18F3">
        <w:rPr>
          <w:rFonts w:cs="Tahoma"/>
          <w:i/>
          <w:iCs/>
        </w:rPr>
        <w:t>)</w:t>
      </w:r>
      <w:r w:rsidRPr="00EF18F3">
        <w:rPr>
          <w:rFonts w:cs="Tahoma"/>
        </w:rPr>
        <w:t>, https://doi.org/10.1089/089771504323004575.</w:t>
      </w:r>
    </w:p>
    <w:p w14:paraId="73C158B1" w14:textId="77777777" w:rsidR="00EF18F3" w:rsidRPr="00EF18F3" w:rsidRDefault="00EF18F3" w:rsidP="00EF18F3">
      <w:pPr>
        <w:pStyle w:val="Bibliography"/>
        <w:rPr>
          <w:rFonts w:cs="Tahoma"/>
        </w:rPr>
      </w:pPr>
      <w:r w:rsidRPr="00EF18F3">
        <w:rPr>
          <w:rFonts w:cs="Tahoma"/>
        </w:rPr>
        <w:t xml:space="preserve">Wang, Timothy Y., et al. “Management of Acute Traumatic Spinal Cord Injury: A Review of the Literature.” </w:t>
      </w:r>
      <w:r w:rsidRPr="00EF18F3">
        <w:rPr>
          <w:rFonts w:cs="Tahoma"/>
          <w:i/>
          <w:iCs/>
        </w:rPr>
        <w:t>Frontiers in Surgery</w:t>
      </w:r>
      <w:r w:rsidRPr="00EF18F3">
        <w:rPr>
          <w:rFonts w:cs="Tahoma"/>
        </w:rPr>
        <w:t xml:space="preserve">, vol. 8, Dec. 2021, p. 698736. </w:t>
      </w:r>
      <w:r w:rsidRPr="00EF18F3">
        <w:rPr>
          <w:rFonts w:cs="Tahoma"/>
          <w:i/>
          <w:iCs/>
        </w:rPr>
        <w:t>PubMed Central</w:t>
      </w:r>
      <w:r w:rsidRPr="00EF18F3">
        <w:rPr>
          <w:rFonts w:cs="Tahoma"/>
        </w:rPr>
        <w:t>, https://doi.org/10.3389/fsurg.2021.698736.</w:t>
      </w:r>
    </w:p>
    <w:p w14:paraId="5B746B05" w14:textId="77777777" w:rsidR="00EF18F3" w:rsidRPr="00EF18F3" w:rsidRDefault="00EF18F3" w:rsidP="00EF18F3">
      <w:pPr>
        <w:pStyle w:val="Bibliography"/>
        <w:rPr>
          <w:rFonts w:cs="Tahoma"/>
        </w:rPr>
      </w:pPr>
      <w:proofErr w:type="spellStart"/>
      <w:r w:rsidRPr="00EF18F3">
        <w:rPr>
          <w:rFonts w:cs="Tahoma"/>
        </w:rPr>
        <w:t>Yoshitani</w:t>
      </w:r>
      <w:proofErr w:type="spellEnd"/>
      <w:r w:rsidRPr="00EF18F3">
        <w:rPr>
          <w:rFonts w:cs="Tahoma"/>
        </w:rPr>
        <w:t xml:space="preserve">, Kenji, et al. “Cerebrospinal Fluid Drainage to Prevent Postoperative Spinal Cord Injury in Thoracic Aortic Repair.” </w:t>
      </w:r>
      <w:r w:rsidRPr="00EF18F3">
        <w:rPr>
          <w:rFonts w:cs="Tahoma"/>
          <w:i/>
          <w:iCs/>
        </w:rPr>
        <w:t>Journal of Anesthesia</w:t>
      </w:r>
      <w:r w:rsidRPr="00EF18F3">
        <w:rPr>
          <w:rFonts w:cs="Tahoma"/>
        </w:rPr>
        <w:t xml:space="preserve">, vol. 35, no. 1, Feb. 2021, pp. 43–50. </w:t>
      </w:r>
      <w:r w:rsidRPr="00EF18F3">
        <w:rPr>
          <w:rFonts w:cs="Tahoma"/>
          <w:i/>
          <w:iCs/>
        </w:rPr>
        <w:t>DOI.org (</w:t>
      </w:r>
      <w:proofErr w:type="spellStart"/>
      <w:r w:rsidRPr="00EF18F3">
        <w:rPr>
          <w:rFonts w:cs="Tahoma"/>
          <w:i/>
          <w:iCs/>
        </w:rPr>
        <w:t>Crossref</w:t>
      </w:r>
      <w:proofErr w:type="spellEnd"/>
      <w:r w:rsidRPr="00EF18F3">
        <w:rPr>
          <w:rFonts w:cs="Tahoma"/>
          <w:i/>
          <w:iCs/>
        </w:rPr>
        <w:t>)</w:t>
      </w:r>
      <w:r w:rsidRPr="00EF18F3">
        <w:rPr>
          <w:rFonts w:cs="Tahoma"/>
        </w:rPr>
        <w:t>, https://doi.org/10.1007/s00540-020-02857-w.</w:t>
      </w:r>
    </w:p>
    <w:p w14:paraId="1C3A8E3D" w14:textId="77777777" w:rsidR="00EF18F3" w:rsidRPr="00EF18F3" w:rsidRDefault="00EF18F3" w:rsidP="00EF18F3">
      <w:pPr>
        <w:pStyle w:val="Bibliography"/>
        <w:rPr>
          <w:rFonts w:cs="Tahoma"/>
        </w:rPr>
      </w:pPr>
      <w:r w:rsidRPr="00EF18F3">
        <w:rPr>
          <w:rFonts w:cs="Tahoma"/>
        </w:rPr>
        <w:lastRenderedPageBreak/>
        <w:t>Zou, Hong-</w:t>
      </w:r>
      <w:proofErr w:type="spellStart"/>
      <w:r w:rsidRPr="00EF18F3">
        <w:rPr>
          <w:rFonts w:cs="Tahoma"/>
        </w:rPr>
        <w:t>jun</w:t>
      </w:r>
      <w:proofErr w:type="spellEnd"/>
      <w:r w:rsidRPr="00EF18F3">
        <w:rPr>
          <w:rFonts w:cs="Tahoma"/>
        </w:rPr>
        <w:t xml:space="preserve">, et al. “Methylprednisolone Induces Neuro-Protective Effects via the Inhibition of A1 Astrocyte Activation in Traumatic Spinal Cord Injury Mouse Models.” </w:t>
      </w:r>
      <w:r w:rsidRPr="00EF18F3">
        <w:rPr>
          <w:rFonts w:cs="Tahoma"/>
          <w:i/>
          <w:iCs/>
        </w:rPr>
        <w:t>Frontiers in Neuroscience</w:t>
      </w:r>
      <w:r w:rsidRPr="00EF18F3">
        <w:rPr>
          <w:rFonts w:cs="Tahoma"/>
        </w:rPr>
        <w:t xml:space="preserve">, vol. 15, 2021. </w:t>
      </w:r>
      <w:r w:rsidRPr="00EF18F3">
        <w:rPr>
          <w:rFonts w:cs="Tahoma"/>
          <w:i/>
          <w:iCs/>
        </w:rPr>
        <w:t>Frontiers</w:t>
      </w:r>
      <w:r w:rsidRPr="00EF18F3">
        <w:rPr>
          <w:rFonts w:cs="Tahoma"/>
        </w:rPr>
        <w:t>, https://www.frontiersin.org/articles/10.3389/fnins.2021.628917.</w:t>
      </w:r>
    </w:p>
    <w:p w14:paraId="7E72509E" w14:textId="76317D22" w:rsidR="00040E46" w:rsidRPr="00040E46" w:rsidRDefault="00BB4E41" w:rsidP="00040E46">
      <w:pPr>
        <w:pStyle w:val="Body"/>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FD95F" w14:textId="77777777" w:rsidR="009A49F2" w:rsidRDefault="009A49F2" w:rsidP="00B657A0">
      <w:r>
        <w:separator/>
      </w:r>
    </w:p>
  </w:endnote>
  <w:endnote w:type="continuationSeparator" w:id="0">
    <w:p w14:paraId="7DF56CFE" w14:textId="77777777" w:rsidR="009A49F2" w:rsidRDefault="009A49F2" w:rsidP="00B657A0">
      <w:r>
        <w:continuationSeparator/>
      </w:r>
    </w:p>
  </w:endnote>
  <w:endnote w:type="continuationNotice" w:id="1">
    <w:p w14:paraId="3A93C06A" w14:textId="77777777" w:rsidR="009A49F2" w:rsidRDefault="009A49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BA2BA" w14:textId="77777777" w:rsidR="009A49F2" w:rsidRDefault="009A49F2" w:rsidP="00B657A0">
      <w:r>
        <w:separator/>
      </w:r>
    </w:p>
  </w:footnote>
  <w:footnote w:type="continuationSeparator" w:id="0">
    <w:p w14:paraId="3693E89C" w14:textId="77777777" w:rsidR="009A49F2" w:rsidRDefault="009A49F2" w:rsidP="00B657A0">
      <w:r>
        <w:continuationSeparator/>
      </w:r>
    </w:p>
  </w:footnote>
  <w:footnote w:type="continuationNotice" w:id="1">
    <w:p w14:paraId="797784FB" w14:textId="77777777" w:rsidR="009A49F2" w:rsidRDefault="009A49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401D49">
    <w:pPr>
      <w:pStyle w:val="Header"/>
      <w:tabs>
        <w:tab w:val="clear" w:pos="8640"/>
        <w:tab w:val="right" w:pos="10080"/>
      </w:tabs>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07B52"/>
    <w:multiLevelType w:val="hybridMultilevel"/>
    <w:tmpl w:val="E3C0B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27"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2"/>
  </w:num>
  <w:num w:numId="2" w16cid:durableId="591012818">
    <w:abstractNumId w:val="24"/>
  </w:num>
  <w:num w:numId="3" w16cid:durableId="179856923">
    <w:abstractNumId w:val="3"/>
  </w:num>
  <w:num w:numId="4" w16cid:durableId="3915848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7"/>
  </w:num>
  <w:num w:numId="7" w16cid:durableId="2132432314">
    <w:abstractNumId w:val="2"/>
  </w:num>
  <w:num w:numId="8" w16cid:durableId="1193693858">
    <w:abstractNumId w:val="1"/>
  </w:num>
  <w:num w:numId="9" w16cid:durableId="803236281">
    <w:abstractNumId w:val="17"/>
  </w:num>
  <w:num w:numId="10" w16cid:durableId="1214929145">
    <w:abstractNumId w:val="17"/>
  </w:num>
  <w:num w:numId="11" w16cid:durableId="1534925248">
    <w:abstractNumId w:val="19"/>
  </w:num>
  <w:num w:numId="12" w16cid:durableId="1204631859">
    <w:abstractNumId w:val="13"/>
  </w:num>
  <w:num w:numId="13" w16cid:durableId="1999653488">
    <w:abstractNumId w:val="8"/>
  </w:num>
  <w:num w:numId="14" w16cid:durableId="1948655657">
    <w:abstractNumId w:val="27"/>
  </w:num>
  <w:num w:numId="15" w16cid:durableId="1426876100">
    <w:abstractNumId w:val="21"/>
  </w:num>
  <w:num w:numId="16" w16cid:durableId="148448031">
    <w:abstractNumId w:val="9"/>
  </w:num>
  <w:num w:numId="17" w16cid:durableId="432239574">
    <w:abstractNumId w:val="28"/>
  </w:num>
  <w:num w:numId="18" w16cid:durableId="1902785539">
    <w:abstractNumId w:val="6"/>
  </w:num>
  <w:num w:numId="19" w16cid:durableId="2016347357">
    <w:abstractNumId w:val="11"/>
  </w:num>
  <w:num w:numId="20" w16cid:durableId="1604259620">
    <w:abstractNumId w:val="26"/>
  </w:num>
  <w:num w:numId="21" w16cid:durableId="1341661621">
    <w:abstractNumId w:val="25"/>
  </w:num>
  <w:num w:numId="22" w16cid:durableId="788007871">
    <w:abstractNumId w:val="22"/>
  </w:num>
  <w:num w:numId="23" w16cid:durableId="1463157998">
    <w:abstractNumId w:val="15"/>
  </w:num>
  <w:num w:numId="24" w16cid:durableId="1260681482">
    <w:abstractNumId w:val="16"/>
  </w:num>
  <w:num w:numId="25" w16cid:durableId="1969161413">
    <w:abstractNumId w:val="5"/>
  </w:num>
  <w:num w:numId="26" w16cid:durableId="1839885816">
    <w:abstractNumId w:val="4"/>
  </w:num>
  <w:num w:numId="27" w16cid:durableId="1730300100">
    <w:abstractNumId w:val="10"/>
  </w:num>
  <w:num w:numId="28" w16cid:durableId="1711765807">
    <w:abstractNumId w:val="18"/>
  </w:num>
  <w:num w:numId="29" w16cid:durableId="2130008031">
    <w:abstractNumId w:val="23"/>
  </w:num>
  <w:num w:numId="30" w16cid:durableId="1154377883">
    <w:abstractNumId w:val="20"/>
  </w:num>
  <w:num w:numId="31" w16cid:durableId="12664258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268CD"/>
    <w:rsid w:val="00027200"/>
    <w:rsid w:val="00027881"/>
    <w:rsid w:val="0003264A"/>
    <w:rsid w:val="00035E18"/>
    <w:rsid w:val="00040E46"/>
    <w:rsid w:val="0004712D"/>
    <w:rsid w:val="00050DA8"/>
    <w:rsid w:val="00053B22"/>
    <w:rsid w:val="00054FDF"/>
    <w:rsid w:val="00057001"/>
    <w:rsid w:val="00057654"/>
    <w:rsid w:val="00061762"/>
    <w:rsid w:val="0006224F"/>
    <w:rsid w:val="00070C64"/>
    <w:rsid w:val="000806C2"/>
    <w:rsid w:val="00082C06"/>
    <w:rsid w:val="000868E4"/>
    <w:rsid w:val="000A2165"/>
    <w:rsid w:val="000A6413"/>
    <w:rsid w:val="000A64D4"/>
    <w:rsid w:val="000B452E"/>
    <w:rsid w:val="000B4CB2"/>
    <w:rsid w:val="000C1E44"/>
    <w:rsid w:val="000C64D8"/>
    <w:rsid w:val="000D10C6"/>
    <w:rsid w:val="000E3018"/>
    <w:rsid w:val="000E4D0E"/>
    <w:rsid w:val="000F5BA9"/>
    <w:rsid w:val="0010099F"/>
    <w:rsid w:val="00101D0A"/>
    <w:rsid w:val="00112196"/>
    <w:rsid w:val="0011427A"/>
    <w:rsid w:val="00114746"/>
    <w:rsid w:val="001153AF"/>
    <w:rsid w:val="0011585F"/>
    <w:rsid w:val="00120765"/>
    <w:rsid w:val="00121359"/>
    <w:rsid w:val="0012408D"/>
    <w:rsid w:val="001308D6"/>
    <w:rsid w:val="00133B5F"/>
    <w:rsid w:val="0013522D"/>
    <w:rsid w:val="00135AFF"/>
    <w:rsid w:val="00142E4C"/>
    <w:rsid w:val="00155B60"/>
    <w:rsid w:val="0015719A"/>
    <w:rsid w:val="00163066"/>
    <w:rsid w:val="00164555"/>
    <w:rsid w:val="00164AE3"/>
    <w:rsid w:val="00165462"/>
    <w:rsid w:val="00166392"/>
    <w:rsid w:val="00166E18"/>
    <w:rsid w:val="0016738D"/>
    <w:rsid w:val="00167B74"/>
    <w:rsid w:val="00173878"/>
    <w:rsid w:val="00173B03"/>
    <w:rsid w:val="00173FC6"/>
    <w:rsid w:val="001742C2"/>
    <w:rsid w:val="00186157"/>
    <w:rsid w:val="0018724C"/>
    <w:rsid w:val="001914DC"/>
    <w:rsid w:val="00193686"/>
    <w:rsid w:val="00195531"/>
    <w:rsid w:val="00197A73"/>
    <w:rsid w:val="001A656F"/>
    <w:rsid w:val="001A6A15"/>
    <w:rsid w:val="001B287C"/>
    <w:rsid w:val="001B4B77"/>
    <w:rsid w:val="001C3B9A"/>
    <w:rsid w:val="001C7A67"/>
    <w:rsid w:val="001D05A1"/>
    <w:rsid w:val="001D134D"/>
    <w:rsid w:val="001D3822"/>
    <w:rsid w:val="001D5A89"/>
    <w:rsid w:val="001E2772"/>
    <w:rsid w:val="001E453C"/>
    <w:rsid w:val="001E62E8"/>
    <w:rsid w:val="001E6BAB"/>
    <w:rsid w:val="001F1385"/>
    <w:rsid w:val="001F46EE"/>
    <w:rsid w:val="00200922"/>
    <w:rsid w:val="002118EE"/>
    <w:rsid w:val="00213E68"/>
    <w:rsid w:val="0021559A"/>
    <w:rsid w:val="00215D9D"/>
    <w:rsid w:val="00216766"/>
    <w:rsid w:val="00221859"/>
    <w:rsid w:val="00227871"/>
    <w:rsid w:val="00233E85"/>
    <w:rsid w:val="00234800"/>
    <w:rsid w:val="00234F4F"/>
    <w:rsid w:val="00236C73"/>
    <w:rsid w:val="00240673"/>
    <w:rsid w:val="0024277D"/>
    <w:rsid w:val="00243F95"/>
    <w:rsid w:val="00257BF3"/>
    <w:rsid w:val="00264668"/>
    <w:rsid w:val="00270D49"/>
    <w:rsid w:val="00270D5F"/>
    <w:rsid w:val="00274369"/>
    <w:rsid w:val="00277DDB"/>
    <w:rsid w:val="00281D3C"/>
    <w:rsid w:val="002849BA"/>
    <w:rsid w:val="00286FCE"/>
    <w:rsid w:val="002A1561"/>
    <w:rsid w:val="002A28CC"/>
    <w:rsid w:val="002A3ED6"/>
    <w:rsid w:val="002A5FD4"/>
    <w:rsid w:val="002B1421"/>
    <w:rsid w:val="002B7FA5"/>
    <w:rsid w:val="002C1D5E"/>
    <w:rsid w:val="002C7F03"/>
    <w:rsid w:val="002D1199"/>
    <w:rsid w:val="002D4C78"/>
    <w:rsid w:val="002D5200"/>
    <w:rsid w:val="002D5742"/>
    <w:rsid w:val="002D78E1"/>
    <w:rsid w:val="002E6779"/>
    <w:rsid w:val="002F0A0D"/>
    <w:rsid w:val="002F4F5F"/>
    <w:rsid w:val="002F7AE7"/>
    <w:rsid w:val="00302A2C"/>
    <w:rsid w:val="00305298"/>
    <w:rsid w:val="0031358D"/>
    <w:rsid w:val="0031629E"/>
    <w:rsid w:val="003214CE"/>
    <w:rsid w:val="0032283D"/>
    <w:rsid w:val="00325CDD"/>
    <w:rsid w:val="00326BD3"/>
    <w:rsid w:val="00330B7C"/>
    <w:rsid w:val="00335876"/>
    <w:rsid w:val="003440C1"/>
    <w:rsid w:val="0034779A"/>
    <w:rsid w:val="0035050F"/>
    <w:rsid w:val="00351145"/>
    <w:rsid w:val="00352D15"/>
    <w:rsid w:val="00354968"/>
    <w:rsid w:val="00354B95"/>
    <w:rsid w:val="00361909"/>
    <w:rsid w:val="00361E35"/>
    <w:rsid w:val="00371AB4"/>
    <w:rsid w:val="00373E0B"/>
    <w:rsid w:val="003802AF"/>
    <w:rsid w:val="00385282"/>
    <w:rsid w:val="00390509"/>
    <w:rsid w:val="00394D40"/>
    <w:rsid w:val="00395CD2"/>
    <w:rsid w:val="003A39B6"/>
    <w:rsid w:val="003A4941"/>
    <w:rsid w:val="003B492B"/>
    <w:rsid w:val="003B55EE"/>
    <w:rsid w:val="003C3185"/>
    <w:rsid w:val="003D1CC2"/>
    <w:rsid w:val="003E0F1B"/>
    <w:rsid w:val="003F052D"/>
    <w:rsid w:val="003F2EA4"/>
    <w:rsid w:val="003F3C3E"/>
    <w:rsid w:val="003F7429"/>
    <w:rsid w:val="00400168"/>
    <w:rsid w:val="00401D49"/>
    <w:rsid w:val="00404F22"/>
    <w:rsid w:val="00426977"/>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83BCD"/>
    <w:rsid w:val="00490F68"/>
    <w:rsid w:val="004920A8"/>
    <w:rsid w:val="004A07BA"/>
    <w:rsid w:val="004A5E98"/>
    <w:rsid w:val="004A73EA"/>
    <w:rsid w:val="004B1671"/>
    <w:rsid w:val="004B411F"/>
    <w:rsid w:val="004C559F"/>
    <w:rsid w:val="004D288E"/>
    <w:rsid w:val="004D2C44"/>
    <w:rsid w:val="004D45A4"/>
    <w:rsid w:val="004E5363"/>
    <w:rsid w:val="004E7B46"/>
    <w:rsid w:val="004F4DC9"/>
    <w:rsid w:val="005012FA"/>
    <w:rsid w:val="0050524A"/>
    <w:rsid w:val="005152F5"/>
    <w:rsid w:val="0051604D"/>
    <w:rsid w:val="0051677F"/>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71D0C"/>
    <w:rsid w:val="005730F3"/>
    <w:rsid w:val="00576764"/>
    <w:rsid w:val="00576936"/>
    <w:rsid w:val="005800F4"/>
    <w:rsid w:val="00582C19"/>
    <w:rsid w:val="0058650F"/>
    <w:rsid w:val="00586F7D"/>
    <w:rsid w:val="00590C85"/>
    <w:rsid w:val="00591DBC"/>
    <w:rsid w:val="00596DCD"/>
    <w:rsid w:val="00597ED6"/>
    <w:rsid w:val="005A7F09"/>
    <w:rsid w:val="005B6A4F"/>
    <w:rsid w:val="005B6F74"/>
    <w:rsid w:val="005C39C9"/>
    <w:rsid w:val="005D015A"/>
    <w:rsid w:val="005D4D53"/>
    <w:rsid w:val="005D52DF"/>
    <w:rsid w:val="005D6CC6"/>
    <w:rsid w:val="005E1094"/>
    <w:rsid w:val="005E3547"/>
    <w:rsid w:val="005E3B7F"/>
    <w:rsid w:val="005F1607"/>
    <w:rsid w:val="005F1878"/>
    <w:rsid w:val="005F3322"/>
    <w:rsid w:val="005F5C75"/>
    <w:rsid w:val="005F6B4B"/>
    <w:rsid w:val="0060043C"/>
    <w:rsid w:val="00605B5C"/>
    <w:rsid w:val="00606C1B"/>
    <w:rsid w:val="00607DB4"/>
    <w:rsid w:val="00607FAD"/>
    <w:rsid w:val="00611842"/>
    <w:rsid w:val="00616389"/>
    <w:rsid w:val="006262F8"/>
    <w:rsid w:val="00631DB9"/>
    <w:rsid w:val="00633DAE"/>
    <w:rsid w:val="00637550"/>
    <w:rsid w:val="00645CFC"/>
    <w:rsid w:val="00654D6D"/>
    <w:rsid w:val="006554C7"/>
    <w:rsid w:val="00663DC6"/>
    <w:rsid w:val="00665250"/>
    <w:rsid w:val="00665811"/>
    <w:rsid w:val="00671488"/>
    <w:rsid w:val="00676BF0"/>
    <w:rsid w:val="00677343"/>
    <w:rsid w:val="00677DC2"/>
    <w:rsid w:val="00682F78"/>
    <w:rsid w:val="006830EF"/>
    <w:rsid w:val="00683BF2"/>
    <w:rsid w:val="0068539E"/>
    <w:rsid w:val="00692C82"/>
    <w:rsid w:val="006A11B0"/>
    <w:rsid w:val="006B3EA5"/>
    <w:rsid w:val="006B46C8"/>
    <w:rsid w:val="006B7A31"/>
    <w:rsid w:val="006C0E35"/>
    <w:rsid w:val="006C1B0D"/>
    <w:rsid w:val="006D05FF"/>
    <w:rsid w:val="006D6FA5"/>
    <w:rsid w:val="006D7727"/>
    <w:rsid w:val="006E340F"/>
    <w:rsid w:val="006E6CBE"/>
    <w:rsid w:val="006F17F3"/>
    <w:rsid w:val="006F59A9"/>
    <w:rsid w:val="006F6478"/>
    <w:rsid w:val="006F7A1E"/>
    <w:rsid w:val="0070184A"/>
    <w:rsid w:val="00704C03"/>
    <w:rsid w:val="00712BC3"/>
    <w:rsid w:val="00712E49"/>
    <w:rsid w:val="007176BB"/>
    <w:rsid w:val="007204BA"/>
    <w:rsid w:val="007211E2"/>
    <w:rsid w:val="007217F7"/>
    <w:rsid w:val="00721831"/>
    <w:rsid w:val="007228F1"/>
    <w:rsid w:val="0072446E"/>
    <w:rsid w:val="00724C85"/>
    <w:rsid w:val="00727F84"/>
    <w:rsid w:val="00730FD9"/>
    <w:rsid w:val="00735565"/>
    <w:rsid w:val="00740841"/>
    <w:rsid w:val="0074555B"/>
    <w:rsid w:val="00745EB2"/>
    <w:rsid w:val="00746457"/>
    <w:rsid w:val="00746BEA"/>
    <w:rsid w:val="007539B9"/>
    <w:rsid w:val="00754272"/>
    <w:rsid w:val="0076194B"/>
    <w:rsid w:val="0076569D"/>
    <w:rsid w:val="0077044F"/>
    <w:rsid w:val="007708A3"/>
    <w:rsid w:val="00772BDF"/>
    <w:rsid w:val="00773149"/>
    <w:rsid w:val="00792AA1"/>
    <w:rsid w:val="007957AE"/>
    <w:rsid w:val="007A11CA"/>
    <w:rsid w:val="007B1AC9"/>
    <w:rsid w:val="007B4431"/>
    <w:rsid w:val="007B5FF2"/>
    <w:rsid w:val="007C54B2"/>
    <w:rsid w:val="007D2A17"/>
    <w:rsid w:val="007D40FA"/>
    <w:rsid w:val="007D5CC5"/>
    <w:rsid w:val="007D7210"/>
    <w:rsid w:val="007D759E"/>
    <w:rsid w:val="007E342D"/>
    <w:rsid w:val="007E7E4D"/>
    <w:rsid w:val="007F3249"/>
    <w:rsid w:val="007F36E1"/>
    <w:rsid w:val="007F6BD5"/>
    <w:rsid w:val="007F7D1C"/>
    <w:rsid w:val="00806525"/>
    <w:rsid w:val="00807EC5"/>
    <w:rsid w:val="00811526"/>
    <w:rsid w:val="00817BCB"/>
    <w:rsid w:val="00823809"/>
    <w:rsid w:val="008267EC"/>
    <w:rsid w:val="00833E3B"/>
    <w:rsid w:val="008425D1"/>
    <w:rsid w:val="00843423"/>
    <w:rsid w:val="0084541D"/>
    <w:rsid w:val="0085081A"/>
    <w:rsid w:val="00854596"/>
    <w:rsid w:val="0085662B"/>
    <w:rsid w:val="008574B6"/>
    <w:rsid w:val="00857FA7"/>
    <w:rsid w:val="00860536"/>
    <w:rsid w:val="00862393"/>
    <w:rsid w:val="00862E2B"/>
    <w:rsid w:val="008712CA"/>
    <w:rsid w:val="0087391D"/>
    <w:rsid w:val="00873957"/>
    <w:rsid w:val="00881FB4"/>
    <w:rsid w:val="00884C18"/>
    <w:rsid w:val="00891790"/>
    <w:rsid w:val="008A3268"/>
    <w:rsid w:val="008A3B7E"/>
    <w:rsid w:val="008A3BCC"/>
    <w:rsid w:val="008A5292"/>
    <w:rsid w:val="008A5518"/>
    <w:rsid w:val="008B1806"/>
    <w:rsid w:val="008B7517"/>
    <w:rsid w:val="008D69E8"/>
    <w:rsid w:val="008F1475"/>
    <w:rsid w:val="008F1BBC"/>
    <w:rsid w:val="008F3F8E"/>
    <w:rsid w:val="008F4047"/>
    <w:rsid w:val="008F6C0C"/>
    <w:rsid w:val="00900886"/>
    <w:rsid w:val="00900920"/>
    <w:rsid w:val="00901982"/>
    <w:rsid w:val="009039C7"/>
    <w:rsid w:val="009065D5"/>
    <w:rsid w:val="009211D0"/>
    <w:rsid w:val="00923B1B"/>
    <w:rsid w:val="0092485D"/>
    <w:rsid w:val="009407F4"/>
    <w:rsid w:val="00944BE1"/>
    <w:rsid w:val="00945D93"/>
    <w:rsid w:val="00945E24"/>
    <w:rsid w:val="009549B9"/>
    <w:rsid w:val="009551D4"/>
    <w:rsid w:val="00955CB3"/>
    <w:rsid w:val="00955D45"/>
    <w:rsid w:val="009573F6"/>
    <w:rsid w:val="009630D3"/>
    <w:rsid w:val="009655D2"/>
    <w:rsid w:val="00971BC3"/>
    <w:rsid w:val="00974719"/>
    <w:rsid w:val="00994FA8"/>
    <w:rsid w:val="00996F07"/>
    <w:rsid w:val="009A017A"/>
    <w:rsid w:val="009A165C"/>
    <w:rsid w:val="009A49F2"/>
    <w:rsid w:val="009A6475"/>
    <w:rsid w:val="009B1458"/>
    <w:rsid w:val="009B3375"/>
    <w:rsid w:val="009B57C6"/>
    <w:rsid w:val="009B7B5B"/>
    <w:rsid w:val="009C27FA"/>
    <w:rsid w:val="009C2987"/>
    <w:rsid w:val="009C70B5"/>
    <w:rsid w:val="009D13C5"/>
    <w:rsid w:val="009D5022"/>
    <w:rsid w:val="009D6626"/>
    <w:rsid w:val="009E13FB"/>
    <w:rsid w:val="009E18B4"/>
    <w:rsid w:val="009E1C63"/>
    <w:rsid w:val="00A026F4"/>
    <w:rsid w:val="00A04AD7"/>
    <w:rsid w:val="00A11B58"/>
    <w:rsid w:val="00A15BDD"/>
    <w:rsid w:val="00A17305"/>
    <w:rsid w:val="00A24EFB"/>
    <w:rsid w:val="00A34DA6"/>
    <w:rsid w:val="00A44CDC"/>
    <w:rsid w:val="00A4664A"/>
    <w:rsid w:val="00A654DD"/>
    <w:rsid w:val="00A661AF"/>
    <w:rsid w:val="00A6627B"/>
    <w:rsid w:val="00A754AB"/>
    <w:rsid w:val="00A76AC1"/>
    <w:rsid w:val="00A7775B"/>
    <w:rsid w:val="00A97A81"/>
    <w:rsid w:val="00AA119B"/>
    <w:rsid w:val="00AA202B"/>
    <w:rsid w:val="00AA2548"/>
    <w:rsid w:val="00AA3564"/>
    <w:rsid w:val="00AA7B38"/>
    <w:rsid w:val="00AB0DA3"/>
    <w:rsid w:val="00AB3639"/>
    <w:rsid w:val="00AB586D"/>
    <w:rsid w:val="00AB5B69"/>
    <w:rsid w:val="00AC32EA"/>
    <w:rsid w:val="00AC6117"/>
    <w:rsid w:val="00AD1558"/>
    <w:rsid w:val="00AE4E75"/>
    <w:rsid w:val="00AE7B54"/>
    <w:rsid w:val="00AF0151"/>
    <w:rsid w:val="00B027F5"/>
    <w:rsid w:val="00B0544F"/>
    <w:rsid w:val="00B0788C"/>
    <w:rsid w:val="00B10B19"/>
    <w:rsid w:val="00B12241"/>
    <w:rsid w:val="00B12D09"/>
    <w:rsid w:val="00B1488B"/>
    <w:rsid w:val="00B26C43"/>
    <w:rsid w:val="00B30A1C"/>
    <w:rsid w:val="00B30E39"/>
    <w:rsid w:val="00B32730"/>
    <w:rsid w:val="00B350C7"/>
    <w:rsid w:val="00B4237E"/>
    <w:rsid w:val="00B4678E"/>
    <w:rsid w:val="00B51CAB"/>
    <w:rsid w:val="00B63A1C"/>
    <w:rsid w:val="00B657A0"/>
    <w:rsid w:val="00B6644C"/>
    <w:rsid w:val="00B71413"/>
    <w:rsid w:val="00B721B3"/>
    <w:rsid w:val="00B756D6"/>
    <w:rsid w:val="00B76433"/>
    <w:rsid w:val="00B76D73"/>
    <w:rsid w:val="00B83268"/>
    <w:rsid w:val="00B929AF"/>
    <w:rsid w:val="00B9364C"/>
    <w:rsid w:val="00BA4431"/>
    <w:rsid w:val="00BA4AF0"/>
    <w:rsid w:val="00BA5BDE"/>
    <w:rsid w:val="00BB4E41"/>
    <w:rsid w:val="00BC39D3"/>
    <w:rsid w:val="00BC6A7E"/>
    <w:rsid w:val="00BD2218"/>
    <w:rsid w:val="00BD31ED"/>
    <w:rsid w:val="00BD6FBB"/>
    <w:rsid w:val="00BD72E9"/>
    <w:rsid w:val="00BF1759"/>
    <w:rsid w:val="00BF7C8E"/>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527D0"/>
    <w:rsid w:val="00C52842"/>
    <w:rsid w:val="00C57E35"/>
    <w:rsid w:val="00C63533"/>
    <w:rsid w:val="00C6401F"/>
    <w:rsid w:val="00C67505"/>
    <w:rsid w:val="00C70AD3"/>
    <w:rsid w:val="00C7195A"/>
    <w:rsid w:val="00C73273"/>
    <w:rsid w:val="00C741E2"/>
    <w:rsid w:val="00C76ED0"/>
    <w:rsid w:val="00C84C52"/>
    <w:rsid w:val="00C86645"/>
    <w:rsid w:val="00C86EC9"/>
    <w:rsid w:val="00C9133F"/>
    <w:rsid w:val="00C91504"/>
    <w:rsid w:val="00C915BE"/>
    <w:rsid w:val="00C94AF5"/>
    <w:rsid w:val="00C9645A"/>
    <w:rsid w:val="00CA07CB"/>
    <w:rsid w:val="00CA2BB1"/>
    <w:rsid w:val="00CA7B90"/>
    <w:rsid w:val="00CA7CCE"/>
    <w:rsid w:val="00CC516A"/>
    <w:rsid w:val="00CE1935"/>
    <w:rsid w:val="00CE19A8"/>
    <w:rsid w:val="00CE4E80"/>
    <w:rsid w:val="00CE7BF8"/>
    <w:rsid w:val="00CF00C6"/>
    <w:rsid w:val="00CF3906"/>
    <w:rsid w:val="00D062D5"/>
    <w:rsid w:val="00D1051A"/>
    <w:rsid w:val="00D135B7"/>
    <w:rsid w:val="00D13F90"/>
    <w:rsid w:val="00D162A1"/>
    <w:rsid w:val="00D2614C"/>
    <w:rsid w:val="00D33E93"/>
    <w:rsid w:val="00D351F1"/>
    <w:rsid w:val="00D35CE5"/>
    <w:rsid w:val="00D410A3"/>
    <w:rsid w:val="00D45C8E"/>
    <w:rsid w:val="00D46AFF"/>
    <w:rsid w:val="00D5304B"/>
    <w:rsid w:val="00D575D9"/>
    <w:rsid w:val="00D61928"/>
    <w:rsid w:val="00D6427A"/>
    <w:rsid w:val="00D6563E"/>
    <w:rsid w:val="00D67489"/>
    <w:rsid w:val="00D739E1"/>
    <w:rsid w:val="00D759E7"/>
    <w:rsid w:val="00D777F8"/>
    <w:rsid w:val="00D81B25"/>
    <w:rsid w:val="00D82F74"/>
    <w:rsid w:val="00D83402"/>
    <w:rsid w:val="00D867CC"/>
    <w:rsid w:val="00D8775C"/>
    <w:rsid w:val="00D962D0"/>
    <w:rsid w:val="00D97EE6"/>
    <w:rsid w:val="00DA1735"/>
    <w:rsid w:val="00DA1E60"/>
    <w:rsid w:val="00DA2185"/>
    <w:rsid w:val="00DA5E05"/>
    <w:rsid w:val="00DB0621"/>
    <w:rsid w:val="00DB3B67"/>
    <w:rsid w:val="00DD05AB"/>
    <w:rsid w:val="00DD0642"/>
    <w:rsid w:val="00DD15DF"/>
    <w:rsid w:val="00DD1AA7"/>
    <w:rsid w:val="00DD2DB1"/>
    <w:rsid w:val="00DD3ED7"/>
    <w:rsid w:val="00DD4975"/>
    <w:rsid w:val="00DD5EA9"/>
    <w:rsid w:val="00DD7A4A"/>
    <w:rsid w:val="00DE28EB"/>
    <w:rsid w:val="00DE2D2F"/>
    <w:rsid w:val="00DF11B6"/>
    <w:rsid w:val="00DF1464"/>
    <w:rsid w:val="00DF6DFA"/>
    <w:rsid w:val="00DF71F0"/>
    <w:rsid w:val="00E01888"/>
    <w:rsid w:val="00E0739F"/>
    <w:rsid w:val="00E07F77"/>
    <w:rsid w:val="00E113BD"/>
    <w:rsid w:val="00E15F5D"/>
    <w:rsid w:val="00E242DA"/>
    <w:rsid w:val="00E262AC"/>
    <w:rsid w:val="00E33606"/>
    <w:rsid w:val="00E3475C"/>
    <w:rsid w:val="00E35265"/>
    <w:rsid w:val="00E35B7B"/>
    <w:rsid w:val="00E42006"/>
    <w:rsid w:val="00E42B96"/>
    <w:rsid w:val="00E502A5"/>
    <w:rsid w:val="00E5132F"/>
    <w:rsid w:val="00E5578B"/>
    <w:rsid w:val="00E61926"/>
    <w:rsid w:val="00E70797"/>
    <w:rsid w:val="00E71D45"/>
    <w:rsid w:val="00E76600"/>
    <w:rsid w:val="00E81074"/>
    <w:rsid w:val="00E925DF"/>
    <w:rsid w:val="00E96AA1"/>
    <w:rsid w:val="00EA2161"/>
    <w:rsid w:val="00EA33CE"/>
    <w:rsid w:val="00EB44C2"/>
    <w:rsid w:val="00EB5ECE"/>
    <w:rsid w:val="00EC3E0C"/>
    <w:rsid w:val="00EC4B4D"/>
    <w:rsid w:val="00EC4C7F"/>
    <w:rsid w:val="00ED63AB"/>
    <w:rsid w:val="00EE033B"/>
    <w:rsid w:val="00EE0771"/>
    <w:rsid w:val="00EE3203"/>
    <w:rsid w:val="00EF1726"/>
    <w:rsid w:val="00EF18F3"/>
    <w:rsid w:val="00F10F8E"/>
    <w:rsid w:val="00F1522E"/>
    <w:rsid w:val="00F162AE"/>
    <w:rsid w:val="00F17F33"/>
    <w:rsid w:val="00F20B42"/>
    <w:rsid w:val="00F22299"/>
    <w:rsid w:val="00F2455A"/>
    <w:rsid w:val="00F31AA8"/>
    <w:rsid w:val="00F33895"/>
    <w:rsid w:val="00F3538F"/>
    <w:rsid w:val="00F55848"/>
    <w:rsid w:val="00F55F29"/>
    <w:rsid w:val="00F57C2E"/>
    <w:rsid w:val="00F62CFF"/>
    <w:rsid w:val="00F63A38"/>
    <w:rsid w:val="00F710BC"/>
    <w:rsid w:val="00F727D6"/>
    <w:rsid w:val="00F8258D"/>
    <w:rsid w:val="00F876F3"/>
    <w:rsid w:val="00F90B65"/>
    <w:rsid w:val="00F940BC"/>
    <w:rsid w:val="00F95EB6"/>
    <w:rsid w:val="00FA181F"/>
    <w:rsid w:val="00FB2E7F"/>
    <w:rsid w:val="00FB7F51"/>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bs.irn.2019.08.003" TargetMode="External"/><Relationship Id="rId2" Type="http://schemas.openxmlformats.org/officeDocument/2006/relationships/customXml" Target="../customXml/item2.xml"/><Relationship Id="rId16" Type="http://schemas.openxmlformats.org/officeDocument/2006/relationships/hyperlink" Target="https://www-ncbi-nlm-nih-gov.proxy1.library.jhu.edu/books/NBK544340/?report=class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563</TotalTime>
  <Pages>12</Pages>
  <Words>10617</Words>
  <Characters>60521</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70997</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330</cp:revision>
  <dcterms:created xsi:type="dcterms:W3CDTF">2022-07-26T21:22:00Z</dcterms:created>
  <dcterms:modified xsi:type="dcterms:W3CDTF">2022-10-18T02:13:00Z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id="SZ8caaHp"/&gt;&lt;style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