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630B399B"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Thin alpha helix fibrils, found in intervertebral disks </w:t>
      </w:r>
      <w:r w:rsidR="00113460">
        <w:rPr>
          <w:rFonts w:ascii="Tahoma" w:hAnsi="Tahoma" w:cs="Tahoma"/>
          <w:b/>
          <w:bCs/>
          <w:color w:val="4472C4" w:themeColor="accent1"/>
        </w:rPr>
        <w:t>collagen</w:t>
      </w:r>
    </w:p>
    <w:p w14:paraId="6377D750" w14:textId="3D1A37EF"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356F1B53" w14:textId="5E1B9406" w:rsidR="00E12447" w:rsidRDefault="008E4FB1" w:rsidP="00E12447">
      <w:pPr>
        <w:pStyle w:val="NormalWeb"/>
        <w:numPr>
          <w:ilvl w:val="0"/>
          <w:numId w:val="38"/>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increasing their sugar content</w:t>
      </w:r>
      <w:r w:rsidR="00B07934">
        <w:rPr>
          <w:rFonts w:ascii="Tahoma" w:hAnsi="Tahoma" w:cs="Tahoma"/>
        </w:rPr>
        <w:t xml:space="preserve"> </w:t>
      </w:r>
      <w:r w:rsidR="00810748" w:rsidRPr="00810748">
        <w:rPr>
          <w:rFonts w:ascii="Tahoma" w:hAnsi="Tahoma" w:cs="Tahoma"/>
          <w:b/>
          <w:bCs/>
          <w:color w:val="4472C4" w:themeColor="accent1"/>
        </w:rPr>
        <w:t>glycoprotein</w:t>
      </w:r>
      <w:r w:rsidR="00E12447">
        <w:rPr>
          <w:rFonts w:ascii="Tahoma" w:hAnsi="Tahoma" w:cs="Tahoma"/>
        </w:rPr>
        <w:t xml:space="preserve"> </w:t>
      </w:r>
    </w:p>
    <w:p w14:paraId="1DC2E7CA" w14:textId="0FD9E692" w:rsidR="008E4FB1" w:rsidRPr="00E12447" w:rsidRDefault="008E4FB1" w:rsidP="00E12447">
      <w:pPr>
        <w:pStyle w:val="NormalWeb"/>
        <w:numPr>
          <w:ilvl w:val="0"/>
          <w:numId w:val="38"/>
        </w:numPr>
        <w:rPr>
          <w:rFonts w:ascii="Tahoma" w:hAnsi="Tahoma" w:cs="Tahoma"/>
        </w:rPr>
      </w:pPr>
      <w:r w:rsidRPr="00E12447">
        <w:rPr>
          <w:rFonts w:ascii="Tahoma" w:hAnsi="Tahoma" w:cs="Tahoma"/>
          <w:color w:val="000000" w:themeColor="text1"/>
        </w:rPr>
        <w:t>An adhesion that utilizes integrins and conn</w:t>
      </w:r>
      <w:r w:rsidRPr="00E12447">
        <w:rPr>
          <w:rFonts w:ascii="Tahoma" w:hAnsi="Tahoma" w:cs="Tahoma"/>
        </w:rPr>
        <w:t xml:space="preserve">ects to the actin cytoskeleton </w:t>
      </w:r>
      <w:r w:rsidR="00D13A2F" w:rsidRPr="00E12447">
        <w:rPr>
          <w:rFonts w:ascii="Tahoma" w:hAnsi="Tahoma" w:cs="Tahoma"/>
          <w:b/>
          <w:bCs/>
          <w:color w:val="4472C4" w:themeColor="accent1"/>
        </w:rPr>
        <w:t>focal adhesion</w:t>
      </w:r>
    </w:p>
    <w:p w14:paraId="3670DFD0" w14:textId="4C2C9EE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03F9B4C4" w14:textId="77777777" w:rsidR="0093764E" w:rsidRDefault="0093764E">
      <w:pPr>
        <w:rPr>
          <w:rFonts w:ascii="Tahoma" w:hAnsi="Tahoma" w:cs="Tahoma"/>
        </w:rPr>
      </w:pPr>
      <w:r>
        <w:rPr>
          <w:rFonts w:ascii="Tahoma" w:hAnsi="Tahoma" w:cs="Tahoma"/>
        </w:rPr>
        <w:br w:type="page"/>
      </w:r>
    </w:p>
    <w:p w14:paraId="3612DA22" w14:textId="1BAE602D" w:rsidR="00000D68" w:rsidRDefault="00000D68" w:rsidP="009725B0">
      <w:pPr>
        <w:spacing w:before="120"/>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recommend </w:t>
      </w:r>
      <w:proofErr w:type="spellStart"/>
      <w:r w:rsidR="00BD7820">
        <w:rPr>
          <w:rFonts w:ascii="Tahoma" w:hAnsi="Tahoma" w:cs="Tahoma"/>
        </w:rPr>
        <w:t>preseeding</w:t>
      </w:r>
      <w:proofErr w:type="spellEnd"/>
      <w:r w:rsidR="00BD7820">
        <w:rPr>
          <w:rFonts w:ascii="Tahoma" w:hAnsi="Tahoma" w:cs="Tahoma"/>
        </w:rPr>
        <w:t xml:space="preserve"> for improving neuron migration and growth, and for in vitro studies</w:t>
      </w:r>
      <w:r w:rsidR="008E6B12">
        <w:rPr>
          <w:rFonts w:ascii="Tahoma" w:hAnsi="Tahoma" w:cs="Tahoma"/>
        </w:rPr>
        <w:t>;</w:t>
      </w:r>
      <w:r w:rsidR="00BD7820">
        <w:rPr>
          <w:rFonts w:ascii="Tahoma" w:hAnsi="Tahoma" w:cs="Tahoma"/>
        </w:rPr>
        <w:t xml:space="preserve"> </w:t>
      </w:r>
      <w:r w:rsidR="0061792F">
        <w:rPr>
          <w:rFonts w:ascii="Tahoma" w:hAnsi="Tahoma" w:cs="Tahoma"/>
        </w:rPr>
        <w:t xml:space="preserve">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r w:rsidR="00BD7820">
        <w:rPr>
          <w:rFonts w:ascii="Tahoma" w:hAnsi="Tahoma" w:cs="Tahoma"/>
        </w:rPr>
        <w:t>.</w:t>
      </w:r>
    </w:p>
    <w:p w14:paraId="67CD9D0A" w14:textId="77777777" w:rsidR="009725B0" w:rsidRDefault="000E1514" w:rsidP="00360EAA">
      <w:pPr>
        <w:spacing w:before="120"/>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r w:rsidR="00291F5B">
        <w:rPr>
          <w:rFonts w:ascii="Tahoma" w:hAnsi="Tahoma" w:cs="Tahoma"/>
        </w:rPr>
        <w:t>In</w:t>
      </w:r>
      <w:r w:rsidR="00AA4E15">
        <w:rPr>
          <w:rFonts w:ascii="Tahoma" w:hAnsi="Tahoma" w:cs="Tahoma"/>
        </w:rPr>
        <w:t xml:space="preserve"> chemotaxis research, </w:t>
      </w:r>
      <w:proofErr w:type="spellStart"/>
      <w:r w:rsidR="00291F5B">
        <w:rPr>
          <w:rFonts w:ascii="Tahoma" w:hAnsi="Tahoma" w:cs="Tahoma"/>
        </w:rPr>
        <w:t>Kithapalli</w:t>
      </w:r>
      <w:proofErr w:type="spellEnd"/>
      <w:r w:rsidR="00291F5B">
        <w:rPr>
          <w:rFonts w:ascii="Tahoma" w:hAnsi="Tahoma" w:cs="Tahoma"/>
        </w:rPr>
        <w:t xml:space="preserve"> et al., </w:t>
      </w:r>
      <w:r w:rsidR="00B47675">
        <w:rPr>
          <w:rFonts w:ascii="Tahoma" w:hAnsi="Tahoma" w:cs="Tahoma"/>
        </w:rPr>
        <w:t xml:space="preserve">have </w:t>
      </w:r>
      <w:r w:rsidR="00291F5B">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This technic allows a fine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47E50DC7" w14:textId="77777777" w:rsidR="002C30A0" w:rsidRDefault="00D94E9B" w:rsidP="00360EAA">
      <w:pPr>
        <w:spacing w:before="120"/>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r w:rsidR="000262A1">
        <w:rPr>
          <w:rFonts w:ascii="Tahoma" w:hAnsi="Tahoma" w:cs="Tahoma"/>
        </w:rPr>
        <w:t xml:space="preserve"> </w:t>
      </w:r>
      <w:r w:rsidR="00E3798D">
        <w:rPr>
          <w:rFonts w:ascii="Tahoma" w:hAnsi="Tahoma" w:cs="Tahoma"/>
        </w:rPr>
        <w:t>Topographical gradients can 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sidR="00E3798D">
        <w:rPr>
          <w:rFonts w:ascii="Tahoma" w:hAnsi="Tahoma" w:cs="Tahoma"/>
        </w:rPr>
        <w:t xml:space="preserve"> </w:t>
      </w:r>
      <w:r w:rsidR="002C30A0">
        <w:rPr>
          <w:rFonts w:ascii="Tahoma" w:hAnsi="Tahoma" w:cs="Tahoma"/>
        </w:rPr>
        <w:t>on patterned surface laminin stripes with in-between graduated PMMA intervals, cells aligned within laminin stripes.</w:t>
      </w:r>
    </w:p>
    <w:p w14:paraId="2205B1E6" w14:textId="0570D7D1" w:rsidR="00A93073" w:rsidRPr="008E4FB1" w:rsidRDefault="005E1A8C" w:rsidP="009725B0">
      <w:pPr>
        <w:spacing w:before="120"/>
        <w:rPr>
          <w:rFonts w:ascii="Tahoma" w:hAnsi="Tahoma" w:cs="Tahoma"/>
        </w:rPr>
      </w:pPr>
      <w:r>
        <w:rPr>
          <w:rFonts w:ascii="Tahoma" w:hAnsi="Tahoma" w:cs="Tahoma"/>
        </w:rPr>
        <w:t xml:space="preserve">Several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Pr>
          <w:rFonts w:ascii="Tahoma" w:hAnsi="Tahoma" w:cs="Tahoma"/>
        </w:rPr>
        <w:t xml:space="preserve">. This is particularly important as </w:t>
      </w:r>
      <w:proofErr w:type="spellStart"/>
      <w:r>
        <w:rPr>
          <w:rFonts w:ascii="Tahoma" w:hAnsi="Tahoma" w:cs="Tahoma"/>
        </w:rPr>
        <w:t>electrotaxis</w:t>
      </w:r>
      <w:proofErr w:type="spellEnd"/>
      <w:r>
        <w:rPr>
          <w:rFonts w:ascii="Tahoma" w:hAnsi="Tahoma" w:cs="Tahoma"/>
        </w:rPr>
        <w:t xml:space="preserve"> is easier to modulate and maintain compared to chemical gradient.</w:t>
      </w:r>
      <w:r w:rsidR="00C53A24">
        <w:rPr>
          <w:rFonts w:ascii="Tahoma" w:hAnsi="Tahoma" w:cs="Tahoma"/>
        </w:rPr>
        <w:t xml:space="preserve"> </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E048" w14:textId="77777777" w:rsidR="004665CE" w:rsidRDefault="004665CE" w:rsidP="002E070F">
      <w:r>
        <w:separator/>
      </w:r>
    </w:p>
  </w:endnote>
  <w:endnote w:type="continuationSeparator" w:id="0">
    <w:p w14:paraId="0828819A" w14:textId="77777777" w:rsidR="004665CE" w:rsidRDefault="004665CE"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3B60" w14:textId="77777777" w:rsidR="004665CE" w:rsidRDefault="004665CE" w:rsidP="002E070F">
      <w:r>
        <w:separator/>
      </w:r>
    </w:p>
  </w:footnote>
  <w:footnote w:type="continuationSeparator" w:id="0">
    <w:p w14:paraId="63E7FBBA" w14:textId="77777777" w:rsidR="004665CE" w:rsidRDefault="004665CE"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5"/>
  </w:num>
  <w:num w:numId="5" w16cid:durableId="619142107">
    <w:abstractNumId w:val="5"/>
  </w:num>
  <w:num w:numId="6" w16cid:durableId="289701588">
    <w:abstractNumId w:val="24"/>
  </w:num>
  <w:num w:numId="7" w16cid:durableId="962152761">
    <w:abstractNumId w:val="17"/>
  </w:num>
  <w:num w:numId="8" w16cid:durableId="1298340162">
    <w:abstractNumId w:val="32"/>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3"/>
  </w:num>
  <w:num w:numId="14" w16cid:durableId="567573440">
    <w:abstractNumId w:val="16"/>
  </w:num>
  <w:num w:numId="15" w16cid:durableId="1294555110">
    <w:abstractNumId w:val="0"/>
  </w:num>
  <w:num w:numId="16" w16cid:durableId="1863744528">
    <w:abstractNumId w:val="15"/>
  </w:num>
  <w:num w:numId="17" w16cid:durableId="1811901423">
    <w:abstractNumId w:val="27"/>
  </w:num>
  <w:num w:numId="18" w16cid:durableId="1096560177">
    <w:abstractNumId w:val="20"/>
  </w:num>
  <w:num w:numId="19" w16cid:durableId="1205562634">
    <w:abstractNumId w:val="26"/>
  </w:num>
  <w:num w:numId="20" w16cid:durableId="38819174">
    <w:abstractNumId w:val="28"/>
  </w:num>
  <w:num w:numId="21" w16cid:durableId="1963225767">
    <w:abstractNumId w:val="9"/>
  </w:num>
  <w:num w:numId="22" w16cid:durableId="651720454">
    <w:abstractNumId w:val="31"/>
  </w:num>
  <w:num w:numId="23" w16cid:durableId="332345630">
    <w:abstractNumId w:val="2"/>
  </w:num>
  <w:num w:numId="24" w16cid:durableId="1311599072">
    <w:abstractNumId w:val="36"/>
  </w:num>
  <w:num w:numId="25" w16cid:durableId="1171992100">
    <w:abstractNumId w:val="1"/>
  </w:num>
  <w:num w:numId="26" w16cid:durableId="1701935460">
    <w:abstractNumId w:val="8"/>
  </w:num>
  <w:num w:numId="27" w16cid:durableId="1338574284">
    <w:abstractNumId w:val="34"/>
  </w:num>
  <w:num w:numId="28" w16cid:durableId="1240405908">
    <w:abstractNumId w:val="30"/>
  </w:num>
  <w:num w:numId="29" w16cid:durableId="402022764">
    <w:abstractNumId w:val="7"/>
  </w:num>
  <w:num w:numId="30" w16cid:durableId="1868835599">
    <w:abstractNumId w:val="18"/>
  </w:num>
  <w:num w:numId="31" w16cid:durableId="1214582979">
    <w:abstractNumId w:val="11"/>
  </w:num>
  <w:num w:numId="32" w16cid:durableId="1227256818">
    <w:abstractNumId w:val="29"/>
  </w:num>
  <w:num w:numId="33" w16cid:durableId="814689419">
    <w:abstractNumId w:val="3"/>
  </w:num>
  <w:num w:numId="34" w16cid:durableId="834221272">
    <w:abstractNumId w:val="37"/>
  </w:num>
  <w:num w:numId="35" w16cid:durableId="236743555">
    <w:abstractNumId w:val="35"/>
  </w:num>
  <w:num w:numId="36" w16cid:durableId="219244449">
    <w:abstractNumId w:val="21"/>
  </w:num>
  <w:num w:numId="37" w16cid:durableId="989552538">
    <w:abstractNumId w:val="14"/>
  </w:num>
  <w:num w:numId="38" w16cid:durableId="6484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13460"/>
    <w:rsid w:val="00120768"/>
    <w:rsid w:val="001216FC"/>
    <w:rsid w:val="00124878"/>
    <w:rsid w:val="00132916"/>
    <w:rsid w:val="00133871"/>
    <w:rsid w:val="00145665"/>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0A0"/>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0EAA"/>
    <w:rsid w:val="00366CE5"/>
    <w:rsid w:val="003677B7"/>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64E"/>
    <w:rsid w:val="00937AF0"/>
    <w:rsid w:val="00937E05"/>
    <w:rsid w:val="00940E90"/>
    <w:rsid w:val="00954894"/>
    <w:rsid w:val="00954BC1"/>
    <w:rsid w:val="00955238"/>
    <w:rsid w:val="0095574C"/>
    <w:rsid w:val="00962F6A"/>
    <w:rsid w:val="009654D0"/>
    <w:rsid w:val="00965663"/>
    <w:rsid w:val="009725B0"/>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447"/>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2022-10-15T16:29:00Z</cp:lastPrinted>
  <dcterms:created xsi:type="dcterms:W3CDTF">2022-10-15T16:29:00Z</dcterms:created>
  <dcterms:modified xsi:type="dcterms:W3CDTF">2022-10-16T01:03:00Z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