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6B9D64E8" w:rsidR="00E502A5" w:rsidRDefault="00E502A5" w:rsidP="00A026F4">
            <w:pPr>
              <w:pStyle w:val="JHEPBody"/>
              <w:numPr>
                <w:ilvl w:val="0"/>
                <w:numId w:val="28"/>
              </w:numPr>
              <w:rPr>
                <w:bCs/>
                <w:sz w:val="20"/>
                <w:szCs w:val="20"/>
                <w:lang w:bidi="en-US"/>
              </w:rPr>
            </w:pPr>
            <w:r>
              <w:rPr>
                <w:bCs/>
                <w:sz w:val="20"/>
                <w:szCs w:val="20"/>
                <w:lang w:bidi="en-US"/>
              </w:rPr>
              <w:t>Causes fever in patient (</w:t>
            </w:r>
            <w:r w:rsidR="00E85F8C">
              <w:rPr>
                <w:bCs/>
                <w:sz w:val="20"/>
                <w:szCs w:val="20"/>
                <w:lang w:bidi="en-US"/>
              </w:rPr>
              <w:t xml:space="preserve">caused an </w:t>
            </w:r>
            <w:r>
              <w:rPr>
                <w:bCs/>
                <w:sz w:val="20"/>
                <w:szCs w:val="20"/>
                <w:lang w:bidi="en-US"/>
              </w:rPr>
              <w:t>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7E1F0C90"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268AD133" w14:textId="77777777" w:rsidR="00594570" w:rsidRDefault="00A11B58" w:rsidP="00594570">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w:t>
      </w:r>
      <w:r w:rsidR="00594570">
        <w:rPr>
          <w:bCs/>
          <w:sz w:val="22"/>
        </w:rPr>
        <w:t xml:space="preserve">of </w:t>
      </w:r>
      <w:r w:rsidR="004C559F" w:rsidRPr="00483BCD">
        <w:rPr>
          <w:bCs/>
          <w:sz w:val="22"/>
        </w:rPr>
        <w:t xml:space="preserve">neurons, the growth and regeneration of nerve </w:t>
      </w:r>
      <w:r w:rsidR="0055598D" w:rsidRPr="00483BCD">
        <w:rPr>
          <w:bCs/>
          <w:sz w:val="22"/>
        </w:rPr>
        <w:t xml:space="preserve">axons,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w:t>
      </w:r>
      <w:r w:rsidR="00605B5C" w:rsidRPr="00594570">
        <w:rPr>
          <w:bCs/>
          <w:sz w:val="22"/>
        </w:rPr>
        <w:t xml:space="preserve">Collagen is difficult to harvest and requires expensive thorough purification protocols to </w:t>
      </w:r>
      <w:r w:rsidR="00532B45" w:rsidRPr="00594570">
        <w:rPr>
          <w:bCs/>
          <w:sz w:val="22"/>
        </w:rPr>
        <w:t>suppress</w:t>
      </w:r>
      <w:r w:rsidR="00605B5C" w:rsidRPr="00594570">
        <w:rPr>
          <w:bCs/>
          <w:sz w:val="22"/>
        </w:rPr>
        <w:t xml:space="preserve"> </w:t>
      </w:r>
      <w:r w:rsidR="00532B45" w:rsidRPr="00594570">
        <w:rPr>
          <w:bCs/>
          <w:sz w:val="22"/>
        </w:rPr>
        <w:t xml:space="preserve">the </w:t>
      </w:r>
      <w:r w:rsidR="00605B5C" w:rsidRPr="00594570">
        <w:rPr>
          <w:bCs/>
          <w:sz w:val="22"/>
        </w:rPr>
        <w:t>immun</w:t>
      </w:r>
      <w:r w:rsidR="00532B45" w:rsidRPr="00594570">
        <w:rPr>
          <w:bCs/>
          <w:sz w:val="22"/>
        </w:rPr>
        <w:t>e</w:t>
      </w:r>
      <w:r w:rsidR="00605B5C" w:rsidRPr="00594570">
        <w:rPr>
          <w:bCs/>
          <w:sz w:val="22"/>
        </w:rPr>
        <w:t xml:space="preserve"> response.</w:t>
      </w:r>
      <w:r w:rsidR="006F7A1E" w:rsidRPr="00594570">
        <w:rPr>
          <w:bCs/>
          <w:sz w:val="22"/>
        </w:rPr>
        <w:t xml:space="preserve"> </w:t>
      </w:r>
      <w:r w:rsidR="00236C73" w:rsidRPr="00594570">
        <w:rPr>
          <w:bCs/>
          <w:sz w:val="22"/>
        </w:rPr>
        <w:t xml:space="preserve">Despite two clinical </w:t>
      </w:r>
    </w:p>
    <w:p w14:paraId="28C2BB63" w14:textId="77777777" w:rsidR="00594570" w:rsidRDefault="00594570" w:rsidP="00594570">
      <w:pPr>
        <w:pStyle w:val="JHEPBody"/>
        <w:spacing w:line="480" w:lineRule="auto"/>
        <w:rPr>
          <w:bCs/>
          <w:sz w:val="22"/>
        </w:rPr>
      </w:pPr>
    </w:p>
    <w:p w14:paraId="730BD13E" w14:textId="13C85673" w:rsidR="00236C73" w:rsidRDefault="00236C73" w:rsidP="00594570">
      <w:pPr>
        <w:pStyle w:val="JHEPBody"/>
        <w:spacing w:line="480" w:lineRule="auto"/>
        <w:ind w:left="360"/>
        <w:rPr>
          <w:bCs/>
          <w:sz w:val="22"/>
        </w:rPr>
      </w:pPr>
      <w:r w:rsidRPr="00594570">
        <w:rPr>
          <w:bCs/>
          <w:sz w:val="22"/>
        </w:rPr>
        <w:lastRenderedPageBreak/>
        <w:t xml:space="preserve">trials, with encouraging results, including motor and </w:t>
      </w:r>
      <w:r w:rsidRPr="00483BCD">
        <w:rPr>
          <w:bCs/>
          <w:sz w:val="22"/>
        </w:rPr>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r w:rsidR="0021696B">
        <w:rPr>
          <w:bCs/>
          <w:sz w:val="22"/>
        </w:rPr>
        <w:t xml:space="preserve"> From </w:t>
      </w:r>
      <w:r w:rsidR="0021696B">
        <w:rPr>
          <w:bCs/>
          <w:sz w:val="22"/>
        </w:rPr>
        <w:fldChar w:fldCharType="begin"/>
      </w:r>
      <w:r w:rsidR="0021696B">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21696B">
        <w:rPr>
          <w:bCs/>
          <w:sz w:val="22"/>
        </w:rPr>
        <w:fldChar w:fldCharType="separate"/>
      </w:r>
      <w:r w:rsidR="0021696B">
        <w:rPr>
          <w:bCs/>
          <w:noProof/>
          <w:sz w:val="22"/>
        </w:rPr>
        <w:t>(Qu et al.)</w:t>
      </w:r>
      <w:r w:rsidR="0021696B">
        <w:rPr>
          <w:bCs/>
          <w:sz w:val="22"/>
        </w:rPr>
        <w:fldChar w:fldCharType="end"/>
      </w:r>
      <w:r w:rsidR="0021696B">
        <w:rPr>
          <w:bCs/>
          <w:sz w:val="22"/>
        </w:rPr>
        <w:t xml:space="preserve"> currently (as of 2020), there are no approved treatments for restoring mobility and sensation after SCI.</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4FCEAE08"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5"/>
        <w:gridCol w:w="1986"/>
        <w:gridCol w:w="2250"/>
        <w:gridCol w:w="1654"/>
      </w:tblGrid>
      <w:tr w:rsidR="00027200" w:rsidRPr="00773149" w14:paraId="01BD14D1" w14:textId="77777777" w:rsidTr="00D440FD">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65"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783"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D440FD">
        <w:trPr>
          <w:trHeight w:val="1098"/>
        </w:trPr>
        <w:tc>
          <w:tcPr>
            <w:tcW w:w="2212" w:type="pct"/>
          </w:tcPr>
          <w:p w14:paraId="60DD8AF3" w14:textId="432202F8" w:rsidR="00027200" w:rsidRPr="00E24020" w:rsidRDefault="00E8597E" w:rsidP="00CB51C6">
            <w:pPr>
              <w:pStyle w:val="JHEPBody"/>
              <w:rPr>
                <w:b/>
                <w:bCs/>
                <w:sz w:val="20"/>
                <w:szCs w:val="20"/>
                <w:lang w:bidi="en-US"/>
              </w:rPr>
            </w:pPr>
            <w:r w:rsidRPr="00E24020">
              <w:rPr>
                <w:b/>
                <w:sz w:val="20"/>
                <w:szCs w:val="20"/>
                <w:lang w:bidi="en-US"/>
              </w:rPr>
              <w:t>Mean Arterial Blood Pressure</w:t>
            </w:r>
            <w:r>
              <w:rPr>
                <w:bCs/>
                <w:sz w:val="20"/>
                <w:szCs w:val="20"/>
                <w:lang w:bidi="en-US"/>
              </w:rPr>
              <w:t xml:space="preserve"> (</w:t>
            </w:r>
            <w:r w:rsidRPr="00E8597E">
              <w:rPr>
                <w:b/>
                <w:sz w:val="20"/>
                <w:szCs w:val="20"/>
                <w:lang w:bidi="en-US"/>
              </w:rPr>
              <w:t>MABP</w:t>
            </w:r>
            <w:r>
              <w:rPr>
                <w:bCs/>
                <w:sz w:val="20"/>
                <w:szCs w:val="20"/>
                <w:lang w:bidi="en-US"/>
              </w:rPr>
              <w:t>)</w:t>
            </w:r>
          </w:p>
          <w:p w14:paraId="2E286DE9" w14:textId="6D2F1889" w:rsidR="00027200" w:rsidRPr="00773149" w:rsidRDefault="00E8597E" w:rsidP="00CB51C6">
            <w:pPr>
              <w:pStyle w:val="JHEPBody"/>
              <w:rPr>
                <w:bCs/>
                <w:sz w:val="20"/>
                <w:szCs w:val="20"/>
                <w:lang w:bidi="en-US"/>
              </w:rPr>
            </w:pPr>
            <w:r>
              <w:rPr>
                <w:bCs/>
                <w:sz w:val="20"/>
                <w:szCs w:val="20"/>
                <w:lang w:bidi="en-US"/>
              </w:rPr>
              <w:t>Spinal Cord Blood Flow (SCBF) = MABP/vascular resi</w:t>
            </w:r>
            <w:r w:rsidR="00395DB1">
              <w:rPr>
                <w:bCs/>
                <w:sz w:val="20"/>
                <w:szCs w:val="20"/>
                <w:lang w:bidi="en-US"/>
              </w:rPr>
              <w:t>s</w:t>
            </w:r>
            <w:r>
              <w:rPr>
                <w:bCs/>
                <w:sz w:val="20"/>
                <w:szCs w:val="20"/>
                <w:lang w:bidi="en-US"/>
              </w:rPr>
              <w:t>tance</w:t>
            </w:r>
          </w:p>
        </w:tc>
        <w:tc>
          <w:tcPr>
            <w:tcW w:w="940" w:type="pct"/>
          </w:tcPr>
          <w:p w14:paraId="600D511E" w14:textId="33B0AA8D" w:rsidR="00027200" w:rsidRPr="00773149" w:rsidRDefault="00EA3E7B" w:rsidP="00521A6B">
            <w:pPr>
              <w:pStyle w:val="JHEPBody"/>
              <w:ind w:left="106"/>
              <w:jc w:val="center"/>
              <w:rPr>
                <w:bCs/>
                <w:sz w:val="20"/>
                <w:szCs w:val="20"/>
                <w:lang w:bidi="en-US"/>
              </w:rPr>
            </w:pPr>
            <w:r>
              <w:rPr>
                <w:bCs/>
                <w:sz w:val="20"/>
                <w:szCs w:val="20"/>
                <w:lang w:bidi="en-US"/>
              </w:rPr>
              <w:t>mmHg</w:t>
            </w:r>
          </w:p>
        </w:tc>
        <w:tc>
          <w:tcPr>
            <w:tcW w:w="1065" w:type="pct"/>
          </w:tcPr>
          <w:p w14:paraId="79EDE50E" w14:textId="45A52FFF" w:rsidR="00027200" w:rsidRPr="00773149" w:rsidRDefault="00EA3E7B" w:rsidP="00521A6B">
            <w:pPr>
              <w:pStyle w:val="JHEPBody"/>
              <w:jc w:val="center"/>
              <w:rPr>
                <w:bCs/>
                <w:sz w:val="20"/>
                <w:szCs w:val="20"/>
                <w:lang w:bidi="en-US"/>
              </w:rPr>
            </w:pPr>
            <w:r>
              <w:rPr>
                <w:bCs/>
                <w:sz w:val="20"/>
                <w:szCs w:val="20"/>
                <w:lang w:bidi="en-US"/>
              </w:rPr>
              <w:t>[70, 100]</w:t>
            </w:r>
          </w:p>
        </w:tc>
        <w:tc>
          <w:tcPr>
            <w:tcW w:w="783" w:type="pct"/>
          </w:tcPr>
          <w:p w14:paraId="2C43172A" w14:textId="77777777" w:rsidR="00027200" w:rsidRDefault="00E24020" w:rsidP="005F3322">
            <w:pPr>
              <w:pStyle w:val="JHEPBody"/>
              <w:rPr>
                <w:bCs/>
                <w:sz w:val="20"/>
                <w:szCs w:val="20"/>
                <w:lang w:bidi="en-US"/>
              </w:rPr>
            </w:pPr>
            <w:r>
              <w:rPr>
                <w:bCs/>
                <w:sz w:val="20"/>
                <w:szCs w:val="20"/>
                <w:lang w:bidi="en-US"/>
              </w:rPr>
              <w:t>[MABP]</w:t>
            </w:r>
          </w:p>
          <w:p w14:paraId="647D3D90" w14:textId="43B19C14" w:rsidR="00E24020" w:rsidRPr="00773149" w:rsidRDefault="00E24020" w:rsidP="005F3322">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606C1B" w:rsidRPr="00773149" w14:paraId="38889070" w14:textId="77777777" w:rsidTr="00D440FD">
        <w:trPr>
          <w:trHeight w:val="1098"/>
        </w:trPr>
        <w:tc>
          <w:tcPr>
            <w:tcW w:w="2212" w:type="pct"/>
          </w:tcPr>
          <w:p w14:paraId="4928F6B9" w14:textId="6471302E" w:rsidR="0020795D" w:rsidRPr="00221293" w:rsidRDefault="0020795D" w:rsidP="00606C1B">
            <w:pPr>
              <w:pStyle w:val="JHEPBody"/>
              <w:rPr>
                <w:b/>
                <w:sz w:val="20"/>
                <w:szCs w:val="20"/>
                <w:lang w:bidi="en-US"/>
              </w:rPr>
            </w:pPr>
            <w:r w:rsidRPr="00221293">
              <w:rPr>
                <w:b/>
                <w:sz w:val="20"/>
                <w:szCs w:val="20"/>
                <w:lang w:bidi="en-US"/>
              </w:rPr>
              <w:t>C-reactive protein test</w:t>
            </w:r>
            <w:r w:rsidR="00221293" w:rsidRPr="00221293">
              <w:rPr>
                <w:b/>
                <w:sz w:val="20"/>
                <w:szCs w:val="20"/>
                <w:lang w:bidi="en-US"/>
              </w:rPr>
              <w:t xml:space="preserve"> (CRP)</w:t>
            </w:r>
          </w:p>
          <w:p w14:paraId="13C7A845" w14:textId="05CA5246" w:rsidR="00606C1B" w:rsidRPr="00773149" w:rsidRDefault="0020795D" w:rsidP="00606C1B">
            <w:pPr>
              <w:pStyle w:val="JHEPBody"/>
              <w:rPr>
                <w:b/>
                <w:bCs/>
                <w:sz w:val="20"/>
                <w:szCs w:val="20"/>
                <w:lang w:bidi="en-US"/>
              </w:rPr>
            </w:pPr>
            <w:r>
              <w:rPr>
                <w:bCs/>
                <w:sz w:val="20"/>
                <w:szCs w:val="20"/>
                <w:lang w:bidi="en-US"/>
              </w:rPr>
              <w:t>Check for inflammation due to infection</w:t>
            </w:r>
            <w:r w:rsidR="00606C1B">
              <w:rPr>
                <w:bCs/>
                <w:sz w:val="20"/>
                <w:szCs w:val="20"/>
                <w:lang w:bidi="en-US"/>
              </w:rPr>
              <w:t xml:space="preserve"> </w:t>
            </w:r>
          </w:p>
        </w:tc>
        <w:tc>
          <w:tcPr>
            <w:tcW w:w="940" w:type="pct"/>
          </w:tcPr>
          <w:p w14:paraId="6D8F12D7" w14:textId="6DB2C2C0" w:rsidR="00606C1B" w:rsidRPr="00773149" w:rsidRDefault="00D92BBD" w:rsidP="00D92BBD">
            <w:pPr>
              <w:pStyle w:val="JHEPBody"/>
              <w:ind w:left="106"/>
              <w:rPr>
                <w:bCs/>
                <w:sz w:val="20"/>
                <w:szCs w:val="20"/>
                <w:lang w:bidi="en-US"/>
              </w:rPr>
            </w:pPr>
            <w:r>
              <w:rPr>
                <w:bCs/>
                <w:sz w:val="20"/>
                <w:szCs w:val="20"/>
                <w:lang w:bidi="en-US"/>
              </w:rPr>
              <w:t>mg/L</w:t>
            </w:r>
          </w:p>
        </w:tc>
        <w:tc>
          <w:tcPr>
            <w:tcW w:w="1065" w:type="pct"/>
          </w:tcPr>
          <w:p w14:paraId="24D2AFA7" w14:textId="4BD9FA75" w:rsidR="00606C1B" w:rsidRDefault="00D92BBD" w:rsidP="00144B5E">
            <w:pPr>
              <w:pStyle w:val="JHEPBody"/>
              <w:numPr>
                <w:ilvl w:val="0"/>
                <w:numId w:val="35"/>
              </w:numPr>
              <w:rPr>
                <w:bCs/>
                <w:sz w:val="20"/>
                <w:szCs w:val="20"/>
                <w:lang w:bidi="en-US"/>
              </w:rPr>
            </w:pPr>
            <w:r>
              <w:rPr>
                <w:bCs/>
                <w:sz w:val="20"/>
                <w:szCs w:val="20"/>
                <w:lang w:bidi="en-US"/>
              </w:rPr>
              <w:t>&lt;=10mg/L</w:t>
            </w:r>
          </w:p>
        </w:tc>
        <w:tc>
          <w:tcPr>
            <w:tcW w:w="783" w:type="pct"/>
          </w:tcPr>
          <w:p w14:paraId="1A3D30DF" w14:textId="3081A10A" w:rsidR="00606C1B" w:rsidRPr="00495AEB" w:rsidRDefault="00495AEB" w:rsidP="00606C1B">
            <w:pPr>
              <w:pStyle w:val="JHEPBody"/>
              <w:rPr>
                <w:bCs/>
                <w:sz w:val="20"/>
                <w:szCs w:val="20"/>
                <w:lang w:bidi="en-US"/>
              </w:rPr>
            </w:pPr>
            <w:r>
              <w:rPr>
                <w:noProof/>
                <w:sz w:val="20"/>
                <w:szCs w:val="20"/>
              </w:rPr>
              <w:t>(</w:t>
            </w:r>
            <w:r w:rsidRPr="00495AEB">
              <w:rPr>
                <w:noProof/>
                <w:sz w:val="20"/>
                <w:szCs w:val="20"/>
              </w:rPr>
              <w:t>Kwiecien e</w:t>
            </w:r>
            <w:r w:rsidRPr="00495AEB">
              <w:rPr>
                <w:noProof/>
                <w:sz w:val="20"/>
                <w:szCs w:val="20"/>
              </w:rPr>
              <w:t>t al.</w:t>
            </w:r>
            <w:r>
              <w:rPr>
                <w:noProof/>
                <w:sz w:val="20"/>
                <w:szCs w:val="20"/>
              </w:rPr>
              <w:t>)</w:t>
            </w:r>
          </w:p>
        </w:tc>
      </w:tr>
      <w:tr w:rsidR="00606C1B" w:rsidRPr="00773149" w14:paraId="674EBE63" w14:textId="77777777" w:rsidTr="00D440FD">
        <w:trPr>
          <w:trHeight w:val="1098"/>
        </w:trPr>
        <w:tc>
          <w:tcPr>
            <w:tcW w:w="2212" w:type="pct"/>
          </w:tcPr>
          <w:p w14:paraId="1FC1FB97" w14:textId="69C7619A" w:rsidR="00606C1B" w:rsidRPr="00773149" w:rsidRDefault="00284F4A" w:rsidP="00606C1B">
            <w:pPr>
              <w:pStyle w:val="JHEPBody"/>
              <w:rPr>
                <w:b/>
                <w:bCs/>
                <w:sz w:val="20"/>
                <w:szCs w:val="20"/>
                <w:lang w:bidi="en-US"/>
              </w:rPr>
            </w:pPr>
            <w:r>
              <w:rPr>
                <w:b/>
                <w:bCs/>
                <w:sz w:val="20"/>
                <w:szCs w:val="20"/>
                <w:lang w:bidi="en-US"/>
              </w:rPr>
              <w:t>Biological</w:t>
            </w:r>
            <w:r w:rsidR="007B3980">
              <w:rPr>
                <w:b/>
                <w:bCs/>
                <w:sz w:val="20"/>
                <w:szCs w:val="20"/>
                <w:lang w:bidi="en-US"/>
              </w:rPr>
              <w:t xml:space="preserve"> factors (</w:t>
            </w:r>
            <w:proofErr w:type="spellStart"/>
            <w:r w:rsidR="00523977">
              <w:rPr>
                <w:b/>
                <w:bCs/>
                <w:sz w:val="20"/>
                <w:szCs w:val="20"/>
                <w:lang w:bidi="en-US"/>
              </w:rPr>
              <w:t>c</w:t>
            </w:r>
            <w:r w:rsidR="007B3980">
              <w:rPr>
                <w:b/>
                <w:bCs/>
                <w:sz w:val="20"/>
                <w:szCs w:val="20"/>
                <w:lang w:bidi="en-US"/>
              </w:rPr>
              <w:t>lusterin</w:t>
            </w:r>
            <w:proofErr w:type="spellEnd"/>
            <w:r w:rsidR="007B3980">
              <w:rPr>
                <w:b/>
                <w:bCs/>
                <w:sz w:val="20"/>
                <w:szCs w:val="20"/>
                <w:lang w:bidi="en-US"/>
              </w:rPr>
              <w:t xml:space="preserve">, </w:t>
            </w:r>
            <w:proofErr w:type="spellStart"/>
            <w:r w:rsidR="00B957C9">
              <w:rPr>
                <w:b/>
                <w:bCs/>
                <w:sz w:val="20"/>
                <w:szCs w:val="20"/>
                <w:lang w:bidi="en-US"/>
              </w:rPr>
              <w:t>apo</w:t>
            </w:r>
            <w:r w:rsidR="007B3980">
              <w:rPr>
                <w:b/>
                <w:bCs/>
                <w:sz w:val="20"/>
                <w:szCs w:val="20"/>
                <w:lang w:bidi="en-US"/>
              </w:rPr>
              <w:t>E</w:t>
            </w:r>
            <w:proofErr w:type="spellEnd"/>
            <w:r w:rsidR="00D440FD">
              <w:rPr>
                <w:b/>
                <w:bCs/>
                <w:sz w:val="20"/>
                <w:szCs w:val="20"/>
                <w:lang w:bidi="en-US"/>
              </w:rPr>
              <w:t>, MCP-1</w:t>
            </w:r>
            <w:r w:rsidR="007B3980">
              <w:rPr>
                <w:b/>
                <w:bCs/>
                <w:sz w:val="20"/>
                <w:szCs w:val="20"/>
                <w:lang w:bidi="en-US"/>
              </w:rPr>
              <w:t>)</w:t>
            </w:r>
          </w:p>
          <w:p w14:paraId="6FDD8401" w14:textId="5CB5FEDE" w:rsidR="00606C1B" w:rsidRPr="00773149" w:rsidRDefault="007B3980" w:rsidP="00606C1B">
            <w:pPr>
              <w:pStyle w:val="JHEPBody"/>
              <w:rPr>
                <w:bCs/>
                <w:sz w:val="20"/>
                <w:szCs w:val="20"/>
                <w:lang w:bidi="en-US"/>
              </w:rPr>
            </w:pPr>
            <w:r>
              <w:rPr>
                <w:bCs/>
                <w:sz w:val="20"/>
                <w:szCs w:val="20"/>
                <w:lang w:bidi="en-US"/>
              </w:rPr>
              <w:t>Measure factors which stimulate axonal growth, neural repair</w:t>
            </w:r>
            <w:r w:rsidR="00284F4A">
              <w:rPr>
                <w:bCs/>
                <w:sz w:val="20"/>
                <w:szCs w:val="20"/>
                <w:lang w:bidi="en-US"/>
              </w:rPr>
              <w:t xml:space="preserve">, and myelination (glial differentiation) </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13D708FB" w14:textId="2A2DF1DC" w:rsidR="00606C1B" w:rsidRDefault="00A91261" w:rsidP="00D440FD">
            <w:pPr>
              <w:pStyle w:val="JHEPBody"/>
              <w:rPr>
                <w:bCs/>
                <w:sz w:val="20"/>
                <w:szCs w:val="20"/>
                <w:lang w:bidi="en-US"/>
              </w:rPr>
            </w:pPr>
            <w:proofErr w:type="spellStart"/>
            <w:r>
              <w:rPr>
                <w:bCs/>
                <w:sz w:val="20"/>
                <w:szCs w:val="20"/>
                <w:lang w:bidi="en-US"/>
              </w:rPr>
              <w:t>Clusterin</w:t>
            </w:r>
            <w:proofErr w:type="spellEnd"/>
            <w:r>
              <w:rPr>
                <w:bCs/>
                <w:sz w:val="20"/>
                <w:szCs w:val="20"/>
                <w:lang w:bidi="en-US"/>
              </w:rPr>
              <w:t xml:space="preserve">, </w:t>
            </w:r>
            <w:proofErr w:type="spellStart"/>
            <w:r>
              <w:rPr>
                <w:bCs/>
                <w:sz w:val="20"/>
                <w:szCs w:val="20"/>
                <w:lang w:bidi="en-US"/>
              </w:rPr>
              <w:t>apoE</w:t>
            </w:r>
            <w:proofErr w:type="spellEnd"/>
            <w:r>
              <w:rPr>
                <w:bCs/>
                <w:sz w:val="20"/>
                <w:szCs w:val="20"/>
                <w:lang w:bidi="en-US"/>
              </w:rPr>
              <w:t xml:space="preserve">: </w:t>
            </w:r>
            <w:r w:rsidR="00EC5E50">
              <w:rPr>
                <w:bCs/>
                <w:sz w:val="20"/>
                <w:szCs w:val="20"/>
                <w:lang w:bidi="en-US"/>
              </w:rPr>
              <w:t>m</w:t>
            </w:r>
            <w:r w:rsidR="00B957C9">
              <w:rPr>
                <w:bCs/>
                <w:sz w:val="20"/>
                <w:szCs w:val="20"/>
                <w:lang w:bidi="en-US"/>
              </w:rPr>
              <w:t>g/</w:t>
            </w:r>
            <w:r w:rsidR="00EC5E50">
              <w:rPr>
                <w:bCs/>
                <w:sz w:val="20"/>
                <w:szCs w:val="20"/>
                <w:lang w:bidi="en-US"/>
              </w:rPr>
              <w:t>L</w:t>
            </w:r>
          </w:p>
          <w:p w14:paraId="2B9ACD7E" w14:textId="34EAFBD1" w:rsidR="00A91261" w:rsidRPr="00773149" w:rsidRDefault="00A91261" w:rsidP="00D440FD">
            <w:pPr>
              <w:pStyle w:val="JHEPBody"/>
              <w:rPr>
                <w:bCs/>
                <w:sz w:val="20"/>
                <w:szCs w:val="20"/>
                <w:lang w:bidi="en-US"/>
              </w:rPr>
            </w:pPr>
            <w:r>
              <w:rPr>
                <w:bCs/>
                <w:sz w:val="20"/>
                <w:szCs w:val="20"/>
                <w:lang w:bidi="en-US"/>
              </w:rPr>
              <w:t xml:space="preserve">MCP-1: </w:t>
            </w:r>
            <w:proofErr w:type="spellStart"/>
            <w:r>
              <w:rPr>
                <w:bCs/>
                <w:sz w:val="20"/>
                <w:szCs w:val="20"/>
                <w:lang w:bidi="en-US"/>
              </w:rPr>
              <w:t>pg</w:t>
            </w:r>
            <w:proofErr w:type="spellEnd"/>
            <w:r>
              <w:rPr>
                <w:bCs/>
                <w:sz w:val="20"/>
                <w:szCs w:val="20"/>
                <w:lang w:bidi="en-US"/>
              </w:rPr>
              <w:t>/mL</w:t>
            </w:r>
          </w:p>
        </w:tc>
        <w:tc>
          <w:tcPr>
            <w:tcW w:w="1065" w:type="pct"/>
          </w:tcPr>
          <w:p w14:paraId="614E9295" w14:textId="77777777" w:rsidR="00144B5E" w:rsidRDefault="00144B5E" w:rsidP="00144B5E">
            <w:pPr>
              <w:pStyle w:val="JHEPBody"/>
              <w:numPr>
                <w:ilvl w:val="0"/>
                <w:numId w:val="34"/>
              </w:numPr>
              <w:rPr>
                <w:bCs/>
                <w:sz w:val="20"/>
                <w:szCs w:val="20"/>
                <w:lang w:bidi="en-US"/>
              </w:rPr>
            </w:pPr>
            <w:proofErr w:type="spellStart"/>
            <w:r>
              <w:rPr>
                <w:bCs/>
                <w:sz w:val="20"/>
                <w:szCs w:val="20"/>
                <w:lang w:bidi="en-US"/>
              </w:rPr>
              <w:t>c</w:t>
            </w:r>
            <w:r w:rsidR="00523977">
              <w:rPr>
                <w:bCs/>
                <w:sz w:val="20"/>
                <w:szCs w:val="20"/>
                <w:lang w:bidi="en-US"/>
              </w:rPr>
              <w:t>lusterin</w:t>
            </w:r>
            <w:proofErr w:type="spellEnd"/>
            <w:r w:rsidR="00523977">
              <w:rPr>
                <w:bCs/>
                <w:sz w:val="20"/>
                <w:szCs w:val="20"/>
                <w:lang w:bidi="en-US"/>
              </w:rPr>
              <w:t>: [</w:t>
            </w:r>
            <w:r>
              <w:rPr>
                <w:bCs/>
                <w:sz w:val="20"/>
                <w:szCs w:val="20"/>
                <w:lang w:bidi="en-US"/>
              </w:rPr>
              <w:t>1.87-1.94</w:t>
            </w:r>
            <w:r w:rsidR="00523977">
              <w:rPr>
                <w:bCs/>
                <w:sz w:val="20"/>
                <w:szCs w:val="20"/>
                <w:lang w:bidi="en-US"/>
              </w:rPr>
              <w:t>]</w:t>
            </w:r>
            <w:r w:rsidR="00B957C9">
              <w:rPr>
                <w:bCs/>
                <w:sz w:val="20"/>
                <w:szCs w:val="20"/>
                <w:lang w:bidi="en-US"/>
              </w:rPr>
              <w:t xml:space="preserve"> </w:t>
            </w:r>
          </w:p>
          <w:p w14:paraId="71BE95E3" w14:textId="77777777" w:rsidR="00606C1B" w:rsidRDefault="00523977" w:rsidP="00144B5E">
            <w:pPr>
              <w:pStyle w:val="JHEPBody"/>
              <w:numPr>
                <w:ilvl w:val="0"/>
                <w:numId w:val="34"/>
              </w:numPr>
              <w:rPr>
                <w:bCs/>
                <w:sz w:val="20"/>
                <w:szCs w:val="20"/>
                <w:lang w:bidi="en-US"/>
              </w:rPr>
            </w:pPr>
            <w:proofErr w:type="spellStart"/>
            <w:r>
              <w:rPr>
                <w:bCs/>
                <w:sz w:val="20"/>
                <w:szCs w:val="20"/>
                <w:lang w:bidi="en-US"/>
              </w:rPr>
              <w:t>apoE</w:t>
            </w:r>
            <w:proofErr w:type="spellEnd"/>
            <w:r>
              <w:rPr>
                <w:bCs/>
                <w:sz w:val="20"/>
                <w:szCs w:val="20"/>
                <w:lang w:bidi="en-US"/>
              </w:rPr>
              <w:t xml:space="preserve">: </w:t>
            </w:r>
            <w:r w:rsidR="00B957C9">
              <w:rPr>
                <w:bCs/>
                <w:sz w:val="20"/>
                <w:szCs w:val="20"/>
                <w:lang w:bidi="en-US"/>
              </w:rPr>
              <w:t>[35-49]</w:t>
            </w:r>
            <w:r w:rsidR="00606C1B">
              <w:rPr>
                <w:bCs/>
                <w:sz w:val="20"/>
                <w:szCs w:val="20"/>
                <w:lang w:bidi="en-US"/>
              </w:rPr>
              <w:t xml:space="preserve"> </w:t>
            </w:r>
            <w:r w:rsidR="008B1806">
              <w:rPr>
                <w:bCs/>
                <w:sz w:val="20"/>
                <w:szCs w:val="20"/>
                <w:lang w:bidi="en-US"/>
              </w:rPr>
              <w:t xml:space="preserve"> </w:t>
            </w:r>
          </w:p>
          <w:p w14:paraId="6CCA3609" w14:textId="72A2786A" w:rsidR="005B4CF2" w:rsidRDefault="005B4CF2" w:rsidP="00144B5E">
            <w:pPr>
              <w:pStyle w:val="JHEPBody"/>
              <w:numPr>
                <w:ilvl w:val="0"/>
                <w:numId w:val="34"/>
              </w:numPr>
              <w:rPr>
                <w:bCs/>
                <w:sz w:val="20"/>
                <w:szCs w:val="20"/>
                <w:lang w:bidi="en-US"/>
              </w:rPr>
            </w:pPr>
            <w:r>
              <w:rPr>
                <w:bCs/>
                <w:sz w:val="20"/>
                <w:szCs w:val="20"/>
                <w:lang w:bidi="en-US"/>
              </w:rPr>
              <w:t>MCP-</w:t>
            </w:r>
            <w:proofErr w:type="gramStart"/>
            <w:r>
              <w:rPr>
                <w:bCs/>
                <w:sz w:val="20"/>
                <w:szCs w:val="20"/>
                <w:lang w:bidi="en-US"/>
              </w:rPr>
              <w:t>1</w:t>
            </w:r>
            <w:r w:rsidR="00D440FD">
              <w:rPr>
                <w:bCs/>
                <w:sz w:val="20"/>
                <w:szCs w:val="20"/>
                <w:lang w:bidi="en-US"/>
              </w:rPr>
              <w:t>:[</w:t>
            </w:r>
            <w:proofErr w:type="gramEnd"/>
            <w:r w:rsidR="00D440FD">
              <w:rPr>
                <w:bCs/>
                <w:sz w:val="20"/>
                <w:szCs w:val="20"/>
                <w:lang w:bidi="en-US"/>
              </w:rPr>
              <w:t>69.5-175.2]</w:t>
            </w:r>
          </w:p>
        </w:tc>
        <w:tc>
          <w:tcPr>
            <w:tcW w:w="783" w:type="pct"/>
          </w:tcPr>
          <w:p w14:paraId="374817C1" w14:textId="014BC3DC" w:rsidR="00291652" w:rsidRDefault="00291652"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Pr>
                <w:bCs/>
                <w:sz w:val="20"/>
                <w:szCs w:val="20"/>
                <w:lang w:bidi="en-US"/>
              </w:rPr>
              <w:fldChar w:fldCharType="separate"/>
            </w:r>
            <w:r w:rsidRPr="00291652">
              <w:rPr>
                <w:rFonts w:cs="Tahoma"/>
                <w:sz w:val="20"/>
              </w:rPr>
              <w:t>(</w:t>
            </w:r>
            <w:proofErr w:type="spellStart"/>
            <w:r w:rsidRPr="00291652">
              <w:rPr>
                <w:rFonts w:cs="Tahoma"/>
                <w:sz w:val="20"/>
              </w:rPr>
              <w:t>Wąsik</w:t>
            </w:r>
            <w:proofErr w:type="spellEnd"/>
            <w:r w:rsidRPr="00291652">
              <w:rPr>
                <w:rFonts w:cs="Tahoma"/>
                <w:sz w:val="20"/>
              </w:rPr>
              <w:t xml:space="preserve"> et al.)</w:t>
            </w:r>
            <w:r>
              <w:rPr>
                <w:bCs/>
                <w:sz w:val="20"/>
                <w:szCs w:val="20"/>
                <w:lang w:bidi="en-US"/>
              </w:rPr>
              <w:fldChar w:fldCharType="end"/>
            </w:r>
          </w:p>
          <w:p w14:paraId="362FF9C5" w14:textId="77777777" w:rsidR="00606C1B" w:rsidRDefault="00523977"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Pr>
                <w:bCs/>
                <w:sz w:val="20"/>
                <w:szCs w:val="20"/>
                <w:lang w:bidi="en-US"/>
              </w:rPr>
              <w:fldChar w:fldCharType="separate"/>
            </w:r>
            <w:r>
              <w:rPr>
                <w:bCs/>
                <w:noProof/>
                <w:sz w:val="20"/>
                <w:szCs w:val="20"/>
                <w:lang w:bidi="en-US"/>
              </w:rPr>
              <w:t>(Kaneva et al.)</w:t>
            </w:r>
            <w:r>
              <w:rPr>
                <w:bCs/>
                <w:sz w:val="20"/>
                <w:szCs w:val="20"/>
                <w:lang w:bidi="en-US"/>
              </w:rPr>
              <w:fldChar w:fldCharType="end"/>
            </w:r>
          </w:p>
          <w:p w14:paraId="0ACCA125" w14:textId="42C8AB83" w:rsidR="00D440FD" w:rsidRPr="00773149" w:rsidRDefault="00D440FD"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Pr>
                <w:bCs/>
                <w:sz w:val="20"/>
                <w:szCs w:val="20"/>
                <w:lang w:bidi="en-US"/>
              </w:rPr>
              <w:fldChar w:fldCharType="separate"/>
            </w:r>
            <w:r w:rsidRPr="00D440FD">
              <w:rPr>
                <w:rFonts w:cs="Tahoma"/>
                <w:sz w:val="20"/>
              </w:rPr>
              <w:t>(</w:t>
            </w:r>
            <w:proofErr w:type="spellStart"/>
            <w:r w:rsidRPr="00D440FD">
              <w:rPr>
                <w:rFonts w:cs="Tahoma"/>
                <w:sz w:val="20"/>
              </w:rPr>
              <w:t>Valković</w:t>
            </w:r>
            <w:proofErr w:type="spellEnd"/>
            <w:r w:rsidRPr="00D440FD">
              <w:rPr>
                <w:rFonts w:cs="Tahoma"/>
                <w:sz w:val="20"/>
              </w:rPr>
              <w:t xml:space="preserve"> et al.)</w:t>
            </w:r>
            <w:r>
              <w:rPr>
                <w:bCs/>
                <w:sz w:val="20"/>
                <w:szCs w:val="20"/>
                <w:lang w:bidi="en-US"/>
              </w:rPr>
              <w:fldChar w:fldCharType="end"/>
            </w:r>
          </w:p>
        </w:tc>
      </w:tr>
      <w:tr w:rsidR="00606C1B" w:rsidRPr="00773149" w14:paraId="31104496" w14:textId="77777777" w:rsidTr="00D440FD">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1065"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783"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D440FD">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lastRenderedPageBreak/>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40"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1065"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783"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7526A8CA" w14:textId="77777777" w:rsidR="00E24020" w:rsidRDefault="00E24020" w:rsidP="00274369">
      <w:pPr>
        <w:pStyle w:val="JHEPBody"/>
      </w:pPr>
    </w:p>
    <w:p w14:paraId="3F3CB620" w14:textId="77777777" w:rsidR="00E24020" w:rsidRDefault="00E24020" w:rsidP="00274369">
      <w:pPr>
        <w:pStyle w:val="JHEPBody"/>
      </w:pPr>
    </w:p>
    <w:p w14:paraId="1269CDA2" w14:textId="7179E92A" w:rsidR="00240673" w:rsidRDefault="00E24020" w:rsidP="00D57E87">
      <w:pPr>
        <w:pStyle w:val="JHEPBody"/>
        <w:numPr>
          <w:ilvl w:val="0"/>
          <w:numId w:val="33"/>
        </w:numPr>
      </w:pPr>
      <w:r>
        <w:t>M</w:t>
      </w:r>
      <w:r w:rsidR="00521A6B">
        <w:t>ABP</w:t>
      </w:r>
      <w:r>
        <w:t>: SCI can be viewed as a two-step trauma. The primary injury results from impact, compression to the spinal cord. The second injury is cellular and biochemical. First concern of the surgeon is to relieve any pressure from the surrounding bone by removing factures or dislocated vertebrae.</w:t>
      </w:r>
      <w:r w:rsidR="009925F9">
        <w:t xml:space="preserve"> In </w:t>
      </w:r>
      <w:r>
        <w:t xml:space="preserve">the thoracic </w:t>
      </w:r>
      <w:r w:rsidR="009925F9">
        <w:t>v</w:t>
      </w:r>
      <w:r>
        <w:t xml:space="preserve">ascular region, proper </w:t>
      </w:r>
      <w:r w:rsidR="009925F9">
        <w:t xml:space="preserve">spinal cord </w:t>
      </w:r>
      <w:r>
        <w:t>blo</w:t>
      </w:r>
      <w:r w:rsidR="009925F9">
        <w:t>o</w:t>
      </w:r>
      <w:r>
        <w:t xml:space="preserve">d flow </w:t>
      </w:r>
      <w:r w:rsidR="009925F9">
        <w:t xml:space="preserve">(SBCF) </w:t>
      </w:r>
      <w:r>
        <w:t xml:space="preserve">supply is critical to avoid ischemia. </w:t>
      </w:r>
      <w:r w:rsidR="0062799F">
        <w:t>However aortic cross-clamping prompts a</w:t>
      </w:r>
      <w:r w:rsidR="0062799F">
        <w:t>n</w:t>
      </w:r>
      <w:r w:rsidR="0062799F">
        <w:t xml:space="preserve"> incr</w:t>
      </w:r>
      <w:r w:rsidR="0062799F">
        <w:t>e</w:t>
      </w:r>
      <w:r w:rsidR="0062799F">
        <w:t xml:space="preserve">ase in CFSP and a decrease in </w:t>
      </w:r>
      <w:r w:rsidR="0062799F">
        <w:t xml:space="preserve">spinal cord perfusion </w:t>
      </w:r>
      <w:r w:rsidR="0091074E">
        <w:t xml:space="preserve">pressure </w:t>
      </w:r>
      <w:r w:rsidR="0062799F">
        <w:t>(</w:t>
      </w:r>
      <w:r w:rsidR="0062799F">
        <w:t>SCPP</w:t>
      </w:r>
      <w:r w:rsidR="0062799F">
        <w:t>) reducing blood supply to the spinal cord</w:t>
      </w:r>
      <w:r w:rsidR="0091074E">
        <w:t xml:space="preserve"> </w:t>
      </w:r>
      <w:r w:rsidR="00EB5BA2">
        <w:t>(</w:t>
      </w:r>
      <w:proofErr w:type="spellStart"/>
      <w:r w:rsidR="00EB5BA2" w:rsidRPr="00EB5BA2">
        <w:t>Robertazzi</w:t>
      </w:r>
      <w:proofErr w:type="spellEnd"/>
      <w:r w:rsidR="00EB5BA2">
        <w:t xml:space="preserve"> et al.)</w:t>
      </w:r>
      <w:r w:rsidR="0062799F">
        <w:t>. S</w:t>
      </w:r>
      <w:r w:rsidR="009925F9">
        <w:t xml:space="preserve">tudies have </w:t>
      </w:r>
      <w:r w:rsidR="0091074E">
        <w:t xml:space="preserve">also </w:t>
      </w:r>
      <w:r w:rsidR="009925F9">
        <w:t>shown that immediate neurological deficits are the result of minimal SCBF</w:t>
      </w:r>
      <w:r w:rsidR="000E49C6">
        <w:t xml:space="preserve"> (Crawford et al.)</w:t>
      </w:r>
      <w:r w:rsidR="009925F9">
        <w:t>.</w:t>
      </w:r>
      <w:r w:rsidR="00EB5BA2">
        <w:t xml:space="preserve"> MABP immediately spikes and then falls and severe trauma decreases SBF because vascular resistance and MABP increase</w:t>
      </w:r>
      <w:r w:rsidR="00D57E87">
        <w:t xml:space="preserve"> </w:t>
      </w:r>
      <w:r w:rsidR="00D57E87">
        <w:fldChar w:fldCharType="begin"/>
      </w:r>
      <w:r w:rsidR="00D57E87">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fldChar w:fldCharType="separate"/>
      </w:r>
      <w:r w:rsidR="00D57E87">
        <w:rPr>
          <w:noProof/>
        </w:rPr>
        <w:t>(Martirosyan et al.)</w:t>
      </w:r>
      <w:r w:rsidR="00D57E87">
        <w:fldChar w:fldCharType="end"/>
      </w:r>
      <w:r w:rsidR="00EB5BA2">
        <w:t xml:space="preserve">. </w:t>
      </w:r>
    </w:p>
    <w:p w14:paraId="42DB7DE9" w14:textId="58865D44" w:rsidR="00161427" w:rsidRDefault="00CC4C75" w:rsidP="00161427">
      <w:pPr>
        <w:pStyle w:val="JHEPBody"/>
        <w:numPr>
          <w:ilvl w:val="0"/>
          <w:numId w:val="33"/>
        </w:numPr>
      </w:pPr>
      <w:r>
        <w:t>CRP:</w:t>
      </w:r>
      <w:r w:rsidR="00017329">
        <w:t xml:space="preserve"> SCI causes hemorrhage, ischemia, severe inflammation, and cellular necrosi</w:t>
      </w:r>
      <w:r w:rsidR="00161427">
        <w:t>s</w:t>
      </w:r>
      <w:r w:rsidR="00017329">
        <w:t>.</w:t>
      </w:r>
      <w:r w:rsidR="00161427">
        <w:t xml:space="preserve"> </w:t>
      </w:r>
      <w:r w:rsidR="00176318">
        <w:t>After SCI, p</w:t>
      </w:r>
      <w:r w:rsidR="00161427">
        <w:t>ro-inflammatory cytokines such as interleukins 1beta (IL1</w:t>
      </w:r>
      <w:r w:rsidR="0030079B">
        <w:t>-</w:t>
      </w:r>
      <w:r w:rsidR="00161427">
        <w:t>beta)</w:t>
      </w:r>
      <w:r w:rsidR="0030079B">
        <w:t>, 6 (IL-6)</w:t>
      </w:r>
      <w:r w:rsidR="00161427">
        <w:t xml:space="preserve"> as well necrosis factor alpha (TNF-alpha), interferon gamma (IGN-gamma)</w:t>
      </w:r>
      <w:r w:rsidR="00FB251D">
        <w:t>,</w:t>
      </w:r>
      <w:r w:rsidR="00161427">
        <w:t xml:space="preserve"> CC, CXC, and CX3C </w:t>
      </w:r>
      <w:r w:rsidR="0030079B">
        <w:t>chemokines; levels</w:t>
      </w:r>
      <w:r w:rsidR="00161427">
        <w:t xml:space="preserve"> are </w:t>
      </w:r>
      <w:r w:rsidR="00176318">
        <w:t>elevated</w:t>
      </w:r>
      <w:r w:rsidR="0030079B">
        <w:t xml:space="preserve"> </w:t>
      </w:r>
      <w:r w:rsidR="0030079B">
        <w:fldChar w:fldCharType="begin"/>
      </w:r>
      <w:r w:rsidR="0030079B">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fldChar w:fldCharType="separate"/>
      </w:r>
      <w:r w:rsidR="0030079B">
        <w:rPr>
          <w:noProof/>
        </w:rPr>
        <w:t>(Kwiecien et al.)</w:t>
      </w:r>
      <w:r w:rsidR="0030079B">
        <w:fldChar w:fldCharType="end"/>
      </w:r>
      <w:r w:rsidR="00176318">
        <w:t>.</w:t>
      </w:r>
      <w:r w:rsidR="00071E26">
        <w:t xml:space="preserve"> </w:t>
      </w:r>
      <w:r w:rsidR="0030079B">
        <w:t xml:space="preserve"> </w:t>
      </w:r>
      <w:r w:rsidR="00071E26">
        <w:t xml:space="preserve">IL1-beta, IL-6, and TNF are reported to induce </w:t>
      </w:r>
      <w:r w:rsidR="00FB251D">
        <w:t>synthesis</w:t>
      </w:r>
      <w:r w:rsidR="00071E26">
        <w:t xml:space="preserve"> by the liver of C-reactive protein </w:t>
      </w:r>
      <w:r w:rsidR="00FB251D">
        <w:t>(</w:t>
      </w:r>
      <w:r w:rsidR="00071E26">
        <w:t>CRP)</w:t>
      </w:r>
      <w:r w:rsidR="00825603">
        <w:t xml:space="preserve"> (</w:t>
      </w:r>
      <w:r w:rsidR="00825603" w:rsidRPr="0030079B">
        <w:rPr>
          <w:rFonts w:cs="Tahoma"/>
          <w:color w:val="212121"/>
          <w:shd w:val="clear" w:color="auto" w:fill="FFFFFF"/>
        </w:rPr>
        <w:t>Sheldon, J et al</w:t>
      </w:r>
      <w:r w:rsidR="00825603">
        <w:rPr>
          <w:rFonts w:cs="Tahoma"/>
          <w:color w:val="212121"/>
          <w:shd w:val="clear" w:color="auto" w:fill="FFFFFF"/>
        </w:rPr>
        <w:t>)</w:t>
      </w:r>
      <w:r w:rsidR="00071E26">
        <w:t>.</w:t>
      </w:r>
      <w:r w:rsidR="00176318">
        <w:t xml:space="preserve"> </w:t>
      </w:r>
      <w:r w:rsidR="00BF3122">
        <w:t xml:space="preserve">In addition, </w:t>
      </w:r>
      <w:proofErr w:type="spellStart"/>
      <w:proofErr w:type="gramStart"/>
      <w:r w:rsidR="00C40D2B">
        <w:t>hs</w:t>
      </w:r>
      <w:r w:rsidR="00BF3122">
        <w:t>CRP</w:t>
      </w:r>
      <w:proofErr w:type="spellEnd"/>
      <w:r w:rsidR="00C40D2B">
        <w:t>(</w:t>
      </w:r>
      <w:proofErr w:type="gramEnd"/>
      <w:r w:rsidR="00C40D2B">
        <w:t>high-sensitivity CRP)</w:t>
      </w:r>
      <w:r w:rsidR="00BF3122">
        <w:t xml:space="preserve"> levels are higher for people with chronic SCI (chronic SCI:  SCI </w:t>
      </w:r>
      <w:r w:rsidR="00C40D2B">
        <w:t>complications longer than 1 year) with a mean CRP of 3.36 +/- 2.86 mg/L putting these people in high risk of CVD (American Heart Association)</w:t>
      </w:r>
      <w:r w:rsidR="00BD218D">
        <w:t xml:space="preserve"> (</w:t>
      </w:r>
      <w:r w:rsidR="00BD218D" w:rsidRPr="00C40D2B">
        <w:rPr>
          <w:rFonts w:cs="Tahoma"/>
          <w:color w:val="212121"/>
          <w:shd w:val="clear" w:color="auto" w:fill="FFFFFF"/>
        </w:rPr>
        <w:t>Gibson, A E et al</w:t>
      </w:r>
      <w:r w:rsidR="00BD218D">
        <w:rPr>
          <w:rFonts w:cs="Tahoma"/>
          <w:color w:val="212121"/>
          <w:shd w:val="clear" w:color="auto" w:fill="FFFFFF"/>
        </w:rPr>
        <w:t>)</w:t>
      </w:r>
      <w:r w:rsidR="00C40D2B">
        <w:t>.</w:t>
      </w:r>
    </w:p>
    <w:p w14:paraId="6CF2EBF6" w14:textId="1DBD3BBC" w:rsidR="00CC4C75" w:rsidRDefault="00D440FD" w:rsidP="00737C00">
      <w:pPr>
        <w:pStyle w:val="JHEPBody"/>
        <w:numPr>
          <w:ilvl w:val="0"/>
          <w:numId w:val="33"/>
        </w:numPr>
      </w:pPr>
      <w:r>
        <w:t xml:space="preserve">Biological factors: </w:t>
      </w:r>
      <w:proofErr w:type="spellStart"/>
      <w:r w:rsidR="0043561A">
        <w:t>Cluterin</w:t>
      </w:r>
      <w:proofErr w:type="spellEnd"/>
      <w:r w:rsidR="0043561A">
        <w:t xml:space="preserve"> (CLU) promotes cell aggregation, and it has hypothesized that astrocytes and neurons in response to traumatic lesion up-regulate CLU to preserve cell proximity. CLU also acts a chaperone protein to binds toxin or damaged molecules in the ECM</w:t>
      </w:r>
      <w:r w:rsidR="00567D07">
        <w:t xml:space="preserve"> </w:t>
      </w:r>
      <w:r w:rsidR="00567D07">
        <w:fldChar w:fldCharType="begin"/>
      </w:r>
      <w:r w:rsidR="00567D07">
        <w:instrText xml:space="preserve"> ADDIN ZOTERO_ITEM CSL_CITATION {"citationID":"8Dw02I0j","properties":{"formattedCitation":"(Klimaschewski et al.)","plainCitation":"(Klimaschewski et al.)","noteIndex":0},"citationItems":[{"id":4642,"uris":["http://zotero.org/users/7286058/items/IUUQ8CET"],"itemData":{"id":4642,"type":"article-journal","abstract":"We have investigated the localization and regulation of a putative extracellular chaperone, clusterin, in the rat spinal cord after lesion. In control animals, clusterin is expressed in motoneurons, in meningeal and ependymal cells, and in astrocytes mainly located beneath the pial surface. Beginning at day 2 after hemisection at segmental level C6, clusterin levels increase in GFAP-positive astrocytes within the lesioned segment. Three weeks after trauma, clusterin mRNA and protein are elevated in neurons close to the lesion site and in glial elements within scar tissue and within degenerating fiber tracts rostral and caudal to the lesion. This study provides evidence for a role of clusterin in the subacute and late phase of spinal cord injury.","container-title":"Cell and Tissue Research","DOI":"10.1007/s004410100431","ISSN":"0302766X","issue":"2","language":"en","page":"209-216","source":"DOI.org (Crossref)","title":"Regulation of clusterin expression following spinal cord injury","URL":"http://link.springer.com/10.1007/s004410100431","volume":"306","author":[{"family":"Klimaschewski","given":"L."},{"family":"Obermüller","given":"N."},{"family":"Witzgall","given":"R."}],"accessed":{"date-parts":[["2022",10,23]]},"issued":{"date-parts":[["2001",11,1]]}}}],"schema":"https://github.com/citation-style-language/schema/raw/master/csl-citation.json"} </w:instrText>
      </w:r>
      <w:r w:rsidR="00567D07">
        <w:fldChar w:fldCharType="separate"/>
      </w:r>
      <w:r w:rsidR="00567D07">
        <w:rPr>
          <w:noProof/>
        </w:rPr>
        <w:t>(Klimaschewski et al.)</w:t>
      </w:r>
      <w:r w:rsidR="00567D07">
        <w:fldChar w:fldCharType="end"/>
      </w:r>
      <w:r w:rsidR="0043561A">
        <w:t>.</w:t>
      </w:r>
      <w:r w:rsidR="00E04323">
        <w:t xml:space="preserve"> Apolipoprotein E (</w:t>
      </w:r>
      <w:proofErr w:type="spellStart"/>
      <w:r w:rsidR="00E04323">
        <w:t>apoE</w:t>
      </w:r>
      <w:proofErr w:type="spellEnd"/>
      <w:r w:rsidR="00E04323">
        <w:t xml:space="preserve">) </w:t>
      </w:r>
      <w:r w:rsidR="00CA6DE5">
        <w:t xml:space="preserve">is a plasma lipoprotein with an important role in lipid and cholesterol metabolism, </w:t>
      </w:r>
      <w:r w:rsidR="00E04323">
        <w:t xml:space="preserve">and deficiency of </w:t>
      </w:r>
      <w:proofErr w:type="spellStart"/>
      <w:r w:rsidR="00E04323">
        <w:t>apoE</w:t>
      </w:r>
      <w:proofErr w:type="spellEnd"/>
      <w:r w:rsidR="00E04323">
        <w:t xml:space="preserve"> increases inflammation and oxidative stress reducing functional recovery after SCI</w:t>
      </w:r>
      <w:r w:rsidR="00CA6DE5">
        <w:t xml:space="preserve"> </w:t>
      </w:r>
      <w:r w:rsidR="000924E9">
        <w:fldChar w:fldCharType="begin"/>
      </w:r>
      <w:r w:rsidR="000924E9">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fldChar w:fldCharType="separate"/>
      </w:r>
      <w:r w:rsidR="000924E9">
        <w:rPr>
          <w:noProof/>
        </w:rPr>
        <w:t>(Cheng et al.)</w:t>
      </w:r>
      <w:r w:rsidR="000924E9">
        <w:fldChar w:fldCharType="end"/>
      </w:r>
      <w:r w:rsidR="00E04323">
        <w:t>.</w:t>
      </w:r>
      <w:r w:rsidR="00737C00">
        <w:t xml:space="preserve"> </w:t>
      </w:r>
      <w:r>
        <w:t xml:space="preserve">Monocyte chemoattractant protein-1 </w:t>
      </w:r>
      <w:r w:rsidR="0003722B">
        <w:t xml:space="preserve">(MCP-1 or CCL2) </w:t>
      </w:r>
      <w:r w:rsidR="00DD5EA3">
        <w:t>is a chemokine which recruits monocyte/macrophages to the sites of inflammation.</w:t>
      </w:r>
      <w:r w:rsidR="0003722B">
        <w:t xml:space="preserve"> MCP-1 </w:t>
      </w:r>
      <w:r w:rsidR="00DC4173">
        <w:t xml:space="preserve">is a chemoattractant molecule which </w:t>
      </w:r>
      <w:r w:rsidR="0003722B">
        <w:t xml:space="preserve">plays an important neuroprotective </w:t>
      </w:r>
      <w:r w:rsidR="00CF479E">
        <w:t>and anti-apoptosis role in SCI</w:t>
      </w:r>
      <w:r w:rsidR="00A63BB5">
        <w:t xml:space="preserve"> </w:t>
      </w:r>
      <w:r w:rsidR="00A63BB5">
        <w:fldChar w:fldCharType="begin"/>
      </w:r>
      <w:r w:rsidR="00A63BB5">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fldChar w:fldCharType="separate"/>
      </w:r>
      <w:r w:rsidR="00A63BB5">
        <w:rPr>
          <w:noProof/>
        </w:rPr>
        <w:t>(Tang et al.)</w:t>
      </w:r>
      <w:r w:rsidR="00A63BB5">
        <w:fldChar w:fldCharType="end"/>
      </w:r>
      <w:r w:rsidR="00CF479E">
        <w:t>.</w:t>
      </w: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lastRenderedPageBreak/>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105C6475" w14:textId="77777777" w:rsidR="00E24020" w:rsidRDefault="00881FB4" w:rsidP="00E24020">
      <w:pPr>
        <w:pStyle w:val="Bibliography"/>
        <w:numPr>
          <w:ilvl w:val="0"/>
          <w:numId w:val="22"/>
        </w:numPr>
        <w:spacing w:before="120" w:line="240" w:lineRule="auto"/>
        <w:ind w:left="360"/>
        <w:rPr>
          <w:rFonts w:cs="Tahoma"/>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31980D4C" w14:textId="77777777" w:rsidR="009B0E73" w:rsidRDefault="00E24020" w:rsidP="009B0E73">
      <w:pPr>
        <w:pStyle w:val="Bibliography"/>
        <w:numPr>
          <w:ilvl w:val="0"/>
          <w:numId w:val="22"/>
        </w:numPr>
        <w:spacing w:before="120" w:line="240" w:lineRule="auto"/>
        <w:ind w:left="360"/>
      </w:pPr>
      <w:r w:rsidRPr="00E24020">
        <w:rPr>
          <w:b/>
          <w:bCs/>
        </w:rPr>
        <w:t>MABP</w:t>
      </w:r>
      <w:r>
        <w:t xml:space="preserve">: </w:t>
      </w:r>
      <w:hyperlink r:id="rId18" w:history="1">
        <w:r w:rsidR="00B23D1D" w:rsidRPr="005771F7">
          <w:rPr>
            <w:rStyle w:val="Hyperlink"/>
          </w:rPr>
          <w:t>https://www.healthline.com/health/mean-arterial-pressure</w:t>
        </w:r>
      </w:hyperlink>
    </w:p>
    <w:p w14:paraId="2D49B24C" w14:textId="06A98D22" w:rsidR="009B0E73" w:rsidRPr="009B0E73" w:rsidRDefault="009B0E73" w:rsidP="009B0E73">
      <w:pPr>
        <w:pStyle w:val="Bibliography"/>
        <w:numPr>
          <w:ilvl w:val="0"/>
          <w:numId w:val="22"/>
        </w:numPr>
        <w:spacing w:before="120" w:line="240" w:lineRule="auto"/>
        <w:ind w:left="360"/>
      </w:pPr>
      <w:r w:rsidRPr="009B0E73">
        <w:rPr>
          <w:b/>
          <w:bCs/>
        </w:rPr>
        <w:t>CRP</w:t>
      </w:r>
      <w:r>
        <w:t xml:space="preserve">: </w:t>
      </w:r>
      <w:r w:rsidRPr="009B0E73">
        <w:t>https://my.clevelandclinic.org/health/diagnostics/23056-c-reactive-protein-crp-test</w:t>
      </w:r>
    </w:p>
    <w:p w14:paraId="37277B23" w14:textId="77777777"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67F7FF4A" w14:textId="77777777" w:rsidR="00A63BB5" w:rsidRPr="00A63BB5" w:rsidRDefault="006C65A9" w:rsidP="00A63BB5">
      <w:pPr>
        <w:pStyle w:val="Bibliography"/>
        <w:rPr>
          <w:rFonts w:cs="Tahoma"/>
        </w:rPr>
      </w:pPr>
      <w:r>
        <w:fldChar w:fldCharType="begin"/>
      </w:r>
      <w:r w:rsidR="00D440FD">
        <w:instrText xml:space="preserve"> ADDIN ZOTERO_BIBL {"uncited":[],"omitted":[],"custom":[]} CSL_BIBLIOGRAPHY </w:instrText>
      </w:r>
      <w:r>
        <w:fldChar w:fldCharType="separate"/>
      </w:r>
      <w:proofErr w:type="spellStart"/>
      <w:r w:rsidR="00A63BB5" w:rsidRPr="00A63BB5">
        <w:rPr>
          <w:rFonts w:cs="Tahoma"/>
        </w:rPr>
        <w:t>Badner</w:t>
      </w:r>
      <w:proofErr w:type="spellEnd"/>
      <w:r w:rsidR="00A63BB5" w:rsidRPr="00A63BB5">
        <w:rPr>
          <w:rFonts w:cs="Tahoma"/>
        </w:rPr>
        <w:t xml:space="preserve">, Anna, et al. “Spinal Cord Injuries: How Could Cell Therapy Help?” </w:t>
      </w:r>
      <w:r w:rsidR="00A63BB5" w:rsidRPr="00A63BB5">
        <w:rPr>
          <w:rFonts w:cs="Tahoma"/>
          <w:i/>
          <w:iCs/>
        </w:rPr>
        <w:t>Expert Opinion on Biological Therapy</w:t>
      </w:r>
      <w:r w:rsidR="00A63BB5" w:rsidRPr="00A63BB5">
        <w:rPr>
          <w:rFonts w:cs="Tahoma"/>
        </w:rPr>
        <w:t xml:space="preserve">, vol. 17, no. 5, May 2017, pp. 529–41. </w:t>
      </w:r>
      <w:r w:rsidR="00A63BB5" w:rsidRPr="00A63BB5">
        <w:rPr>
          <w:rFonts w:cs="Tahoma"/>
          <w:i/>
          <w:iCs/>
        </w:rPr>
        <w:t>DOI.org (</w:t>
      </w:r>
      <w:proofErr w:type="spellStart"/>
      <w:r w:rsidR="00A63BB5" w:rsidRPr="00A63BB5">
        <w:rPr>
          <w:rFonts w:cs="Tahoma"/>
          <w:i/>
          <w:iCs/>
        </w:rPr>
        <w:t>Crossref</w:t>
      </w:r>
      <w:proofErr w:type="spellEnd"/>
      <w:r w:rsidR="00A63BB5" w:rsidRPr="00A63BB5">
        <w:rPr>
          <w:rFonts w:cs="Tahoma"/>
          <w:i/>
          <w:iCs/>
        </w:rPr>
        <w:t>)</w:t>
      </w:r>
      <w:r w:rsidR="00A63BB5" w:rsidRPr="00A63BB5">
        <w:rPr>
          <w:rFonts w:cs="Tahoma"/>
        </w:rPr>
        <w:t>, https://doi.org/10.1080/14712598.2017.1308481.</w:t>
      </w:r>
    </w:p>
    <w:p w14:paraId="3009AD80" w14:textId="77777777" w:rsidR="00A63BB5" w:rsidRPr="00A63BB5" w:rsidRDefault="00A63BB5" w:rsidP="00A63BB5">
      <w:pPr>
        <w:pStyle w:val="Bibliography"/>
        <w:rPr>
          <w:rFonts w:cs="Tahoma"/>
        </w:rPr>
      </w:pPr>
      <w:r w:rsidRPr="00A63BB5">
        <w:rPr>
          <w:rFonts w:cs="Tahoma"/>
        </w:rPr>
        <w:lastRenderedPageBreak/>
        <w:t xml:space="preserve">Cheng, </w:t>
      </w:r>
      <w:proofErr w:type="spellStart"/>
      <w:r w:rsidRPr="00A63BB5">
        <w:rPr>
          <w:rFonts w:cs="Tahoma"/>
        </w:rPr>
        <w:t>Xiaoxin</w:t>
      </w:r>
      <w:proofErr w:type="spellEnd"/>
      <w:r w:rsidRPr="00A63BB5">
        <w:rPr>
          <w:rFonts w:cs="Tahoma"/>
        </w:rPr>
        <w:t xml:space="preserve">, et al. “Apolipoprotein E as a Novel Therapeutic Neuroprotection Target after Traumatic Spinal Cord Injury.” </w:t>
      </w:r>
      <w:r w:rsidRPr="00A63BB5">
        <w:rPr>
          <w:rFonts w:cs="Tahoma"/>
          <w:i/>
          <w:iCs/>
        </w:rPr>
        <w:t>Experimental Neurology</w:t>
      </w:r>
      <w:r w:rsidRPr="00A63BB5">
        <w:rPr>
          <w:rFonts w:cs="Tahoma"/>
        </w:rPr>
        <w:t xml:space="preserve">, vol. 299, Jan. 2018, pp. 97–108.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https://doi.org/10.1016/j.expneurol.2017.10.014.</w:t>
      </w:r>
    </w:p>
    <w:p w14:paraId="7E51C563" w14:textId="77777777" w:rsidR="00A63BB5" w:rsidRPr="00A63BB5" w:rsidRDefault="00A63BB5" w:rsidP="00A63BB5">
      <w:pPr>
        <w:pStyle w:val="Bibliography"/>
        <w:rPr>
          <w:rFonts w:cs="Tahoma"/>
        </w:rPr>
      </w:pPr>
      <w:r w:rsidRPr="00A63BB5">
        <w:rPr>
          <w:rFonts w:cs="Tahoma"/>
        </w:rPr>
        <w:t xml:space="preserve">Desai, </w:t>
      </w:r>
      <w:proofErr w:type="spellStart"/>
      <w:r w:rsidRPr="00A63BB5">
        <w:rPr>
          <w:rFonts w:cs="Tahoma"/>
        </w:rPr>
        <w:t>Jyaysi</w:t>
      </w:r>
      <w:proofErr w:type="spellEnd"/>
      <w:r w:rsidRPr="00A63BB5">
        <w:rPr>
          <w:rFonts w:cs="Tahoma"/>
        </w:rPr>
        <w:t xml:space="preserve">, et al. “Molecular Pathophysiology of Gout.” </w:t>
      </w:r>
      <w:r w:rsidRPr="00A63BB5">
        <w:rPr>
          <w:rFonts w:cs="Tahoma"/>
          <w:i/>
          <w:iCs/>
        </w:rPr>
        <w:t>Trends in Molecular Medicine</w:t>
      </w:r>
      <w:r w:rsidRPr="00A63BB5">
        <w:rPr>
          <w:rFonts w:cs="Tahoma"/>
        </w:rPr>
        <w:t xml:space="preserve">, vol. 23, no. 8, Aug. 2017, pp. 756–68.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https://doi.org/10.1016/j.molmed.2017.06.005.</w:t>
      </w:r>
    </w:p>
    <w:p w14:paraId="220E6885" w14:textId="77777777" w:rsidR="00A63BB5" w:rsidRPr="00A63BB5" w:rsidRDefault="00A63BB5" w:rsidP="00A63BB5">
      <w:pPr>
        <w:pStyle w:val="Bibliography"/>
        <w:rPr>
          <w:rFonts w:cs="Tahoma"/>
        </w:rPr>
      </w:pPr>
      <w:proofErr w:type="spellStart"/>
      <w:r w:rsidRPr="00A63BB5">
        <w:rPr>
          <w:rFonts w:cs="Tahoma"/>
        </w:rPr>
        <w:t>Dobkin</w:t>
      </w:r>
      <w:proofErr w:type="spellEnd"/>
      <w:r w:rsidRPr="00A63BB5">
        <w:rPr>
          <w:rFonts w:cs="Tahoma"/>
        </w:rPr>
        <w:t xml:space="preserve">, B., et al. “Weight-Supported Treadmill vs over-Ground Training for Walking after Acute Incomplete SCI.” </w:t>
      </w:r>
      <w:r w:rsidRPr="00A63BB5">
        <w:rPr>
          <w:rFonts w:cs="Tahoma"/>
          <w:i/>
          <w:iCs/>
        </w:rPr>
        <w:t>Neurology</w:t>
      </w:r>
      <w:r w:rsidRPr="00A63BB5">
        <w:rPr>
          <w:rFonts w:cs="Tahoma"/>
        </w:rPr>
        <w:t xml:space="preserve">, vol. 66, no. 4, Feb. 2006, pp. 484–93. </w:t>
      </w:r>
      <w:r w:rsidRPr="00A63BB5">
        <w:rPr>
          <w:rFonts w:cs="Tahoma"/>
          <w:i/>
          <w:iCs/>
        </w:rPr>
        <w:t>PubMed Central</w:t>
      </w:r>
      <w:r w:rsidRPr="00A63BB5">
        <w:rPr>
          <w:rFonts w:cs="Tahoma"/>
        </w:rPr>
        <w:t>, https://doi.org/10.1212/01.wnl.0000202600.72018.39.</w:t>
      </w:r>
    </w:p>
    <w:p w14:paraId="1DCC6C0B" w14:textId="77777777" w:rsidR="00A63BB5" w:rsidRPr="00A63BB5" w:rsidRDefault="00A63BB5" w:rsidP="00A63BB5">
      <w:pPr>
        <w:pStyle w:val="Bibliography"/>
        <w:rPr>
          <w:rFonts w:cs="Tahoma"/>
        </w:rPr>
      </w:pPr>
      <w:r w:rsidRPr="00A63BB5">
        <w:rPr>
          <w:rFonts w:cs="Tahoma"/>
        </w:rPr>
        <w:t xml:space="preserve">Dukes, Ellen M., et al. “Relationship of American Spinal Injury Association Impairment Scale Grade to Post-Injury Hospitalization and Costs in Thoracic Spinal Cord Injury.” </w:t>
      </w:r>
      <w:r w:rsidRPr="00A63BB5">
        <w:rPr>
          <w:rFonts w:cs="Tahoma"/>
          <w:i/>
          <w:iCs/>
        </w:rPr>
        <w:t>Neurosurgery</w:t>
      </w:r>
      <w:r w:rsidRPr="00A63BB5">
        <w:rPr>
          <w:rFonts w:cs="Tahoma"/>
        </w:rPr>
        <w:t xml:space="preserve">, vol. 83, no. 3, Sept. 2018, pp. 445–51. </w:t>
      </w:r>
      <w:r w:rsidRPr="00A63BB5">
        <w:rPr>
          <w:rFonts w:cs="Tahoma"/>
          <w:i/>
          <w:iCs/>
        </w:rPr>
        <w:t>PubMed Central</w:t>
      </w:r>
      <w:r w:rsidRPr="00A63BB5">
        <w:rPr>
          <w:rFonts w:cs="Tahoma"/>
        </w:rPr>
        <w:t>, https://doi.org/10.1093/neuros/nyx425.</w:t>
      </w:r>
    </w:p>
    <w:p w14:paraId="46599E8A" w14:textId="77777777" w:rsidR="00A63BB5" w:rsidRPr="00A63BB5" w:rsidRDefault="00A63BB5" w:rsidP="00A63BB5">
      <w:pPr>
        <w:pStyle w:val="Bibliography"/>
        <w:rPr>
          <w:rFonts w:cs="Tahoma"/>
        </w:rPr>
      </w:pPr>
      <w:r w:rsidRPr="00A63BB5">
        <w:rPr>
          <w:rFonts w:cs="Tahoma"/>
        </w:rPr>
        <w:t xml:space="preserve">Epstein, Nancy E. “Cerebrospinal Fluid Drains Reduce Risk of Spinal Cord Injury for Thoracic/Thoracoabdominal Aneurysm Surgery: A Review.” </w:t>
      </w:r>
      <w:r w:rsidRPr="00A63BB5">
        <w:rPr>
          <w:rFonts w:cs="Tahoma"/>
          <w:i/>
          <w:iCs/>
        </w:rPr>
        <w:t>Surgical Neurology International</w:t>
      </w:r>
      <w:r w:rsidRPr="00A63BB5">
        <w:rPr>
          <w:rFonts w:cs="Tahoma"/>
        </w:rPr>
        <w:t xml:space="preserve">, vol. 9, Feb. 2018, p. 48. </w:t>
      </w:r>
      <w:r w:rsidRPr="00A63BB5">
        <w:rPr>
          <w:rFonts w:cs="Tahoma"/>
          <w:i/>
          <w:iCs/>
        </w:rPr>
        <w:t>PubMed Central</w:t>
      </w:r>
      <w:r w:rsidRPr="00A63BB5">
        <w:rPr>
          <w:rFonts w:cs="Tahoma"/>
        </w:rPr>
        <w:t>, https://doi.org/10.4103/sni.sni_433_17.</w:t>
      </w:r>
    </w:p>
    <w:p w14:paraId="7723E4FA" w14:textId="77777777" w:rsidR="00A63BB5" w:rsidRPr="00A63BB5" w:rsidRDefault="00A63BB5" w:rsidP="00A63BB5">
      <w:pPr>
        <w:pStyle w:val="Bibliography"/>
        <w:rPr>
          <w:rFonts w:cs="Tahoma"/>
        </w:rPr>
      </w:pPr>
      <w:proofErr w:type="spellStart"/>
      <w:r w:rsidRPr="00A63BB5">
        <w:rPr>
          <w:rFonts w:cs="Tahoma"/>
        </w:rPr>
        <w:t>Fehlings</w:t>
      </w:r>
      <w:proofErr w:type="spellEnd"/>
      <w:r w:rsidRPr="00A63BB5">
        <w:rPr>
          <w:rFonts w:cs="Tahoma"/>
        </w:rPr>
        <w:t xml:space="preserve">, Michael G., et al. “A Clinical Practice Guideline for the Management of Patients </w:t>
      </w:r>
      <w:proofErr w:type="gramStart"/>
      <w:r w:rsidRPr="00A63BB5">
        <w:rPr>
          <w:rFonts w:cs="Tahoma"/>
        </w:rPr>
        <w:t>With</w:t>
      </w:r>
      <w:proofErr w:type="gramEnd"/>
      <w:r w:rsidRPr="00A63BB5">
        <w:rPr>
          <w:rFonts w:cs="Tahoma"/>
        </w:rPr>
        <w:t xml:space="preserve"> Acute Spinal Cord Injury: Recommendations on the Use of Methylprednisolone Sodium Succinate.” </w:t>
      </w:r>
      <w:r w:rsidRPr="00A63BB5">
        <w:rPr>
          <w:rFonts w:cs="Tahoma"/>
          <w:i/>
          <w:iCs/>
        </w:rPr>
        <w:t>Global Spine Journal</w:t>
      </w:r>
      <w:r w:rsidRPr="00A63BB5">
        <w:rPr>
          <w:rFonts w:cs="Tahoma"/>
        </w:rPr>
        <w:t xml:space="preserve">, vol. 7, no. 3 Suppl, Sept. 2017, pp. 203S-211S. </w:t>
      </w:r>
      <w:r w:rsidRPr="00A63BB5">
        <w:rPr>
          <w:rFonts w:cs="Tahoma"/>
          <w:i/>
          <w:iCs/>
        </w:rPr>
        <w:t>PubMed Central</w:t>
      </w:r>
      <w:r w:rsidRPr="00A63BB5">
        <w:rPr>
          <w:rFonts w:cs="Tahoma"/>
        </w:rPr>
        <w:t>, https://doi.org/10.1177/2192568217703085.</w:t>
      </w:r>
    </w:p>
    <w:p w14:paraId="37144AA6" w14:textId="77777777" w:rsidR="00A63BB5" w:rsidRPr="00A63BB5" w:rsidRDefault="00A63BB5" w:rsidP="00A63BB5">
      <w:pPr>
        <w:pStyle w:val="Bibliography"/>
        <w:rPr>
          <w:rFonts w:cs="Tahoma"/>
        </w:rPr>
      </w:pPr>
      <w:r w:rsidRPr="00A63BB5">
        <w:rPr>
          <w:rFonts w:cs="Tahoma"/>
        </w:rPr>
        <w:lastRenderedPageBreak/>
        <w:t xml:space="preserve">Jain, Nitin B., et al. “Traumatic Spinal Cord Injury in the United States, 1993–2012.” </w:t>
      </w:r>
      <w:r w:rsidRPr="00A63BB5">
        <w:rPr>
          <w:rFonts w:cs="Tahoma"/>
          <w:i/>
          <w:iCs/>
        </w:rPr>
        <w:t>JAMA</w:t>
      </w:r>
      <w:r w:rsidRPr="00A63BB5">
        <w:rPr>
          <w:rFonts w:cs="Tahoma"/>
        </w:rPr>
        <w:t xml:space="preserve">, vol. 313, no. 22, June 2015, pp. 2236–43. </w:t>
      </w:r>
      <w:r w:rsidRPr="00A63BB5">
        <w:rPr>
          <w:rFonts w:cs="Tahoma"/>
          <w:i/>
          <w:iCs/>
        </w:rPr>
        <w:t>PubMed Central</w:t>
      </w:r>
      <w:r w:rsidRPr="00A63BB5">
        <w:rPr>
          <w:rFonts w:cs="Tahoma"/>
        </w:rPr>
        <w:t>, https://doi.org/10.1001/jama.2015.6250.</w:t>
      </w:r>
    </w:p>
    <w:p w14:paraId="208097A6" w14:textId="77777777" w:rsidR="00A63BB5" w:rsidRPr="00A63BB5" w:rsidRDefault="00A63BB5" w:rsidP="00A63BB5">
      <w:pPr>
        <w:pStyle w:val="Bibliography"/>
        <w:rPr>
          <w:rFonts w:cs="Tahoma"/>
        </w:rPr>
      </w:pPr>
      <w:proofErr w:type="spellStart"/>
      <w:r w:rsidRPr="00A63BB5">
        <w:rPr>
          <w:rFonts w:cs="Tahoma"/>
        </w:rPr>
        <w:t>Kaneva</w:t>
      </w:r>
      <w:proofErr w:type="spellEnd"/>
      <w:r w:rsidRPr="00A63BB5">
        <w:rPr>
          <w:rFonts w:cs="Tahoma"/>
        </w:rPr>
        <w:t xml:space="preserve">, Anastasiya M., et al. “Plasma Levels of Apolipoprotein-E in Residents of the European North of Russia.” </w:t>
      </w:r>
      <w:r w:rsidRPr="00A63BB5">
        <w:rPr>
          <w:rFonts w:cs="Tahoma"/>
          <w:i/>
          <w:iCs/>
        </w:rPr>
        <w:t>Lipids in Health and Disease</w:t>
      </w:r>
      <w:r w:rsidRPr="00A63BB5">
        <w:rPr>
          <w:rFonts w:cs="Tahoma"/>
        </w:rPr>
        <w:t xml:space="preserve">, vol. 12, no. 1, Dec. 2013, p. 43.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https://doi.org/10.1186/1476-511X-12-43.</w:t>
      </w:r>
    </w:p>
    <w:p w14:paraId="004690E1" w14:textId="77777777" w:rsidR="00A63BB5" w:rsidRPr="00A63BB5" w:rsidRDefault="00A63BB5" w:rsidP="00A63BB5">
      <w:pPr>
        <w:pStyle w:val="Bibliography"/>
        <w:rPr>
          <w:rFonts w:cs="Tahoma"/>
        </w:rPr>
      </w:pPr>
      <w:proofErr w:type="spellStart"/>
      <w:r w:rsidRPr="00A63BB5">
        <w:rPr>
          <w:rFonts w:cs="Tahoma"/>
        </w:rPr>
        <w:t>Klimaschewski</w:t>
      </w:r>
      <w:proofErr w:type="spellEnd"/>
      <w:r w:rsidRPr="00A63BB5">
        <w:rPr>
          <w:rFonts w:cs="Tahoma"/>
        </w:rPr>
        <w:t xml:space="preserve">, L., et al. “Regulation of </w:t>
      </w:r>
      <w:proofErr w:type="spellStart"/>
      <w:r w:rsidRPr="00A63BB5">
        <w:rPr>
          <w:rFonts w:cs="Tahoma"/>
        </w:rPr>
        <w:t>Clusterin</w:t>
      </w:r>
      <w:proofErr w:type="spellEnd"/>
      <w:r w:rsidRPr="00A63BB5">
        <w:rPr>
          <w:rFonts w:cs="Tahoma"/>
        </w:rPr>
        <w:t xml:space="preserve"> Expression Following Spinal Cord Injury.” </w:t>
      </w:r>
      <w:r w:rsidRPr="00A63BB5">
        <w:rPr>
          <w:rFonts w:cs="Tahoma"/>
          <w:i/>
          <w:iCs/>
        </w:rPr>
        <w:t>Cell and Tissue Research</w:t>
      </w:r>
      <w:r w:rsidRPr="00A63BB5">
        <w:rPr>
          <w:rFonts w:cs="Tahoma"/>
        </w:rPr>
        <w:t xml:space="preserve">, vol. 306, no. 2, Nov. 2001, pp. 209–16.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https://doi.org/10.1007/s004410100431.</w:t>
      </w:r>
    </w:p>
    <w:p w14:paraId="2E30A57C" w14:textId="77777777" w:rsidR="00A63BB5" w:rsidRPr="00A63BB5" w:rsidRDefault="00A63BB5" w:rsidP="00A63BB5">
      <w:pPr>
        <w:pStyle w:val="Bibliography"/>
        <w:rPr>
          <w:rFonts w:cs="Tahoma"/>
        </w:rPr>
      </w:pPr>
      <w:proofErr w:type="spellStart"/>
      <w:r w:rsidRPr="00A63BB5">
        <w:rPr>
          <w:rFonts w:cs="Tahoma"/>
        </w:rPr>
        <w:t>Kwiecien</w:t>
      </w:r>
      <w:proofErr w:type="spellEnd"/>
      <w:r w:rsidRPr="00A63BB5">
        <w:rPr>
          <w:rFonts w:cs="Tahoma"/>
        </w:rPr>
        <w:t xml:space="preserve">, Jacek M., et al. “Prolonged Inflammation Leads to Ongoing Damage after Spinal Cord Injury.” </w:t>
      </w:r>
      <w:r w:rsidRPr="00A63BB5">
        <w:rPr>
          <w:rFonts w:cs="Tahoma"/>
          <w:i/>
          <w:iCs/>
        </w:rPr>
        <w:t>PLOS ONE</w:t>
      </w:r>
      <w:r w:rsidRPr="00A63BB5">
        <w:rPr>
          <w:rFonts w:cs="Tahoma"/>
        </w:rPr>
        <w:t xml:space="preserve">, edited by </w:t>
      </w:r>
      <w:proofErr w:type="spellStart"/>
      <w:r w:rsidRPr="00A63BB5">
        <w:rPr>
          <w:rFonts w:cs="Tahoma"/>
        </w:rPr>
        <w:t>Antal</w:t>
      </w:r>
      <w:proofErr w:type="spellEnd"/>
      <w:r w:rsidRPr="00A63BB5">
        <w:rPr>
          <w:rFonts w:cs="Tahoma"/>
        </w:rPr>
        <w:t xml:space="preserve"> </w:t>
      </w:r>
      <w:proofErr w:type="spellStart"/>
      <w:r w:rsidRPr="00A63BB5">
        <w:rPr>
          <w:rFonts w:cs="Tahoma"/>
        </w:rPr>
        <w:t>Nógrádi</w:t>
      </w:r>
      <w:proofErr w:type="spellEnd"/>
      <w:r w:rsidRPr="00A63BB5">
        <w:rPr>
          <w:rFonts w:cs="Tahoma"/>
        </w:rPr>
        <w:t xml:space="preserve">, vol. 15, no. 3, Mar. 2020, p. e0226584.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https://doi.org/10.1371/journal.pone.0226584.</w:t>
      </w:r>
    </w:p>
    <w:p w14:paraId="1B496429" w14:textId="77777777" w:rsidR="00A63BB5" w:rsidRPr="00A63BB5" w:rsidRDefault="00A63BB5" w:rsidP="00A63BB5">
      <w:pPr>
        <w:pStyle w:val="Bibliography"/>
        <w:rPr>
          <w:rFonts w:cs="Tahoma"/>
        </w:rPr>
      </w:pPr>
      <w:r w:rsidRPr="00A63BB5">
        <w:rPr>
          <w:rFonts w:cs="Tahoma"/>
        </w:rPr>
        <w:t>Lee, Byung-</w:t>
      </w:r>
      <w:proofErr w:type="spellStart"/>
      <w:r w:rsidRPr="00A63BB5">
        <w:rPr>
          <w:rFonts w:cs="Tahoma"/>
        </w:rPr>
        <w:t>Jou</w:t>
      </w:r>
      <w:proofErr w:type="spellEnd"/>
      <w:r w:rsidRPr="00A63BB5">
        <w:rPr>
          <w:rFonts w:cs="Tahoma"/>
        </w:rPr>
        <w:t xml:space="preserve">, and Je </w:t>
      </w:r>
      <w:proofErr w:type="spellStart"/>
      <w:r w:rsidRPr="00A63BB5">
        <w:rPr>
          <w:rFonts w:cs="Tahoma"/>
        </w:rPr>
        <w:t>Hoon</w:t>
      </w:r>
      <w:proofErr w:type="spellEnd"/>
      <w:r w:rsidRPr="00A63BB5">
        <w:rPr>
          <w:rFonts w:cs="Tahoma"/>
        </w:rPr>
        <w:t xml:space="preserve"> </w:t>
      </w:r>
      <w:proofErr w:type="spellStart"/>
      <w:r w:rsidRPr="00A63BB5">
        <w:rPr>
          <w:rFonts w:cs="Tahoma"/>
        </w:rPr>
        <w:t>Jeong</w:t>
      </w:r>
      <w:proofErr w:type="spellEnd"/>
      <w:r w:rsidRPr="00A63BB5">
        <w:rPr>
          <w:rFonts w:cs="Tahoma"/>
        </w:rPr>
        <w:t xml:space="preserve">. “Review: Steroid Use in Patients </w:t>
      </w:r>
      <w:proofErr w:type="gramStart"/>
      <w:r w:rsidRPr="00A63BB5">
        <w:rPr>
          <w:rFonts w:cs="Tahoma"/>
        </w:rPr>
        <w:t>With</w:t>
      </w:r>
      <w:proofErr w:type="gramEnd"/>
      <w:r w:rsidRPr="00A63BB5">
        <w:rPr>
          <w:rFonts w:cs="Tahoma"/>
        </w:rPr>
        <w:t xml:space="preserve"> Acute Spinal Cord Injury and Guideline Update.” </w:t>
      </w:r>
      <w:r w:rsidRPr="00A63BB5">
        <w:rPr>
          <w:rFonts w:cs="Tahoma"/>
          <w:i/>
          <w:iCs/>
        </w:rPr>
        <w:t>Korean Journal of Neurotrauma</w:t>
      </w:r>
      <w:r w:rsidRPr="00A63BB5">
        <w:rPr>
          <w:rFonts w:cs="Tahoma"/>
        </w:rPr>
        <w:t xml:space="preserve">, vol. 18, no. 1, 2022, p. 22.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https://doi.org/10.13004/kjnt.2022.18.e21.</w:t>
      </w:r>
    </w:p>
    <w:p w14:paraId="69944026" w14:textId="77777777" w:rsidR="00A63BB5" w:rsidRPr="00A63BB5" w:rsidRDefault="00A63BB5" w:rsidP="00A63BB5">
      <w:pPr>
        <w:pStyle w:val="Bibliography"/>
        <w:rPr>
          <w:rFonts w:cs="Tahoma"/>
        </w:rPr>
      </w:pPr>
      <w:r w:rsidRPr="00A63BB5">
        <w:rPr>
          <w:rFonts w:cs="Tahoma"/>
        </w:rPr>
        <w:t xml:space="preserve">Li, Xing, et al. “Transplantation of HUC-MSCs Seeded Collagen Scaffolds Reduces Scar Formation and Promotes Functional Recovery in Canines with Chronic Spinal Cord Injury.” </w:t>
      </w:r>
      <w:r w:rsidRPr="00A63BB5">
        <w:rPr>
          <w:rFonts w:cs="Tahoma"/>
          <w:i/>
          <w:iCs/>
        </w:rPr>
        <w:t>Scientific Reports</w:t>
      </w:r>
      <w:r w:rsidRPr="00A63BB5">
        <w:rPr>
          <w:rFonts w:cs="Tahoma"/>
        </w:rPr>
        <w:t xml:space="preserve">, vol. 7, no. 1, Apr. 2017, p. 43559.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https://doi.org/10.1038/srep43559.</w:t>
      </w:r>
    </w:p>
    <w:p w14:paraId="776DE80A" w14:textId="77777777" w:rsidR="00A63BB5" w:rsidRPr="00A63BB5" w:rsidRDefault="00A63BB5" w:rsidP="00A63BB5">
      <w:pPr>
        <w:pStyle w:val="Bibliography"/>
        <w:rPr>
          <w:rFonts w:cs="Tahoma"/>
        </w:rPr>
      </w:pPr>
      <w:r w:rsidRPr="00A63BB5">
        <w:rPr>
          <w:rFonts w:cs="Tahoma"/>
        </w:rPr>
        <w:t xml:space="preserve">Martirosyan, Nikolay L., et al. “Blood Supply and Vascular Reactivity of the Spinal Cord under Normal and Pathological Conditions: A Review.” </w:t>
      </w:r>
      <w:r w:rsidRPr="00A63BB5">
        <w:rPr>
          <w:rFonts w:cs="Tahoma"/>
          <w:i/>
          <w:iCs/>
        </w:rPr>
        <w:t>Journal of Neurosurgery: Spine</w:t>
      </w:r>
      <w:r w:rsidRPr="00A63BB5">
        <w:rPr>
          <w:rFonts w:cs="Tahoma"/>
        </w:rPr>
        <w:t xml:space="preserve">, vol. 15, no. 3, Sept. 2011, pp. 238–51.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https://doi.org/10.3171/2011.4.SPINE10543.</w:t>
      </w:r>
    </w:p>
    <w:p w14:paraId="4E6BB999" w14:textId="77777777" w:rsidR="00A63BB5" w:rsidRPr="00A63BB5" w:rsidRDefault="00A63BB5" w:rsidP="00A63BB5">
      <w:pPr>
        <w:pStyle w:val="Bibliography"/>
        <w:rPr>
          <w:rFonts w:cs="Tahoma"/>
        </w:rPr>
      </w:pPr>
      <w:proofErr w:type="spellStart"/>
      <w:r w:rsidRPr="00A63BB5">
        <w:rPr>
          <w:rFonts w:cs="Tahoma"/>
        </w:rPr>
        <w:lastRenderedPageBreak/>
        <w:t>Norenberg</w:t>
      </w:r>
      <w:proofErr w:type="spellEnd"/>
      <w:r w:rsidRPr="00A63BB5">
        <w:rPr>
          <w:rFonts w:cs="Tahoma"/>
        </w:rPr>
        <w:t xml:space="preserve">, Michael D., et al. “The Pathology of Human Spinal Cord Injury: Defining the Problems.” </w:t>
      </w:r>
      <w:r w:rsidRPr="00A63BB5">
        <w:rPr>
          <w:rFonts w:cs="Tahoma"/>
          <w:i/>
          <w:iCs/>
        </w:rPr>
        <w:t>Journal of Neurotrauma</w:t>
      </w:r>
      <w:r w:rsidRPr="00A63BB5">
        <w:rPr>
          <w:rFonts w:cs="Tahoma"/>
        </w:rPr>
        <w:t xml:space="preserve">, vol. 21, no. 4, Apr. 2004, pp. 429–40.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https://doi.org/10.1089/089771504323004575.</w:t>
      </w:r>
    </w:p>
    <w:p w14:paraId="15BC0710" w14:textId="77777777" w:rsidR="00A63BB5" w:rsidRPr="00A63BB5" w:rsidRDefault="00A63BB5" w:rsidP="00A63BB5">
      <w:pPr>
        <w:pStyle w:val="Bibliography"/>
        <w:rPr>
          <w:rFonts w:cs="Tahoma"/>
        </w:rPr>
      </w:pPr>
      <w:r w:rsidRPr="00A63BB5">
        <w:rPr>
          <w:rFonts w:cs="Tahoma"/>
        </w:rPr>
        <w:t xml:space="preserve">Qu, </w:t>
      </w:r>
      <w:proofErr w:type="spellStart"/>
      <w:r w:rsidRPr="00A63BB5">
        <w:rPr>
          <w:rFonts w:cs="Tahoma"/>
        </w:rPr>
        <w:t>Wenrui</w:t>
      </w:r>
      <w:proofErr w:type="spellEnd"/>
      <w:r w:rsidRPr="00A63BB5">
        <w:rPr>
          <w:rFonts w:cs="Tahoma"/>
        </w:rPr>
        <w:t xml:space="preserve">, et al. “Polymer-Based Scaffold Strategies for Spinal Cord Repair and Regeneration.” </w:t>
      </w:r>
      <w:r w:rsidRPr="00A63BB5">
        <w:rPr>
          <w:rFonts w:cs="Tahoma"/>
          <w:i/>
          <w:iCs/>
        </w:rPr>
        <w:t>Frontiers in Bioengineering and Biotechnology</w:t>
      </w:r>
      <w:r w:rsidRPr="00A63BB5">
        <w:rPr>
          <w:rFonts w:cs="Tahoma"/>
        </w:rPr>
        <w:t xml:space="preserve">, vol. 8, Oct. 2020, p. 590549. </w:t>
      </w:r>
      <w:r w:rsidRPr="00A63BB5">
        <w:rPr>
          <w:rFonts w:cs="Tahoma"/>
          <w:i/>
          <w:iCs/>
        </w:rPr>
        <w:t>PubMed Central</w:t>
      </w:r>
      <w:r w:rsidRPr="00A63BB5">
        <w:rPr>
          <w:rFonts w:cs="Tahoma"/>
        </w:rPr>
        <w:t>, https://doi.org/10.3389/fbioe.2020.590549.</w:t>
      </w:r>
    </w:p>
    <w:p w14:paraId="6967BA8A" w14:textId="77777777" w:rsidR="00A63BB5" w:rsidRPr="00A63BB5" w:rsidRDefault="00A63BB5" w:rsidP="00A63BB5">
      <w:pPr>
        <w:pStyle w:val="Bibliography"/>
        <w:rPr>
          <w:rFonts w:cs="Tahoma"/>
        </w:rPr>
      </w:pPr>
      <w:r w:rsidRPr="00A63BB5">
        <w:rPr>
          <w:rFonts w:cs="Tahoma"/>
        </w:rPr>
        <w:t xml:space="preserve">Tang, S. K., et al. “Redirection of Doublecortin-Positive Cell Migration by over-Expression of the Chemokines MCP-1, MIP-1α and GRO-α in the Adult Rat Brain.” </w:t>
      </w:r>
      <w:r w:rsidRPr="00A63BB5">
        <w:rPr>
          <w:rFonts w:cs="Tahoma"/>
          <w:i/>
          <w:iCs/>
        </w:rPr>
        <w:t>Neuroscience</w:t>
      </w:r>
      <w:r w:rsidRPr="00A63BB5">
        <w:rPr>
          <w:rFonts w:cs="Tahoma"/>
        </w:rPr>
        <w:t xml:space="preserve">, vol. 260, Feb. 2014, pp. 240–48.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https://doi.org/10.1016/j.neuroscience.2013.12.022.</w:t>
      </w:r>
    </w:p>
    <w:p w14:paraId="4B6C3625" w14:textId="77777777" w:rsidR="00A63BB5" w:rsidRPr="00A63BB5" w:rsidRDefault="00A63BB5" w:rsidP="00A63BB5">
      <w:pPr>
        <w:pStyle w:val="Bibliography"/>
        <w:rPr>
          <w:rFonts w:cs="Tahoma"/>
        </w:rPr>
      </w:pPr>
      <w:proofErr w:type="spellStart"/>
      <w:r w:rsidRPr="00A63BB5">
        <w:rPr>
          <w:rFonts w:cs="Tahoma"/>
        </w:rPr>
        <w:t>Valković</w:t>
      </w:r>
      <w:proofErr w:type="spellEnd"/>
      <w:r w:rsidRPr="00A63BB5">
        <w:rPr>
          <w:rFonts w:cs="Tahoma"/>
        </w:rPr>
        <w:t xml:space="preserve">, Toni, et al. “Plasma Levels of Monocyte Chemotactic Protein-1 Are Associated with Clinical Features and Angiogenesis in Patients with Multiple Myeloma.” </w:t>
      </w:r>
      <w:r w:rsidRPr="00A63BB5">
        <w:rPr>
          <w:rFonts w:cs="Tahoma"/>
          <w:i/>
          <w:iCs/>
        </w:rPr>
        <w:t>BioMed Research International</w:t>
      </w:r>
      <w:r w:rsidRPr="00A63BB5">
        <w:rPr>
          <w:rFonts w:cs="Tahoma"/>
        </w:rPr>
        <w:t xml:space="preserve">, vol. 2016, 2016, pp. 1–7.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https://doi.org/10.1155/2016/7870590.</w:t>
      </w:r>
    </w:p>
    <w:p w14:paraId="11660681" w14:textId="77777777" w:rsidR="00A63BB5" w:rsidRPr="00A63BB5" w:rsidRDefault="00A63BB5" w:rsidP="00A63BB5">
      <w:pPr>
        <w:pStyle w:val="Bibliography"/>
        <w:rPr>
          <w:rFonts w:cs="Tahoma"/>
        </w:rPr>
      </w:pPr>
      <w:r w:rsidRPr="00A63BB5">
        <w:rPr>
          <w:rFonts w:cs="Tahoma"/>
        </w:rPr>
        <w:t xml:space="preserve">Wang, Timothy Y., et al. “Management of Acute Traumatic Spinal Cord Injury: A Review of the Literature.” </w:t>
      </w:r>
      <w:r w:rsidRPr="00A63BB5">
        <w:rPr>
          <w:rFonts w:cs="Tahoma"/>
          <w:i/>
          <w:iCs/>
        </w:rPr>
        <w:t>Frontiers in Surgery</w:t>
      </w:r>
      <w:r w:rsidRPr="00A63BB5">
        <w:rPr>
          <w:rFonts w:cs="Tahoma"/>
        </w:rPr>
        <w:t xml:space="preserve">, vol. 8, Dec. 2021, p. 698736. </w:t>
      </w:r>
      <w:r w:rsidRPr="00A63BB5">
        <w:rPr>
          <w:rFonts w:cs="Tahoma"/>
          <w:i/>
          <w:iCs/>
        </w:rPr>
        <w:t>PubMed Central</w:t>
      </w:r>
      <w:r w:rsidRPr="00A63BB5">
        <w:rPr>
          <w:rFonts w:cs="Tahoma"/>
        </w:rPr>
        <w:t>, https://doi.org/10.3389/fsurg.2021.698736.</w:t>
      </w:r>
    </w:p>
    <w:p w14:paraId="12144D45" w14:textId="77777777" w:rsidR="00A63BB5" w:rsidRPr="00A63BB5" w:rsidRDefault="00A63BB5" w:rsidP="00A63BB5">
      <w:pPr>
        <w:pStyle w:val="Bibliography"/>
        <w:rPr>
          <w:rFonts w:cs="Tahoma"/>
        </w:rPr>
      </w:pPr>
      <w:proofErr w:type="spellStart"/>
      <w:r w:rsidRPr="00A63BB5">
        <w:rPr>
          <w:rFonts w:cs="Tahoma"/>
        </w:rPr>
        <w:t>Wąsik</w:t>
      </w:r>
      <w:proofErr w:type="spellEnd"/>
      <w:r w:rsidRPr="00A63BB5">
        <w:rPr>
          <w:rFonts w:cs="Tahoma"/>
        </w:rPr>
        <w:t>, Norbert, et al. “</w:t>
      </w:r>
      <w:proofErr w:type="spellStart"/>
      <w:r w:rsidRPr="00A63BB5">
        <w:rPr>
          <w:rFonts w:cs="Tahoma"/>
        </w:rPr>
        <w:t>Clusterin</w:t>
      </w:r>
      <w:proofErr w:type="spellEnd"/>
      <w:r w:rsidRPr="00A63BB5">
        <w:rPr>
          <w:rFonts w:cs="Tahoma"/>
        </w:rPr>
        <w:t xml:space="preserve">, a New Cerebrospinal Fluid Biomarker in Severe Subarachnoid Hemorrhage: A Pilot Study.” </w:t>
      </w:r>
      <w:r w:rsidRPr="00A63BB5">
        <w:rPr>
          <w:rFonts w:cs="Tahoma"/>
          <w:i/>
          <w:iCs/>
        </w:rPr>
        <w:t>World Neurosurgery</w:t>
      </w:r>
      <w:r w:rsidRPr="00A63BB5">
        <w:rPr>
          <w:rFonts w:cs="Tahoma"/>
        </w:rPr>
        <w:t xml:space="preserve">, vol. 107, Nov. 2017, pp. 424–28.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https://doi.org/10.1016/j.wneu.2017.08.006.</w:t>
      </w:r>
    </w:p>
    <w:p w14:paraId="2FE511B4" w14:textId="77777777" w:rsidR="00A63BB5" w:rsidRPr="00A63BB5" w:rsidRDefault="00A63BB5" w:rsidP="00A63BB5">
      <w:pPr>
        <w:pStyle w:val="Bibliography"/>
        <w:rPr>
          <w:rFonts w:cs="Tahoma"/>
        </w:rPr>
      </w:pPr>
      <w:proofErr w:type="spellStart"/>
      <w:r w:rsidRPr="00A63BB5">
        <w:rPr>
          <w:rFonts w:cs="Tahoma"/>
        </w:rPr>
        <w:t>Yoshitani</w:t>
      </w:r>
      <w:proofErr w:type="spellEnd"/>
      <w:r w:rsidRPr="00A63BB5">
        <w:rPr>
          <w:rFonts w:cs="Tahoma"/>
        </w:rPr>
        <w:t xml:space="preserve">, Kenji, et al. “Cerebrospinal Fluid Drainage to Prevent Postoperative Spinal Cord Injury in Thoracic Aortic Repair.” </w:t>
      </w:r>
      <w:r w:rsidRPr="00A63BB5">
        <w:rPr>
          <w:rFonts w:cs="Tahoma"/>
          <w:i/>
          <w:iCs/>
        </w:rPr>
        <w:t>Journal of Anesthesia</w:t>
      </w:r>
      <w:r w:rsidRPr="00A63BB5">
        <w:rPr>
          <w:rFonts w:cs="Tahoma"/>
        </w:rPr>
        <w:t xml:space="preserve">, vol. 35, no. 1, Feb. 2021, pp. 43–50. </w:t>
      </w:r>
      <w:r w:rsidRPr="00A63BB5">
        <w:rPr>
          <w:rFonts w:cs="Tahoma"/>
          <w:i/>
          <w:iCs/>
        </w:rPr>
        <w:t>DOI.org (</w:t>
      </w:r>
      <w:proofErr w:type="spellStart"/>
      <w:r w:rsidRPr="00A63BB5">
        <w:rPr>
          <w:rFonts w:cs="Tahoma"/>
          <w:i/>
          <w:iCs/>
        </w:rPr>
        <w:t>Crossref</w:t>
      </w:r>
      <w:proofErr w:type="spellEnd"/>
      <w:r w:rsidRPr="00A63BB5">
        <w:rPr>
          <w:rFonts w:cs="Tahoma"/>
          <w:i/>
          <w:iCs/>
        </w:rPr>
        <w:t>)</w:t>
      </w:r>
      <w:r w:rsidRPr="00A63BB5">
        <w:rPr>
          <w:rFonts w:cs="Tahoma"/>
        </w:rPr>
        <w:t>, https://doi.org/10.1007/s00540-020-02857-w.</w:t>
      </w:r>
    </w:p>
    <w:p w14:paraId="01E504BB" w14:textId="77777777" w:rsidR="00A63BB5" w:rsidRPr="00A63BB5" w:rsidRDefault="00A63BB5" w:rsidP="00A63BB5">
      <w:pPr>
        <w:pStyle w:val="Bibliography"/>
        <w:rPr>
          <w:rFonts w:cs="Tahoma"/>
        </w:rPr>
      </w:pPr>
      <w:r w:rsidRPr="00A63BB5">
        <w:rPr>
          <w:rFonts w:cs="Tahoma"/>
        </w:rPr>
        <w:lastRenderedPageBreak/>
        <w:t>Zou, Hong-</w:t>
      </w:r>
      <w:proofErr w:type="spellStart"/>
      <w:r w:rsidRPr="00A63BB5">
        <w:rPr>
          <w:rFonts w:cs="Tahoma"/>
        </w:rPr>
        <w:t>jun</w:t>
      </w:r>
      <w:proofErr w:type="spellEnd"/>
      <w:r w:rsidRPr="00A63BB5">
        <w:rPr>
          <w:rFonts w:cs="Tahoma"/>
        </w:rPr>
        <w:t xml:space="preserve">, et al. “Methylprednisolone Induces Neuro-Protective Effects via the Inhibition of A1 Astrocyte Activation in Traumatic Spinal Cord Injury Mouse Models.” </w:t>
      </w:r>
      <w:r w:rsidRPr="00A63BB5">
        <w:rPr>
          <w:rFonts w:cs="Tahoma"/>
          <w:i/>
          <w:iCs/>
        </w:rPr>
        <w:t>Frontiers in Neuroscience</w:t>
      </w:r>
      <w:r w:rsidRPr="00A63BB5">
        <w:rPr>
          <w:rFonts w:cs="Tahoma"/>
        </w:rPr>
        <w:t xml:space="preserve">, vol. 15, 2021. </w:t>
      </w:r>
      <w:r w:rsidRPr="00A63BB5">
        <w:rPr>
          <w:rFonts w:cs="Tahoma"/>
          <w:i/>
          <w:iCs/>
        </w:rPr>
        <w:t>Frontiers</w:t>
      </w:r>
      <w:r w:rsidRPr="00A63BB5">
        <w:rPr>
          <w:rFonts w:cs="Tahoma"/>
        </w:rPr>
        <w:t>, https://www.frontiersin.org/articles/10.3389/fnins.2021.628917.</w:t>
      </w:r>
    </w:p>
    <w:p w14:paraId="7E72509E" w14:textId="5B684C87"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14C6" w14:textId="77777777" w:rsidR="00A7509B" w:rsidRDefault="00A7509B" w:rsidP="00B657A0">
      <w:r>
        <w:separator/>
      </w:r>
    </w:p>
  </w:endnote>
  <w:endnote w:type="continuationSeparator" w:id="0">
    <w:p w14:paraId="335113C3" w14:textId="77777777" w:rsidR="00A7509B" w:rsidRDefault="00A7509B" w:rsidP="00B657A0">
      <w:r>
        <w:continuationSeparator/>
      </w:r>
    </w:p>
  </w:endnote>
  <w:endnote w:type="continuationNotice" w:id="1">
    <w:p w14:paraId="072423EB" w14:textId="77777777" w:rsidR="00A7509B" w:rsidRDefault="00A75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3EBE" w14:textId="77777777" w:rsidR="00A7509B" w:rsidRDefault="00A7509B" w:rsidP="00B657A0">
      <w:r>
        <w:separator/>
      </w:r>
    </w:p>
  </w:footnote>
  <w:footnote w:type="continuationSeparator" w:id="0">
    <w:p w14:paraId="5139269B" w14:textId="77777777" w:rsidR="00A7509B" w:rsidRDefault="00A7509B" w:rsidP="00B657A0">
      <w:r>
        <w:continuationSeparator/>
      </w:r>
    </w:p>
  </w:footnote>
  <w:footnote w:type="continuationNotice" w:id="1">
    <w:p w14:paraId="25A4DFDD" w14:textId="77777777" w:rsidR="00A7509B" w:rsidRDefault="00A75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864C4"/>
    <w:multiLevelType w:val="hybridMultilevel"/>
    <w:tmpl w:val="D9345D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07B52"/>
    <w:multiLevelType w:val="hybridMultilevel"/>
    <w:tmpl w:val="3DEA83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1"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5"/>
  </w:num>
  <w:num w:numId="2" w16cid:durableId="591012818">
    <w:abstractNumId w:val="28"/>
  </w:num>
  <w:num w:numId="3" w16cid:durableId="179856923">
    <w:abstractNumId w:val="3"/>
  </w:num>
  <w:num w:numId="4" w16cid:durableId="3915848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9"/>
  </w:num>
  <w:num w:numId="7" w16cid:durableId="2132432314">
    <w:abstractNumId w:val="2"/>
  </w:num>
  <w:num w:numId="8" w16cid:durableId="1193693858">
    <w:abstractNumId w:val="1"/>
  </w:num>
  <w:num w:numId="9" w16cid:durableId="803236281">
    <w:abstractNumId w:val="20"/>
  </w:num>
  <w:num w:numId="10" w16cid:durableId="1214929145">
    <w:abstractNumId w:val="20"/>
  </w:num>
  <w:num w:numId="11" w16cid:durableId="1534925248">
    <w:abstractNumId w:val="22"/>
  </w:num>
  <w:num w:numId="12" w16cid:durableId="1204631859">
    <w:abstractNumId w:val="16"/>
  </w:num>
  <w:num w:numId="13" w16cid:durableId="1999653488">
    <w:abstractNumId w:val="10"/>
  </w:num>
  <w:num w:numId="14" w16cid:durableId="1948655657">
    <w:abstractNumId w:val="31"/>
  </w:num>
  <w:num w:numId="15" w16cid:durableId="1426876100">
    <w:abstractNumId w:val="24"/>
  </w:num>
  <w:num w:numId="16" w16cid:durableId="148448031">
    <w:abstractNumId w:val="12"/>
  </w:num>
  <w:num w:numId="17" w16cid:durableId="432239574">
    <w:abstractNumId w:val="32"/>
  </w:num>
  <w:num w:numId="18" w16cid:durableId="1902785539">
    <w:abstractNumId w:val="8"/>
  </w:num>
  <w:num w:numId="19" w16cid:durableId="2016347357">
    <w:abstractNumId w:val="14"/>
  </w:num>
  <w:num w:numId="20" w16cid:durableId="1604259620">
    <w:abstractNumId w:val="30"/>
  </w:num>
  <w:num w:numId="21" w16cid:durableId="1341661621">
    <w:abstractNumId w:val="29"/>
  </w:num>
  <w:num w:numId="22" w16cid:durableId="788007871">
    <w:abstractNumId w:val="25"/>
  </w:num>
  <w:num w:numId="23" w16cid:durableId="1463157998">
    <w:abstractNumId w:val="18"/>
  </w:num>
  <w:num w:numId="24" w16cid:durableId="1260681482">
    <w:abstractNumId w:val="19"/>
  </w:num>
  <w:num w:numId="25" w16cid:durableId="1969161413">
    <w:abstractNumId w:val="7"/>
  </w:num>
  <w:num w:numId="26" w16cid:durableId="1839885816">
    <w:abstractNumId w:val="4"/>
  </w:num>
  <w:num w:numId="27" w16cid:durableId="1730300100">
    <w:abstractNumId w:val="13"/>
  </w:num>
  <w:num w:numId="28" w16cid:durableId="1711765807">
    <w:abstractNumId w:val="21"/>
  </w:num>
  <w:num w:numId="29" w16cid:durableId="2130008031">
    <w:abstractNumId w:val="26"/>
  </w:num>
  <w:num w:numId="30" w16cid:durableId="1154377883">
    <w:abstractNumId w:val="23"/>
  </w:num>
  <w:num w:numId="31" w16cid:durableId="1266425856">
    <w:abstractNumId w:val="17"/>
  </w:num>
  <w:num w:numId="32" w16cid:durableId="1850872283">
    <w:abstractNumId w:val="11"/>
  </w:num>
  <w:num w:numId="33" w16cid:durableId="687414347">
    <w:abstractNumId w:val="5"/>
  </w:num>
  <w:num w:numId="34" w16cid:durableId="313729409">
    <w:abstractNumId w:val="6"/>
  </w:num>
  <w:num w:numId="35" w16cid:durableId="1250037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68CD"/>
    <w:rsid w:val="00027200"/>
    <w:rsid w:val="00027881"/>
    <w:rsid w:val="0003264A"/>
    <w:rsid w:val="00035E18"/>
    <w:rsid w:val="0003722B"/>
    <w:rsid w:val="00040E46"/>
    <w:rsid w:val="0004712D"/>
    <w:rsid w:val="00050DA8"/>
    <w:rsid w:val="00053B22"/>
    <w:rsid w:val="00054FDF"/>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10C6"/>
    <w:rsid w:val="000E3018"/>
    <w:rsid w:val="000E49C6"/>
    <w:rsid w:val="000E4D0E"/>
    <w:rsid w:val="000F5BA9"/>
    <w:rsid w:val="0010099F"/>
    <w:rsid w:val="00101D0A"/>
    <w:rsid w:val="00112196"/>
    <w:rsid w:val="0011427A"/>
    <w:rsid w:val="00114746"/>
    <w:rsid w:val="001153AF"/>
    <w:rsid w:val="0011585F"/>
    <w:rsid w:val="00120765"/>
    <w:rsid w:val="00121359"/>
    <w:rsid w:val="0012408D"/>
    <w:rsid w:val="001308D6"/>
    <w:rsid w:val="00133B5F"/>
    <w:rsid w:val="0013522D"/>
    <w:rsid w:val="00135AFF"/>
    <w:rsid w:val="00142E4C"/>
    <w:rsid w:val="00144B5E"/>
    <w:rsid w:val="00155B60"/>
    <w:rsid w:val="0015719A"/>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0795D"/>
    <w:rsid w:val="002118EE"/>
    <w:rsid w:val="00213E68"/>
    <w:rsid w:val="0021559A"/>
    <w:rsid w:val="00215D9D"/>
    <w:rsid w:val="00216766"/>
    <w:rsid w:val="0021696B"/>
    <w:rsid w:val="00221293"/>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4F5F"/>
    <w:rsid w:val="002F7AE7"/>
    <w:rsid w:val="0030079B"/>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95DB1"/>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3E3"/>
    <w:rsid w:val="0043561A"/>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95AEB"/>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1A6B"/>
    <w:rsid w:val="00523977"/>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6764"/>
    <w:rsid w:val="00576936"/>
    <w:rsid w:val="005800F4"/>
    <w:rsid w:val="00582C19"/>
    <w:rsid w:val="0058650F"/>
    <w:rsid w:val="00586F7D"/>
    <w:rsid w:val="00590C85"/>
    <w:rsid w:val="00591DBC"/>
    <w:rsid w:val="00594570"/>
    <w:rsid w:val="00596DCD"/>
    <w:rsid w:val="00597ED6"/>
    <w:rsid w:val="005A7F09"/>
    <w:rsid w:val="005B4CF2"/>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99F"/>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86867"/>
    <w:rsid w:val="00692C82"/>
    <w:rsid w:val="00694B8F"/>
    <w:rsid w:val="006A11B0"/>
    <w:rsid w:val="006B3EA5"/>
    <w:rsid w:val="006B46C8"/>
    <w:rsid w:val="006B7A31"/>
    <w:rsid w:val="006C0E35"/>
    <w:rsid w:val="006C1B0D"/>
    <w:rsid w:val="006C65A9"/>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37C00"/>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3980"/>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5603"/>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97D1A"/>
    <w:rsid w:val="008A3268"/>
    <w:rsid w:val="008A3B7E"/>
    <w:rsid w:val="008A3BCC"/>
    <w:rsid w:val="008A5292"/>
    <w:rsid w:val="008A5518"/>
    <w:rsid w:val="008B1806"/>
    <w:rsid w:val="008B7517"/>
    <w:rsid w:val="008C71B6"/>
    <w:rsid w:val="008D69E8"/>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25F9"/>
    <w:rsid w:val="00994FA8"/>
    <w:rsid w:val="00996F07"/>
    <w:rsid w:val="009A017A"/>
    <w:rsid w:val="009A165C"/>
    <w:rsid w:val="009A49F2"/>
    <w:rsid w:val="009A6475"/>
    <w:rsid w:val="009B0E73"/>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3BB5"/>
    <w:rsid w:val="00A654DD"/>
    <w:rsid w:val="00A661AF"/>
    <w:rsid w:val="00A6627B"/>
    <w:rsid w:val="00A7509B"/>
    <w:rsid w:val="00A754AB"/>
    <w:rsid w:val="00A76AC1"/>
    <w:rsid w:val="00A7775B"/>
    <w:rsid w:val="00A91261"/>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540"/>
    <w:rsid w:val="00B0788C"/>
    <w:rsid w:val="00B10B19"/>
    <w:rsid w:val="00B12241"/>
    <w:rsid w:val="00B12D09"/>
    <w:rsid w:val="00B1488B"/>
    <w:rsid w:val="00B23D1D"/>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40D2B"/>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6DE5"/>
    <w:rsid w:val="00CA7B90"/>
    <w:rsid w:val="00CA7CCE"/>
    <w:rsid w:val="00CC4C75"/>
    <w:rsid w:val="00CC516A"/>
    <w:rsid w:val="00CE1935"/>
    <w:rsid w:val="00CE19A8"/>
    <w:rsid w:val="00CE4E80"/>
    <w:rsid w:val="00CE7BF8"/>
    <w:rsid w:val="00CF00C6"/>
    <w:rsid w:val="00CF3906"/>
    <w:rsid w:val="00CF479E"/>
    <w:rsid w:val="00D01095"/>
    <w:rsid w:val="00D062D5"/>
    <w:rsid w:val="00D1051A"/>
    <w:rsid w:val="00D135B7"/>
    <w:rsid w:val="00D13F90"/>
    <w:rsid w:val="00D162A1"/>
    <w:rsid w:val="00D2614C"/>
    <w:rsid w:val="00D33E93"/>
    <w:rsid w:val="00D351F1"/>
    <w:rsid w:val="00D35CE5"/>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2BBD"/>
    <w:rsid w:val="00D962D0"/>
    <w:rsid w:val="00D97EE6"/>
    <w:rsid w:val="00DA1735"/>
    <w:rsid w:val="00DA1E60"/>
    <w:rsid w:val="00DA2185"/>
    <w:rsid w:val="00DA5E05"/>
    <w:rsid w:val="00DB0621"/>
    <w:rsid w:val="00DB3B67"/>
    <w:rsid w:val="00DC054F"/>
    <w:rsid w:val="00DC4173"/>
    <w:rsid w:val="00DD05AB"/>
    <w:rsid w:val="00DD0642"/>
    <w:rsid w:val="00DD15DF"/>
    <w:rsid w:val="00DD1AA7"/>
    <w:rsid w:val="00DD2DB1"/>
    <w:rsid w:val="00DD3ED7"/>
    <w:rsid w:val="00DD4975"/>
    <w:rsid w:val="00DD5EA3"/>
    <w:rsid w:val="00DD5EA9"/>
    <w:rsid w:val="00DD7A4A"/>
    <w:rsid w:val="00DE28EB"/>
    <w:rsid w:val="00DE2D2F"/>
    <w:rsid w:val="00DF11B6"/>
    <w:rsid w:val="00DF1464"/>
    <w:rsid w:val="00DF6DFA"/>
    <w:rsid w:val="00DF71F0"/>
    <w:rsid w:val="00E01888"/>
    <w:rsid w:val="00E04323"/>
    <w:rsid w:val="00E0739F"/>
    <w:rsid w:val="00E07F77"/>
    <w:rsid w:val="00E113BD"/>
    <w:rsid w:val="00E15F5D"/>
    <w:rsid w:val="00E24020"/>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8597E"/>
    <w:rsid w:val="00E85F8C"/>
    <w:rsid w:val="00E925DF"/>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51D"/>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www.healthline.com/health/mean-arterial-pressu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121</TotalTime>
  <Pages>15</Pages>
  <Words>14570</Words>
  <Characters>83050</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97426</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51</cp:revision>
  <cp:lastPrinted>2022-10-22T22:37:00Z</cp:lastPrinted>
  <dcterms:created xsi:type="dcterms:W3CDTF">2022-10-22T22:37:00Z</dcterms:created>
  <dcterms:modified xsi:type="dcterms:W3CDTF">2022-10-23T20:43:00Z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