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74771E" w:rsidRPr="00773149" w14:paraId="6401BD9C" w14:textId="77777777" w:rsidTr="008267EC">
        <w:trPr>
          <w:trHeight w:val="1098"/>
        </w:trPr>
        <w:tc>
          <w:tcPr>
            <w:tcW w:w="1424" w:type="pct"/>
          </w:tcPr>
          <w:p w14:paraId="7B0FAF27" w14:textId="1A49D59D" w:rsidR="0074771E" w:rsidRDefault="0074771E" w:rsidP="0074771E">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in SCI patients.</w:t>
            </w:r>
          </w:p>
        </w:tc>
        <w:tc>
          <w:tcPr>
            <w:tcW w:w="975" w:type="pct"/>
          </w:tcPr>
          <w:p w14:paraId="1D94B237" w14:textId="77777777" w:rsidR="0074771E" w:rsidRDefault="0074771E" w:rsidP="0074771E">
            <w:pPr>
              <w:pStyle w:val="JHEPBody"/>
              <w:numPr>
                <w:ilvl w:val="0"/>
                <w:numId w:val="27"/>
              </w:numPr>
              <w:rPr>
                <w:bCs/>
                <w:sz w:val="20"/>
                <w:szCs w:val="20"/>
                <w:lang w:bidi="en-US"/>
              </w:rPr>
            </w:pPr>
            <w:r>
              <w:rPr>
                <w:bCs/>
                <w:sz w:val="20"/>
                <w:szCs w:val="20"/>
                <w:lang w:bidi="en-US"/>
              </w:rPr>
              <w:t>Resists compression from surrounding tissues thus less scar tissue</w:t>
            </w:r>
          </w:p>
          <w:p w14:paraId="6C85BB13" w14:textId="77777777" w:rsidR="0074771E" w:rsidRPr="00CF00C6" w:rsidRDefault="0074771E" w:rsidP="0074771E">
            <w:pPr>
              <w:pStyle w:val="JHEPBody"/>
              <w:numPr>
                <w:ilvl w:val="0"/>
                <w:numId w:val="27"/>
              </w:numPr>
              <w:rPr>
                <w:bCs/>
                <w:sz w:val="20"/>
                <w:szCs w:val="20"/>
                <w:lang w:bidi="en-US"/>
              </w:rPr>
            </w:pPr>
            <w:r>
              <w:rPr>
                <w:bCs/>
                <w:sz w:val="20"/>
                <w:szCs w:val="20"/>
                <w:lang w:bidi="en-US"/>
              </w:rPr>
              <w:t>Could be purified so lower risk of inflammatory response</w:t>
            </w:r>
          </w:p>
          <w:p w14:paraId="6166B299" w14:textId="77777777" w:rsidR="0074771E" w:rsidRDefault="0074771E" w:rsidP="0074771E">
            <w:pPr>
              <w:pStyle w:val="JHEPBody"/>
              <w:numPr>
                <w:ilvl w:val="0"/>
                <w:numId w:val="27"/>
              </w:numPr>
              <w:rPr>
                <w:bCs/>
                <w:sz w:val="20"/>
                <w:szCs w:val="20"/>
                <w:lang w:bidi="en-US"/>
              </w:rPr>
            </w:pPr>
            <w:r>
              <w:rPr>
                <w:bCs/>
                <w:sz w:val="20"/>
                <w:szCs w:val="20"/>
                <w:lang w:bidi="en-US"/>
              </w:rPr>
              <w:t>Completely resorbed after healing</w:t>
            </w:r>
          </w:p>
          <w:p w14:paraId="23BF623B" w14:textId="77777777" w:rsidR="0074771E" w:rsidRDefault="0074771E" w:rsidP="0074771E">
            <w:pPr>
              <w:pStyle w:val="JHEPBody"/>
              <w:numPr>
                <w:ilvl w:val="0"/>
                <w:numId w:val="30"/>
              </w:numPr>
              <w:rPr>
                <w:bCs/>
                <w:sz w:val="20"/>
                <w:szCs w:val="20"/>
                <w:lang w:bidi="en-US"/>
              </w:rPr>
            </w:pPr>
          </w:p>
        </w:tc>
        <w:tc>
          <w:tcPr>
            <w:tcW w:w="1383" w:type="pct"/>
          </w:tcPr>
          <w:p w14:paraId="3BDE8A99" w14:textId="77777777" w:rsidR="0074771E" w:rsidRDefault="0074771E" w:rsidP="0074771E">
            <w:pPr>
              <w:pStyle w:val="JHEPBody"/>
              <w:numPr>
                <w:ilvl w:val="0"/>
                <w:numId w:val="28"/>
              </w:numPr>
              <w:rPr>
                <w:bCs/>
                <w:sz w:val="20"/>
                <w:szCs w:val="20"/>
                <w:lang w:bidi="en-US"/>
              </w:rPr>
            </w:pPr>
            <w:r>
              <w:rPr>
                <w:bCs/>
                <w:sz w:val="20"/>
                <w:szCs w:val="20"/>
                <w:lang w:bidi="en-US"/>
              </w:rPr>
              <w:t>Source from animals (bovine tendon)</w:t>
            </w:r>
          </w:p>
          <w:p w14:paraId="6377E273" w14:textId="77777777" w:rsidR="0074771E" w:rsidRDefault="0074771E" w:rsidP="0074771E">
            <w:pPr>
              <w:pStyle w:val="JHEPBody"/>
              <w:numPr>
                <w:ilvl w:val="0"/>
                <w:numId w:val="28"/>
              </w:numPr>
              <w:rPr>
                <w:bCs/>
                <w:sz w:val="20"/>
                <w:szCs w:val="20"/>
                <w:lang w:bidi="en-US"/>
              </w:rPr>
            </w:pPr>
            <w:r>
              <w:rPr>
                <w:bCs/>
                <w:sz w:val="20"/>
                <w:szCs w:val="20"/>
                <w:lang w:bidi="en-US"/>
              </w:rPr>
              <w:t>Causes fever in patient (caused an FDA recall)</w:t>
            </w:r>
          </w:p>
          <w:p w14:paraId="00283D0A" w14:textId="77777777" w:rsidR="0074771E" w:rsidRDefault="0074771E" w:rsidP="00C9251A">
            <w:pPr>
              <w:pStyle w:val="JHEPBody"/>
              <w:ind w:left="360"/>
              <w:rPr>
                <w:bCs/>
                <w:sz w:val="20"/>
                <w:szCs w:val="20"/>
                <w:lang w:bidi="en-US"/>
              </w:rPr>
            </w:pPr>
          </w:p>
        </w:tc>
        <w:tc>
          <w:tcPr>
            <w:tcW w:w="1218" w:type="pct"/>
          </w:tcPr>
          <w:p w14:paraId="093751F0" w14:textId="77777777" w:rsidR="0074771E" w:rsidRPr="00CF00C6" w:rsidRDefault="0074771E" w:rsidP="0074771E">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22BA66AD" w14:textId="77777777" w:rsidR="0074771E" w:rsidRPr="008267EC" w:rsidRDefault="0074771E" w:rsidP="0074771E">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36168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74771E">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00D2BA28" w14:textId="5DE039CC" w:rsidR="001D1254" w:rsidRDefault="00E35265" w:rsidP="001D1254">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1D1254">
        <w:rPr>
          <w:bCs/>
          <w:sz w:val="22"/>
        </w:rPr>
        <w:t>cardiovascular, respiratory</w:t>
      </w:r>
      <w:r w:rsidR="00A76AC1">
        <w:rPr>
          <w:bCs/>
          <w:sz w:val="22"/>
        </w:rPr>
        <w:t>, and bowel function; yet quantitative</w:t>
      </w:r>
      <w:r w:rsidR="001D1254">
        <w:rPr>
          <w:bCs/>
          <w:sz w:val="22"/>
        </w:rPr>
        <w:t xml:space="preserve"> </w:t>
      </w:r>
    </w:p>
    <w:p w14:paraId="35ED13B2" w14:textId="77777777" w:rsidR="001D1254" w:rsidRDefault="001D1254" w:rsidP="001D1254">
      <w:pPr>
        <w:pStyle w:val="JHEPBody"/>
        <w:spacing w:line="480" w:lineRule="auto"/>
        <w:rPr>
          <w:bCs/>
          <w:sz w:val="22"/>
        </w:rPr>
      </w:pPr>
    </w:p>
    <w:p w14:paraId="4538E91F" w14:textId="2F3C4342" w:rsidR="00663DC6" w:rsidRPr="001D1254" w:rsidRDefault="00A76AC1" w:rsidP="001D1254">
      <w:pPr>
        <w:pStyle w:val="JHEPBody"/>
        <w:spacing w:line="480" w:lineRule="auto"/>
        <w:ind w:left="360"/>
        <w:rPr>
          <w:bCs/>
          <w:sz w:val="22"/>
        </w:rPr>
      </w:pPr>
      <w:r w:rsidRPr="001D1254">
        <w:rPr>
          <w:bCs/>
          <w:sz w:val="22"/>
        </w:rPr>
        <w:lastRenderedPageBreak/>
        <w:t>results of its benefits still need to be established</w:t>
      </w:r>
      <w:r w:rsidR="00DA5E05" w:rsidRPr="001D1254">
        <w:rPr>
          <w:bCs/>
          <w:sz w:val="22"/>
        </w:rPr>
        <w:t xml:space="preserve"> </w:t>
      </w:r>
      <w:r w:rsidR="00DA5E05" w:rsidRPr="001D1254">
        <w:rPr>
          <w:bCs/>
          <w:sz w:val="22"/>
        </w:rPr>
        <w:fldChar w:fldCharType="begin"/>
      </w:r>
      <w:r w:rsidR="00DA5E05" w:rsidRPr="001D1254">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1D1254">
        <w:rPr>
          <w:bCs/>
          <w:sz w:val="22"/>
        </w:rPr>
        <w:fldChar w:fldCharType="separate"/>
      </w:r>
      <w:r w:rsidR="00DA5E05" w:rsidRPr="001D1254">
        <w:rPr>
          <w:bCs/>
          <w:noProof/>
          <w:sz w:val="22"/>
        </w:rPr>
        <w:t>(Dobkin et al.)</w:t>
      </w:r>
      <w:r w:rsidR="00DA5E05" w:rsidRPr="001D1254">
        <w:rPr>
          <w:bCs/>
          <w:sz w:val="22"/>
        </w:rPr>
        <w:fldChar w:fldCharType="end"/>
      </w:r>
      <w:r w:rsidR="007C54B2" w:rsidRPr="001D1254">
        <w:rPr>
          <w:bCs/>
          <w:sz w:val="22"/>
        </w:rPr>
        <w:t>.</w:t>
      </w:r>
      <w:r w:rsidRPr="001D1254">
        <w:rPr>
          <w:bCs/>
          <w:sz w:val="22"/>
        </w:rPr>
        <w:t xml:space="preserve"> </w:t>
      </w:r>
    </w:p>
    <w:p w14:paraId="4DDB78CF" w14:textId="33115E28" w:rsidR="001D1254" w:rsidRPr="001D1254" w:rsidRDefault="001D1254" w:rsidP="001D1254">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77B681AD" w14:textId="77777777" w:rsidR="001D1254" w:rsidRDefault="001D1254" w:rsidP="001D1254">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2479DBF4" w:rsidR="00027200" w:rsidRPr="006C4359" w:rsidRDefault="007D53EB" w:rsidP="00CB51C6">
            <w:pPr>
              <w:pStyle w:val="JHEPBody"/>
              <w:rPr>
                <w:bCs/>
                <w:sz w:val="22"/>
                <w:lang w:bidi="en-US"/>
              </w:rPr>
            </w:pPr>
            <w:r>
              <w:rPr>
                <w:bCs/>
                <w:sz w:val="22"/>
                <w:lang w:bidi="en-US"/>
              </w:rPr>
              <w:t>The score is used to assess motor functions 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5AEC3B4A" w:rsidR="007D53EB" w:rsidRPr="006C4359" w:rsidRDefault="007D53EB" w:rsidP="007D53EB">
            <w:pPr>
              <w:pStyle w:val="JHEPBody"/>
              <w:rPr>
                <w:b/>
                <w:sz w:val="22"/>
                <w:lang w:bidi="en-US"/>
              </w:rPr>
            </w:pPr>
            <w:r w:rsidRPr="006C4359">
              <w:rPr>
                <w:bCs/>
                <w:sz w:val="22"/>
                <w:lang w:bidi="en-US"/>
              </w:rPr>
              <w:t>Spinal Cord Blood Flow (SCBF) = MABP/vascular resistance</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72CEEE07" w:rsidR="00F67A0C" w:rsidRPr="006C4359" w:rsidRDefault="00055522" w:rsidP="007D53EB">
            <w:pPr>
              <w:pStyle w:val="JHEPBody"/>
              <w:ind w:left="106"/>
              <w:jc w:val="center"/>
              <w:rPr>
                <w:bCs/>
                <w:sz w:val="22"/>
                <w:lang w:bidi="en-US"/>
              </w:rPr>
            </w:pPr>
            <w:r>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7777777" w:rsidR="00F67A0C" w:rsidRPr="006C4359" w:rsidRDefault="00F67A0C" w:rsidP="007D53EB">
            <w:pPr>
              <w:pStyle w:val="JHEPBody"/>
              <w:rPr>
                <w:bCs/>
                <w:sz w:val="22"/>
                <w:lang w:bidi="en-US"/>
              </w:rPr>
            </w:pP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38889070" w14:textId="77777777" w:rsidTr="007146E7">
        <w:trPr>
          <w:trHeight w:val="1098"/>
        </w:trPr>
        <w:tc>
          <w:tcPr>
            <w:tcW w:w="2212" w:type="pct"/>
          </w:tcPr>
          <w:p w14:paraId="4928F6B9" w14:textId="6471302E" w:rsidR="0020795D" w:rsidRPr="006C4359" w:rsidRDefault="0020795D" w:rsidP="00606C1B">
            <w:pPr>
              <w:pStyle w:val="JHEPBody"/>
              <w:rPr>
                <w:b/>
                <w:sz w:val="22"/>
                <w:lang w:bidi="en-US"/>
              </w:rPr>
            </w:pPr>
            <w:r w:rsidRPr="006C4359">
              <w:rPr>
                <w:b/>
                <w:sz w:val="22"/>
                <w:lang w:bidi="en-US"/>
              </w:rPr>
              <w:t>C-reactive protein test</w:t>
            </w:r>
            <w:r w:rsidR="00221293" w:rsidRPr="006C4359">
              <w:rPr>
                <w:b/>
                <w:sz w:val="22"/>
                <w:lang w:bidi="en-US"/>
              </w:rPr>
              <w:t xml:space="preserve"> (CRP)</w:t>
            </w:r>
          </w:p>
          <w:p w14:paraId="13C7A845" w14:textId="05CA5246" w:rsidR="00606C1B" w:rsidRPr="006C4359" w:rsidRDefault="0020795D" w:rsidP="00606C1B">
            <w:pPr>
              <w:pStyle w:val="JHEPBody"/>
              <w:rPr>
                <w:b/>
                <w:bCs/>
                <w:sz w:val="22"/>
                <w:lang w:bidi="en-US"/>
              </w:rPr>
            </w:pPr>
            <w:r w:rsidRPr="006C4359">
              <w:rPr>
                <w:bCs/>
                <w:sz w:val="22"/>
                <w:lang w:bidi="en-US"/>
              </w:rPr>
              <w:t>Check for inflammation due to infection</w:t>
            </w:r>
            <w:r w:rsidR="00606C1B" w:rsidRPr="006C4359">
              <w:rPr>
                <w:bCs/>
                <w:sz w:val="22"/>
                <w:lang w:bidi="en-US"/>
              </w:rPr>
              <w:t xml:space="preserve"> </w:t>
            </w:r>
          </w:p>
        </w:tc>
        <w:tc>
          <w:tcPr>
            <w:tcW w:w="940" w:type="pct"/>
          </w:tcPr>
          <w:p w14:paraId="6D8F12D7" w14:textId="6DB2C2C0" w:rsidR="00606C1B" w:rsidRPr="006C4359" w:rsidRDefault="00D92BBD" w:rsidP="00874EBC">
            <w:pPr>
              <w:pStyle w:val="JHEPBody"/>
              <w:ind w:left="106"/>
              <w:jc w:val="center"/>
              <w:rPr>
                <w:bCs/>
                <w:sz w:val="22"/>
                <w:lang w:bidi="en-US"/>
              </w:rPr>
            </w:pPr>
            <w:r w:rsidRPr="006C4359">
              <w:rPr>
                <w:bCs/>
                <w:sz w:val="22"/>
                <w:lang w:bidi="en-US"/>
              </w:rPr>
              <w:t>mg/L</w:t>
            </w:r>
          </w:p>
        </w:tc>
        <w:tc>
          <w:tcPr>
            <w:tcW w:w="1022" w:type="pct"/>
          </w:tcPr>
          <w:p w14:paraId="24D2AFA7" w14:textId="2FE3D2E4" w:rsidR="00606C1B" w:rsidRPr="006C4359" w:rsidRDefault="00874EBC" w:rsidP="00874EBC">
            <w:pPr>
              <w:pStyle w:val="JHEPBody"/>
              <w:jc w:val="center"/>
              <w:rPr>
                <w:bCs/>
                <w:sz w:val="22"/>
                <w:lang w:bidi="en-US"/>
              </w:rPr>
            </w:pPr>
            <w:r w:rsidRPr="006C4359">
              <w:rPr>
                <w:bCs/>
                <w:sz w:val="22"/>
                <w:lang w:bidi="en-US"/>
              </w:rPr>
              <w:t>[</w:t>
            </w:r>
            <w:r w:rsidR="00A5422A" w:rsidRPr="006C4359">
              <w:rPr>
                <w:sz w:val="22"/>
              </w:rPr>
              <w:t xml:space="preserve">2.86, </w:t>
            </w:r>
            <w:r w:rsidRPr="006C4359">
              <w:rPr>
                <w:bCs/>
                <w:sz w:val="22"/>
                <w:lang w:bidi="en-US"/>
              </w:rPr>
              <w:t>3.36]</w:t>
            </w:r>
          </w:p>
        </w:tc>
        <w:tc>
          <w:tcPr>
            <w:tcW w:w="826" w:type="pct"/>
          </w:tcPr>
          <w:p w14:paraId="1A3D30DF" w14:textId="3081A10A" w:rsidR="00606C1B" w:rsidRPr="006C4359" w:rsidRDefault="00495AEB" w:rsidP="00606C1B">
            <w:pPr>
              <w:pStyle w:val="JHEPBody"/>
              <w:rPr>
                <w:bCs/>
                <w:sz w:val="22"/>
                <w:lang w:bidi="en-US"/>
              </w:rPr>
            </w:pPr>
            <w:r w:rsidRPr="006C4359">
              <w:rPr>
                <w:noProof/>
                <w:sz w:val="22"/>
              </w:rPr>
              <w:t>(Kwiecien et al.)</w:t>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67331F9A" w:rsidR="0013306B" w:rsidRPr="006C4359" w:rsidRDefault="007A0EE2" w:rsidP="00606C1B">
            <w:pPr>
              <w:pStyle w:val="JHEPBody"/>
              <w:rPr>
                <w:b/>
                <w:bCs/>
                <w:sz w:val="22"/>
                <w:lang w:bidi="en-US"/>
              </w:rPr>
            </w:pPr>
            <w:r w:rsidRPr="006C4359">
              <w:rPr>
                <w:b/>
                <w:bCs/>
                <w:sz w:val="22"/>
                <w:lang w:bidi="en-US"/>
              </w:rPr>
              <w:t>Seeding Density</w:t>
            </w:r>
          </w:p>
          <w:p w14:paraId="310DD5E2" w14:textId="00392D28" w:rsidR="00606C1B" w:rsidRPr="006C4359" w:rsidRDefault="0013306B" w:rsidP="00606C1B">
            <w:pPr>
              <w:pStyle w:val="JHEPBody"/>
              <w:rPr>
                <w:sz w:val="22"/>
                <w:lang w:bidi="en-US"/>
              </w:rPr>
            </w:pPr>
            <w:r w:rsidRPr="006C4359">
              <w:rPr>
                <w:sz w:val="22"/>
                <w:lang w:bidi="en-US"/>
              </w:rPr>
              <w:t>Scalable Production of OPCs from different pluripotent stem cells.</w:t>
            </w:r>
          </w:p>
        </w:tc>
        <w:tc>
          <w:tcPr>
            <w:tcW w:w="940" w:type="pct"/>
          </w:tcPr>
          <w:p w14:paraId="7AD309BA" w14:textId="1B606096" w:rsidR="00606C1B" w:rsidRPr="006C4359" w:rsidRDefault="0013306B" w:rsidP="00636326">
            <w:pPr>
              <w:pStyle w:val="JHEPBody"/>
              <w:ind w:left="106"/>
              <w:jc w:val="center"/>
              <w:rPr>
                <w:bCs/>
                <w:sz w:val="22"/>
                <w:lang w:bidi="en-US"/>
              </w:rPr>
            </w:pPr>
            <w:r w:rsidRPr="006C4359">
              <w:rPr>
                <w:bCs/>
                <w:sz w:val="22"/>
                <w:lang w:bidi="en-US"/>
              </w:rPr>
              <w:t>cells/cm</w:t>
            </w:r>
            <w:r w:rsidRPr="006C4359">
              <w:rPr>
                <w:bCs/>
                <w:sz w:val="22"/>
                <w:vertAlign w:val="superscript"/>
                <w:lang w:bidi="en-US"/>
              </w:rPr>
              <w:t>2</w:t>
            </w:r>
          </w:p>
        </w:tc>
        <w:tc>
          <w:tcPr>
            <w:tcW w:w="1022" w:type="pct"/>
          </w:tcPr>
          <w:p w14:paraId="0A540CE1" w14:textId="5568CF6B" w:rsidR="00606C1B" w:rsidRPr="006C4359" w:rsidRDefault="007A0EE2" w:rsidP="00717C99">
            <w:pPr>
              <w:pStyle w:val="JHEPBody"/>
              <w:numPr>
                <w:ilvl w:val="0"/>
                <w:numId w:val="37"/>
              </w:numPr>
              <w:rPr>
                <w:bCs/>
                <w:sz w:val="22"/>
                <w:vertAlign w:val="superscript"/>
                <w:lang w:bidi="en-US"/>
              </w:rPr>
            </w:pPr>
            <w:r w:rsidRPr="006C4359">
              <w:rPr>
                <w:bCs/>
                <w:sz w:val="22"/>
                <w:lang w:bidi="en-US"/>
              </w:rPr>
              <w:t>Low: 1 x 10</w:t>
            </w:r>
            <w:r w:rsidRPr="006C4359">
              <w:rPr>
                <w:bCs/>
                <w:sz w:val="22"/>
                <w:vertAlign w:val="superscript"/>
                <w:lang w:bidi="en-US"/>
              </w:rPr>
              <w:t>4</w:t>
            </w:r>
          </w:p>
          <w:p w14:paraId="63BB7AAA" w14:textId="77777777" w:rsidR="007A0EE2" w:rsidRPr="006C4359" w:rsidRDefault="007A0EE2" w:rsidP="00717C99">
            <w:pPr>
              <w:pStyle w:val="JHEPBody"/>
              <w:numPr>
                <w:ilvl w:val="0"/>
                <w:numId w:val="37"/>
              </w:numPr>
              <w:rPr>
                <w:bCs/>
                <w:sz w:val="22"/>
                <w:vertAlign w:val="superscript"/>
                <w:lang w:bidi="en-US"/>
              </w:rPr>
            </w:pPr>
            <w:r w:rsidRPr="006C4359">
              <w:rPr>
                <w:bCs/>
                <w:sz w:val="22"/>
                <w:lang w:bidi="en-US"/>
              </w:rPr>
              <w:t>Medium: 2 x 10</w:t>
            </w:r>
            <w:r w:rsidRPr="006C4359">
              <w:rPr>
                <w:bCs/>
                <w:sz w:val="22"/>
                <w:vertAlign w:val="superscript"/>
                <w:lang w:bidi="en-US"/>
              </w:rPr>
              <w:t>4</w:t>
            </w:r>
          </w:p>
          <w:p w14:paraId="0D29217B" w14:textId="727CAA93" w:rsidR="007A0EE2" w:rsidRPr="006C4359" w:rsidRDefault="007A0EE2" w:rsidP="00717C99">
            <w:pPr>
              <w:pStyle w:val="JHEPBody"/>
              <w:numPr>
                <w:ilvl w:val="0"/>
                <w:numId w:val="37"/>
              </w:numPr>
              <w:rPr>
                <w:bCs/>
                <w:sz w:val="22"/>
                <w:vertAlign w:val="superscript"/>
                <w:lang w:bidi="en-US"/>
              </w:rPr>
            </w:pPr>
            <w:r w:rsidRPr="006C4359">
              <w:rPr>
                <w:bCs/>
                <w:sz w:val="22"/>
                <w:lang w:bidi="en-US"/>
              </w:rPr>
              <w:t xml:space="preserve">High: </w:t>
            </w:r>
            <w:r w:rsidR="00A73CAD" w:rsidRPr="006C4359">
              <w:rPr>
                <w:bCs/>
                <w:sz w:val="22"/>
                <w:lang w:bidi="en-US"/>
              </w:rPr>
              <w:t>5 x 10</w:t>
            </w:r>
            <w:r w:rsidR="00A73CAD" w:rsidRPr="006C4359">
              <w:rPr>
                <w:bCs/>
                <w:sz w:val="22"/>
                <w:vertAlign w:val="superscript"/>
                <w:lang w:bidi="en-US"/>
              </w:rPr>
              <w:t>4</w:t>
            </w:r>
          </w:p>
        </w:tc>
        <w:tc>
          <w:tcPr>
            <w:tcW w:w="826" w:type="pct"/>
          </w:tcPr>
          <w:p w14:paraId="64EB4704" w14:textId="73A9DFC0" w:rsidR="00606C1B" w:rsidRPr="006C4359" w:rsidRDefault="00A73CA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{"citationID":"OOBPxf4O","properties":{"formattedCitation":"(Rivera et al.)","plainCitation":"(Rivera et al.)","noteIndex":0},"citationItems":[{"id":4700,"uris":["http://zotero.org/users/7286058/items/8Y7ZC3GS"],"itemData":{"id":4700,"type":"article-journal","abstract":"The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lastRenderedPageBreak/>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625DFAF7"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9A5A01">
        <w:rPr>
          <w:sz w:val="22"/>
        </w:rPr>
        <w:t xml:space="preserve"> The neural-spinal scaffold with or without stem cells </w:t>
      </w:r>
      <w:r w:rsidR="00B11926">
        <w:rPr>
          <w:sz w:val="22"/>
        </w:rPr>
        <w:t>promote</w:t>
      </w:r>
      <w:r w:rsidR="005261AA">
        <w:rPr>
          <w:sz w:val="22"/>
        </w:rPr>
        <w:t>s survival and axonal. Growth thus</w:t>
      </w:r>
      <w:r w:rsidR="00B11926">
        <w:rPr>
          <w:sz w:val="22"/>
        </w:rPr>
        <w:t xml:space="preserve"> locomotor recovery</w:t>
      </w:r>
      <w:r w:rsidR="002744B0">
        <w:rPr>
          <w:sz w:val="22"/>
        </w:rPr>
        <w:t>.</w:t>
      </w:r>
    </w:p>
    <w:p w14:paraId="4A97616A" w14:textId="781B8EE4" w:rsidR="00725C9F" w:rsidRPr="00395F2E" w:rsidRDefault="00E24020" w:rsidP="00A0265E">
      <w:pPr>
        <w:pStyle w:val="JHEPBody"/>
        <w:numPr>
          <w:ilvl w:val="0"/>
          <w:numId w:val="33"/>
        </w:numPr>
        <w:spacing w:line="480" w:lineRule="auto"/>
        <w:rPr>
          <w:sz w:val="22"/>
        </w:rPr>
      </w:pPr>
      <w:r w:rsidRPr="00395F2E">
        <w:rPr>
          <w:b/>
          <w:bCs/>
          <w:sz w:val="22"/>
        </w:rPr>
        <w:t>M</w:t>
      </w:r>
      <w:r w:rsidR="00521A6B" w:rsidRPr="00395F2E">
        <w:rPr>
          <w:b/>
          <w:bCs/>
          <w:sz w:val="22"/>
        </w:rPr>
        <w:t>ABP</w:t>
      </w:r>
      <w:r w:rsidRPr="00395F2E">
        <w:rPr>
          <w:sz w:val="22"/>
        </w:rPr>
        <w:t>: First concern of the surgeon is to relieve any pressure from the surrounding bone by removing factures or dislocated vertebrae.</w:t>
      </w:r>
      <w:r w:rsidR="009925F9" w:rsidRPr="00395F2E">
        <w:rPr>
          <w:sz w:val="22"/>
        </w:rPr>
        <w:t xml:space="preserve"> 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p>
    <w:p w14:paraId="1269CDA2" w14:textId="22B47A0F" w:rsidR="00240673" w:rsidRDefault="00725C9F" w:rsidP="00725C9F">
      <w:pPr>
        <w:pStyle w:val="JHEPBody"/>
        <w:spacing w:line="480" w:lineRule="auto"/>
        <w:ind w:left="360"/>
        <w:rPr>
          <w:sz w:val="22"/>
        </w:rPr>
      </w:pPr>
      <w:r w:rsidRPr="00395F2E">
        <w:rPr>
          <w:sz w:val="22"/>
        </w:rPr>
        <w:t xml:space="preserve">The neural-spinal scaffold </w:t>
      </w:r>
      <w:r w:rsidR="00E251CE" w:rsidRPr="00395F2E">
        <w:rPr>
          <w:sz w:val="22"/>
        </w:rPr>
        <w:t xml:space="preserve">(NSC) </w:t>
      </w:r>
      <w:r w:rsidRPr="00395F2E">
        <w:rPr>
          <w:sz w:val="22"/>
        </w:rPr>
        <w:t>consist</w:t>
      </w:r>
      <w:r w:rsidR="005C610E">
        <w:rPr>
          <w:sz w:val="22"/>
        </w:rPr>
        <w:t>ing</w:t>
      </w:r>
      <w:r w:rsidRPr="00395F2E">
        <w:rPr>
          <w:sz w:val="22"/>
        </w:rPr>
        <w:t xml:space="preserve"> in poly-L-lysine “mini-tubes”</w:t>
      </w:r>
      <w:r w:rsidR="005C610E">
        <w:rPr>
          <w:sz w:val="22"/>
        </w:rPr>
        <w:t>;</w:t>
      </w:r>
      <w:r w:rsidRPr="00395F2E">
        <w:rPr>
          <w:sz w:val="22"/>
        </w:rPr>
        <w:t xml:space="preserve"> is inserted within the compressed spinal cord parenchyma. It </w:t>
      </w:r>
      <w:r w:rsidR="009B726B">
        <w:rPr>
          <w:sz w:val="22"/>
        </w:rPr>
        <w:t>c</w:t>
      </w:r>
      <w:r w:rsidRPr="00395F2E">
        <w:rPr>
          <w:sz w:val="22"/>
        </w:rPr>
        <w:t>reates an isolating interface protecting the spared tissue</w:t>
      </w:r>
      <w:r w:rsidR="00C64F83" w:rsidRPr="00395F2E">
        <w:rPr>
          <w:sz w:val="22"/>
        </w:rPr>
        <w:t xml:space="preserve">. </w:t>
      </w:r>
      <w:r w:rsidR="004A1231">
        <w:rPr>
          <w:sz w:val="22"/>
        </w:rPr>
        <w:t>B</w:t>
      </w:r>
      <w:r w:rsidRPr="00395F2E">
        <w:rPr>
          <w:sz w:val="22"/>
        </w:rPr>
        <w:t>y absorbing the compression energy into the biocompatible material of the mini-</w:t>
      </w:r>
      <w:r w:rsidR="00C64F83" w:rsidRPr="00395F2E">
        <w:rPr>
          <w:sz w:val="22"/>
        </w:rPr>
        <w:t xml:space="preserve">tube, </w:t>
      </w:r>
      <w:r w:rsidR="004A1231">
        <w:rPr>
          <w:sz w:val="22"/>
        </w:rPr>
        <w:t xml:space="preserve">it </w:t>
      </w:r>
      <w:r w:rsidR="00C64F83" w:rsidRPr="00395F2E">
        <w:rPr>
          <w:sz w:val="22"/>
        </w:rPr>
        <w:t>diffuses</w:t>
      </w:r>
      <w:r w:rsidRPr="00395F2E">
        <w:rPr>
          <w:sz w:val="22"/>
        </w:rPr>
        <w:t xml:space="preserve"> the site of pressure down the surface of the mini-tube, away from the initial compressed site. </w:t>
      </w:r>
    </w:p>
    <w:p w14:paraId="00BB6107" w14:textId="699987AD"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studied scaffold prevent cystic </w:t>
      </w:r>
      <w:proofErr w:type="spellStart"/>
      <w:r w:rsidR="00D36552" w:rsidRPr="00153359">
        <w:rPr>
          <w:sz w:val="22"/>
        </w:rPr>
        <w:t>cavation</w:t>
      </w:r>
      <w:proofErr w:type="spellEnd"/>
      <w:r w:rsidR="00D36552" w:rsidRPr="00153359">
        <w:rPr>
          <w:sz w:val="22"/>
        </w:rPr>
        <w:t xml:space="preserve">, leads to new tissue and </w:t>
      </w:r>
      <w:r w:rsidRPr="00153359">
        <w:rPr>
          <w:sz w:val="22"/>
        </w:rPr>
        <w:t xml:space="preserve">white matter </w:t>
      </w:r>
      <w:r w:rsidR="00D36552" w:rsidRPr="00153359">
        <w:rPr>
          <w:sz w:val="22"/>
        </w:rPr>
        <w:t>formation</w:t>
      </w:r>
      <w:r w:rsidRPr="00153359">
        <w:rPr>
          <w:sz w:val="22"/>
        </w:rPr>
        <w:t xml:space="preserve">.  </w:t>
      </w:r>
    </w:p>
    <w:p w14:paraId="0F7375A0" w14:textId="77777777" w:rsidR="008229F3" w:rsidRPr="00B14BE0" w:rsidRDefault="008229F3" w:rsidP="008229F3">
      <w:pPr>
        <w:pStyle w:val="JHEPBody"/>
        <w:numPr>
          <w:ilvl w:val="0"/>
          <w:numId w:val="33"/>
        </w:numPr>
        <w:spacing w:line="480" w:lineRule="auto"/>
        <w:rPr>
          <w:bCs/>
          <w:sz w:val="20"/>
          <w:szCs w:val="20"/>
          <w:lang w:bidi="en-US"/>
        </w:rPr>
      </w:pPr>
      <w:r w:rsidRPr="001C00CA">
        <w:rPr>
          <w:b/>
          <w:bCs/>
          <w:sz w:val="22"/>
          <w:lang w:bidi="en-US"/>
        </w:rPr>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The neural-scaffold is a polymer construct made of bioabsorbable polyglycolide (PGA) or poly(</w:t>
      </w:r>
      <w:proofErr w:type="spellStart"/>
      <w:r w:rsidRPr="0048052E">
        <w:rPr>
          <w:sz w:val="22"/>
        </w:rPr>
        <w:t>glycolide</w:t>
      </w:r>
      <w:proofErr w:type="spellEnd"/>
      <w:r w:rsidRPr="0048052E">
        <w:rPr>
          <w:sz w:val="22"/>
        </w:rPr>
        <w:t>-co-lactide) (PGA-co-PLA)</w:t>
      </w:r>
      <w:r>
        <w:rPr>
          <w:sz w:val="22"/>
        </w:rPr>
        <w:t>;</w:t>
      </w:r>
      <w:r w:rsidRPr="0048052E">
        <w:rPr>
          <w:sz w:val="22"/>
        </w:rPr>
        <w:t xml:space="preserve"> FDA approved </w:t>
      </w:r>
      <w:r w:rsidRPr="0048052E">
        <w:rPr>
          <w:sz w:val="22"/>
        </w:rPr>
        <w:lastRenderedPageBreak/>
        <w:t xml:space="preserve">polymers; </w:t>
      </w:r>
      <w:r>
        <w:rPr>
          <w:sz w:val="22"/>
        </w:rPr>
        <w:t xml:space="preserve">of different MWs (1,000 to 5,000), </w:t>
      </w:r>
      <w:r w:rsidRPr="0048052E">
        <w:rPr>
          <w:sz w:val="22"/>
        </w:rPr>
        <w:t>which degrade</w:t>
      </w:r>
      <w:r>
        <w:rPr>
          <w:sz w:val="22"/>
        </w:rPr>
        <w:t>s</w:t>
      </w:r>
      <w:r w:rsidRPr="0048052E">
        <w:rPr>
          <w:sz w:val="22"/>
        </w:rPr>
        <w:t xml:space="preserve"> </w:t>
      </w:r>
      <w:r>
        <w:rPr>
          <w:sz w:val="22"/>
        </w:rPr>
        <w:t xml:space="preserve">at the desired rate </w:t>
      </w:r>
      <w:r w:rsidRPr="0048052E">
        <w:rPr>
          <w:sz w:val="22"/>
        </w:rPr>
        <w:t>by simple hydrolysis to water and excreted via the kidney.</w:t>
      </w:r>
    </w:p>
    <w:p w14:paraId="371366CD" w14:textId="5F358261" w:rsidR="00316957" w:rsidRPr="0048052E" w:rsidRDefault="00CC4C75" w:rsidP="00952570">
      <w:pPr>
        <w:pStyle w:val="JHEPBody"/>
        <w:numPr>
          <w:ilvl w:val="0"/>
          <w:numId w:val="33"/>
        </w:numPr>
        <w:spacing w:line="480" w:lineRule="auto"/>
        <w:rPr>
          <w:sz w:val="22"/>
        </w:rPr>
      </w:pPr>
      <w:r w:rsidRPr="0048052E">
        <w:rPr>
          <w:b/>
          <w:bCs/>
          <w:sz w:val="22"/>
        </w:rPr>
        <w:t>CRP</w:t>
      </w:r>
      <w:r w:rsidRPr="0048052E">
        <w:rPr>
          <w:sz w:val="22"/>
        </w:rPr>
        <w:t>:</w:t>
      </w:r>
      <w:r w:rsidR="00017329" w:rsidRPr="0048052E">
        <w:rPr>
          <w:sz w:val="22"/>
        </w:rPr>
        <w:t xml:space="preserve"> SCI causes hemorrhage, ischemia, severe inflammation, and cellular necrosi</w:t>
      </w:r>
      <w:r w:rsidR="00161427" w:rsidRPr="0048052E">
        <w:rPr>
          <w:sz w:val="22"/>
        </w:rPr>
        <w:t>s</w:t>
      </w:r>
      <w:r w:rsidR="00017329" w:rsidRPr="0048052E">
        <w:rPr>
          <w:sz w:val="22"/>
        </w:rPr>
        <w:t>.</w:t>
      </w:r>
      <w:r w:rsidR="00161427" w:rsidRPr="0048052E">
        <w:rPr>
          <w:sz w:val="22"/>
        </w:rPr>
        <w:t xml:space="preserve"> </w:t>
      </w:r>
      <w:r w:rsidR="00176318" w:rsidRPr="0048052E">
        <w:rPr>
          <w:sz w:val="22"/>
        </w:rPr>
        <w:t>After SCI, p</w:t>
      </w:r>
      <w:r w:rsidR="00161427" w:rsidRPr="0048052E">
        <w:rPr>
          <w:sz w:val="22"/>
        </w:rPr>
        <w:t xml:space="preserve">ro-inflammatory cytokines </w:t>
      </w:r>
      <w:r w:rsidR="005C610E">
        <w:rPr>
          <w:sz w:val="22"/>
        </w:rPr>
        <w:t>levels of</w:t>
      </w:r>
      <w:r w:rsidR="00161427" w:rsidRPr="0048052E">
        <w:rPr>
          <w:sz w:val="22"/>
        </w:rPr>
        <w:t xml:space="preserve"> interleukins 1beta (IL1</w:t>
      </w:r>
      <w:r w:rsidR="0030079B" w:rsidRPr="0048052E">
        <w:rPr>
          <w:sz w:val="22"/>
        </w:rPr>
        <w:t>-</w:t>
      </w:r>
      <w:r w:rsidR="00161427" w:rsidRPr="0048052E">
        <w:rPr>
          <w:sz w:val="22"/>
        </w:rPr>
        <w:t>beta)</w:t>
      </w:r>
      <w:r w:rsidR="0030079B" w:rsidRPr="0048052E">
        <w:rPr>
          <w:sz w:val="22"/>
        </w:rPr>
        <w:t>, 6 (IL-6)</w:t>
      </w:r>
      <w:r w:rsidR="00161427" w:rsidRPr="0048052E">
        <w:rPr>
          <w:sz w:val="22"/>
        </w:rPr>
        <w:t xml:space="preserve"> as well necrosis factor alpha (TNF-alpha), interferon gamma (IGN-gamma)</w:t>
      </w:r>
      <w:r w:rsidR="00FB251D" w:rsidRPr="0048052E">
        <w:rPr>
          <w:sz w:val="22"/>
        </w:rPr>
        <w:t>,</w:t>
      </w:r>
      <w:r w:rsidR="00161427" w:rsidRPr="0048052E">
        <w:rPr>
          <w:sz w:val="22"/>
        </w:rPr>
        <w:t xml:space="preserve"> CC, CXC, and CX3C </w:t>
      </w:r>
      <w:r w:rsidR="0030079B" w:rsidRPr="0048052E">
        <w:rPr>
          <w:sz w:val="22"/>
        </w:rPr>
        <w:t xml:space="preserve">chemokines; </w:t>
      </w:r>
      <w:r w:rsidR="00161427" w:rsidRPr="0048052E">
        <w:rPr>
          <w:sz w:val="22"/>
        </w:rPr>
        <w:t xml:space="preserve">are </w:t>
      </w:r>
      <w:r w:rsidR="00176318" w:rsidRPr="0048052E">
        <w:rPr>
          <w:sz w:val="22"/>
        </w:rPr>
        <w:t>elevated</w:t>
      </w:r>
      <w:r w:rsidR="0030079B" w:rsidRPr="0048052E">
        <w:rPr>
          <w:sz w:val="22"/>
        </w:rPr>
        <w:t xml:space="preserve"> </w:t>
      </w:r>
      <w:r w:rsidR="0030079B" w:rsidRPr="0048052E">
        <w:rPr>
          <w:sz w:val="22"/>
        </w:rPr>
        <w:fldChar w:fldCharType="begin"/>
      </w:r>
      <w:r w:rsidR="0030079B" w:rsidRPr="0048052E">
        <w:rPr>
          <w:sz w:val="22"/>
        </w:rPr>
        <w:instrText xml:space="preserve"> ADDIN ZOTERO_ITEM CSL_CITATION {"citationID":"t9fygITP","properties":{"formattedCitation":"(Kwiecien et al.)","plainCitation":"(Kwiecien et al.)","noteIndex":0},"citationItems":[{"id":4620,"uris":["http://zotero.org/users/7286058/items/PUQ4NK5F"],"itemData":{"id":4620,"type":"article-journal","container-title":"PLOS ONE","DOI":"10.1371/journal.pone.0226584","ISSN":"1932-6203","issue":"3","journalAbbreviation":"PLoS ONE","language":"en","page":"e0226584","source":"DOI.org (Crossref)","title":"Prolonged inflammation leads to ongoing damage after spinal cord injury","URL":"https://dx.plos.org/10.1371/journal.pone.0226584","volume":"15","author":[{"family":"Kwiecien","given":"Jacek M."},{"family":"Dabrowski","given":"Wojciech"},{"family":"Dąbrowska-Bouta","given":"Beata"},{"family":"Sulkowski","given":"Grzegorz"},{"family":"Oakden","given":"Wendy"},{"family":"Kwiecien-Delaney","given":"Christian J."},{"family":"Yaron","given":"Jordan R."},{"family":"Zhang","given":"Liqiang"},{"family":"Schutz","given":"Lauren"},{"family":"Marzec-Kotarska","given":"Barbara"},{"family":"Stanisz","given":"Greg J."},{"family":"Karis","given":"John P."},{"family":"Struzynska","given":"Lidia"},{"family":"Lucas","given":"Alexandra R."}],"editor":[{"family":"Nógrádi","given":"Antal"}],"accessed":{"date-parts":[["2022",10,23]]},"issued":{"date-parts":[["2020",3,19]]}}}],"schema":"https://github.com/citation-style-language/schema/raw/master/csl-citation.json"} </w:instrText>
      </w:r>
      <w:r w:rsidR="0030079B" w:rsidRPr="0048052E">
        <w:rPr>
          <w:sz w:val="22"/>
        </w:rPr>
        <w:fldChar w:fldCharType="separate"/>
      </w:r>
      <w:r w:rsidR="0030079B" w:rsidRPr="0048052E">
        <w:rPr>
          <w:noProof/>
          <w:sz w:val="22"/>
        </w:rPr>
        <w:t>(Kwiecien et al.)</w:t>
      </w:r>
      <w:r w:rsidR="0030079B" w:rsidRPr="0048052E">
        <w:rPr>
          <w:sz w:val="22"/>
        </w:rPr>
        <w:fldChar w:fldCharType="end"/>
      </w:r>
      <w:r w:rsidR="00176318" w:rsidRPr="0048052E">
        <w:rPr>
          <w:sz w:val="22"/>
        </w:rPr>
        <w:t>.</w:t>
      </w:r>
      <w:r w:rsidR="00071E26" w:rsidRPr="0048052E">
        <w:rPr>
          <w:sz w:val="22"/>
        </w:rPr>
        <w:t xml:space="preserve"> </w:t>
      </w:r>
      <w:r w:rsidR="0030079B" w:rsidRPr="0048052E">
        <w:rPr>
          <w:sz w:val="22"/>
        </w:rPr>
        <w:t xml:space="preserve"> </w:t>
      </w:r>
      <w:r w:rsidR="004C047D" w:rsidRPr="0048052E">
        <w:rPr>
          <w:rFonts w:cs="Tahoma"/>
          <w:color w:val="212121"/>
          <w:sz w:val="22"/>
          <w:shd w:val="clear" w:color="auto" w:fill="FFFFFF"/>
        </w:rPr>
        <w:t>)</w:t>
      </w:r>
      <w:r w:rsidR="004C047D" w:rsidRPr="0048052E">
        <w:rPr>
          <w:sz w:val="22"/>
        </w:rPr>
        <w:t xml:space="preserve">. </w:t>
      </w:r>
      <w:r w:rsidR="00071E26" w:rsidRPr="0048052E">
        <w:rPr>
          <w:sz w:val="22"/>
        </w:rPr>
        <w:t xml:space="preserve">IL1-beta, IL-6, and TNF are reported to induce </w:t>
      </w:r>
      <w:r w:rsidR="00FB251D" w:rsidRPr="0048052E">
        <w:rPr>
          <w:sz w:val="22"/>
        </w:rPr>
        <w:t>synthesis</w:t>
      </w:r>
      <w:r w:rsidR="00071E26" w:rsidRPr="0048052E">
        <w:rPr>
          <w:sz w:val="22"/>
        </w:rPr>
        <w:t xml:space="preserve"> by the liver of C-reactive protein </w:t>
      </w:r>
      <w:r w:rsidR="00FB251D" w:rsidRPr="0048052E">
        <w:rPr>
          <w:sz w:val="22"/>
        </w:rPr>
        <w:t>(</w:t>
      </w:r>
      <w:r w:rsidR="00071E26" w:rsidRPr="0048052E">
        <w:rPr>
          <w:sz w:val="22"/>
        </w:rPr>
        <w:t>CRP)</w:t>
      </w:r>
      <w:r w:rsidR="00825603" w:rsidRPr="0048052E">
        <w:rPr>
          <w:sz w:val="22"/>
        </w:rPr>
        <w:t xml:space="preserve"> (</w:t>
      </w:r>
      <w:r w:rsidR="00825603" w:rsidRPr="0048052E">
        <w:rPr>
          <w:rFonts w:cs="Tahoma"/>
          <w:color w:val="212121"/>
          <w:sz w:val="22"/>
          <w:shd w:val="clear" w:color="auto" w:fill="FFFFFF"/>
        </w:rPr>
        <w:t>Sheldon, J et al)</w:t>
      </w:r>
      <w:r w:rsidR="00071E26" w:rsidRPr="0048052E">
        <w:rPr>
          <w:sz w:val="22"/>
        </w:rPr>
        <w:t>.</w:t>
      </w:r>
      <w:r w:rsidR="00176318" w:rsidRPr="0048052E">
        <w:rPr>
          <w:sz w:val="22"/>
        </w:rPr>
        <w:t xml:space="preserve"> </w:t>
      </w:r>
      <w:r w:rsidR="0048052E" w:rsidRPr="0048052E">
        <w:rPr>
          <w:sz w:val="22"/>
        </w:rPr>
        <w:t>Inflammation could also be caused by the immune response to the scaffold or the stem cell therapy.</w:t>
      </w:r>
      <w:r w:rsidR="00627087">
        <w:rPr>
          <w:sz w:val="22"/>
        </w:rPr>
        <w:t xml:space="preserve"> T</w:t>
      </w:r>
      <w:r w:rsidR="004D489F" w:rsidRPr="0048052E">
        <w:rPr>
          <w:sz w:val="22"/>
        </w:rPr>
        <w:t>h</w:t>
      </w:r>
      <w:r w:rsidR="00492009">
        <w:rPr>
          <w:sz w:val="22"/>
        </w:rPr>
        <w:t>e</w:t>
      </w:r>
      <w:r w:rsidR="004D489F" w:rsidRPr="0048052E">
        <w:rPr>
          <w:sz w:val="22"/>
        </w:rPr>
        <w:t xml:space="preserve"> </w:t>
      </w:r>
      <w:r w:rsidR="00320AB2">
        <w:rPr>
          <w:sz w:val="22"/>
        </w:rPr>
        <w:t xml:space="preserve">scaffold by </w:t>
      </w:r>
      <w:r w:rsidR="004D489F" w:rsidRPr="0048052E">
        <w:rPr>
          <w:sz w:val="22"/>
        </w:rPr>
        <w:t xml:space="preserve">protecting the spared tissue, </w:t>
      </w:r>
      <w:r w:rsidR="00320AB2">
        <w:rPr>
          <w:sz w:val="22"/>
        </w:rPr>
        <w:t>minimizes</w:t>
      </w:r>
      <w:r w:rsidR="004D489F" w:rsidRPr="0048052E">
        <w:rPr>
          <w:sz w:val="22"/>
        </w:rPr>
        <w:t xml:space="preserve"> secondary injury by inhibiting cell-cell signaling with inflammatory cytokines.</w:t>
      </w:r>
      <w:r w:rsidR="00E251CE" w:rsidRPr="0048052E">
        <w:rPr>
          <w:sz w:val="22"/>
        </w:rPr>
        <w:t xml:space="preserve"> </w:t>
      </w:r>
      <w:r w:rsidR="00492009">
        <w:rPr>
          <w:sz w:val="22"/>
        </w:rPr>
        <w:t>T</w:t>
      </w:r>
      <w:r w:rsidR="00E251CE" w:rsidRPr="0048052E">
        <w:rPr>
          <w:sz w:val="22"/>
        </w:rPr>
        <w:t>he lumen of the mini-tube can be seeded with OPC1 in combination of anti-inflammatory and immunosuppressive drugs</w:t>
      </w:r>
      <w:r w:rsidR="00492009">
        <w:rPr>
          <w:sz w:val="22"/>
        </w:rPr>
        <w:t xml:space="preserve">. </w:t>
      </w:r>
      <w:r w:rsidR="00492009">
        <w:rPr>
          <w:sz w:val="22"/>
        </w:rPr>
        <w:t xml:space="preserve">In addition, </w:t>
      </w:r>
      <w:r w:rsidR="00BD77E3">
        <w:rPr>
          <w:sz w:val="22"/>
        </w:rPr>
        <w:t xml:space="preserve">OPC1 </w:t>
      </w:r>
      <w:r w:rsidR="0082447C" w:rsidRPr="0048052E">
        <w:rPr>
          <w:sz w:val="22"/>
        </w:rPr>
        <w:t>do</w:t>
      </w:r>
      <w:r w:rsidR="00BD77E3">
        <w:rPr>
          <w:sz w:val="22"/>
        </w:rPr>
        <w:t>es</w:t>
      </w:r>
      <w:r w:rsidR="0082447C" w:rsidRPr="0048052E">
        <w:rPr>
          <w:sz w:val="22"/>
        </w:rPr>
        <w:t xml:space="preserve"> not </w:t>
      </w:r>
      <w:r w:rsidR="00B34F52" w:rsidRPr="0048052E">
        <w:rPr>
          <w:sz w:val="22"/>
        </w:rPr>
        <w:t>cause</w:t>
      </w:r>
      <w:r w:rsidR="0082447C" w:rsidRPr="0048052E">
        <w:rPr>
          <w:sz w:val="22"/>
        </w:rPr>
        <w:t xml:space="preserve"> a cellular immune response when the patient is a</w:t>
      </w:r>
      <w:r w:rsidR="005C610E">
        <w:rPr>
          <w:sz w:val="22"/>
        </w:rPr>
        <w:t>t</w:t>
      </w:r>
      <w:r w:rsidR="0082447C" w:rsidRPr="0048052E">
        <w:rPr>
          <w:sz w:val="22"/>
        </w:rPr>
        <w:t xml:space="preserve"> low dose immunosuppressant regimen</w:t>
      </w:r>
      <w:r w:rsidR="005C610E">
        <w:rPr>
          <w:sz w:val="22"/>
        </w:rPr>
        <w:t>.</w:t>
      </w:r>
    </w:p>
    <w:p w14:paraId="6CF2EBF6" w14:textId="21F6B323" w:rsidR="00CC4C75" w:rsidRPr="00395F2E"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w:t>
      </w:r>
      <w:proofErr w:type="spellStart"/>
      <w:proofErr w:type="gramStart"/>
      <w:r w:rsidR="0043561A" w:rsidRPr="00395F2E">
        <w:rPr>
          <w:sz w:val="22"/>
        </w:rPr>
        <w:t>lesion</w:t>
      </w:r>
      <w:r w:rsidR="003155D4">
        <w:rPr>
          <w:sz w:val="22"/>
        </w:rPr>
        <w:t>;s</w:t>
      </w:r>
      <w:proofErr w:type="spellEnd"/>
      <w:proofErr w:type="gramEnd"/>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 xml:space="preserve">cells.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p>
    <w:p w14:paraId="68FB8B83" w14:textId="1B337421" w:rsidR="00C54A90" w:rsidRPr="00395F2E" w:rsidRDefault="00B43888" w:rsidP="004A7891">
      <w:pPr>
        <w:pStyle w:val="JHEPBody"/>
        <w:numPr>
          <w:ilvl w:val="0"/>
          <w:numId w:val="33"/>
        </w:numPr>
        <w:spacing w:line="480" w:lineRule="auto"/>
        <w:rPr>
          <w:sz w:val="22"/>
          <w:lang w:bidi="en-US"/>
        </w:rPr>
      </w:pPr>
      <w:r w:rsidRPr="00395F2E">
        <w:rPr>
          <w:b/>
          <w:bCs/>
          <w:sz w:val="22"/>
          <w:lang w:bidi="en-US"/>
        </w:rPr>
        <w:t>Seeding Den</w:t>
      </w:r>
      <w:r w:rsidRPr="00395F2E">
        <w:rPr>
          <w:sz w:val="22"/>
          <w:lang w:bidi="en-US"/>
        </w:rPr>
        <w:t>s</w:t>
      </w:r>
      <w:r w:rsidRPr="00395F2E">
        <w:rPr>
          <w:b/>
          <w:bCs/>
          <w:sz w:val="22"/>
          <w:lang w:bidi="en-US"/>
        </w:rPr>
        <w:t>ity</w:t>
      </w:r>
      <w:r w:rsidR="00C54A90" w:rsidRPr="00395F2E">
        <w:rPr>
          <w:sz w:val="22"/>
          <w:lang w:bidi="en-US"/>
        </w:rPr>
        <w:t>: OPCs can be derived from many undifferentiated pluripotent cells (embryonic stem c</w:t>
      </w:r>
      <w:r w:rsidR="0071512D" w:rsidRPr="00395F2E">
        <w:rPr>
          <w:sz w:val="22"/>
          <w:lang w:bidi="en-US"/>
        </w:rPr>
        <w:t>e</w:t>
      </w:r>
      <w:r w:rsidR="00C54A90" w:rsidRPr="00395F2E">
        <w:rPr>
          <w:sz w:val="22"/>
          <w:lang w:bidi="en-US"/>
        </w:rPr>
        <w:t xml:space="preserve">lls, H1-7,9,13,14 cell line, </w:t>
      </w:r>
      <w:proofErr w:type="spellStart"/>
      <w:r w:rsidR="00C54A90" w:rsidRPr="00395F2E">
        <w:rPr>
          <w:sz w:val="22"/>
          <w:lang w:bidi="en-US"/>
        </w:rPr>
        <w:t>iPS</w:t>
      </w:r>
      <w:proofErr w:type="spellEnd"/>
      <w:r w:rsidR="00C54A90" w:rsidRPr="00395F2E">
        <w:rPr>
          <w:sz w:val="22"/>
          <w:lang w:bidi="en-US"/>
        </w:rPr>
        <w:t xml:space="preserve"> line, and a primate pluripotent stem (</w:t>
      </w:r>
      <w:proofErr w:type="spellStart"/>
      <w:r w:rsidR="00C54A90" w:rsidRPr="00395F2E">
        <w:rPr>
          <w:sz w:val="22"/>
          <w:lang w:bidi="en-US"/>
        </w:rPr>
        <w:t>pPS</w:t>
      </w:r>
      <w:proofErr w:type="spellEnd"/>
      <w:r w:rsidR="00C54A90" w:rsidRPr="00395F2E">
        <w:rPr>
          <w:sz w:val="22"/>
          <w:lang w:bidi="en-US"/>
        </w:rPr>
        <w:t xml:space="preserve">) cell line) </w:t>
      </w:r>
    </w:p>
    <w:p w14:paraId="0FF126DD" w14:textId="03C9AA4D" w:rsidR="00C54A90" w:rsidRPr="00395F2E" w:rsidRDefault="00C54A90" w:rsidP="004A7891">
      <w:pPr>
        <w:pStyle w:val="JHEPBody"/>
        <w:spacing w:line="480" w:lineRule="auto"/>
        <w:ind w:left="360"/>
        <w:rPr>
          <w:sz w:val="22"/>
          <w:lang w:bidi="en-US"/>
        </w:rPr>
      </w:pPr>
      <w:r w:rsidRPr="00395F2E">
        <w:rPr>
          <w:sz w:val="22"/>
          <w:lang w:bidi="en-US"/>
        </w:rPr>
        <w:t xml:space="preserve">OPC1s can be obtained in a conditioned or not nutrient medium (containing or not different factors promoting proliferation), grown on different solid surfaces (6-24-96-144-well plates, microcarriers, </w:t>
      </w:r>
      <w:r w:rsidRPr="00395F2E">
        <w:rPr>
          <w:sz w:val="22"/>
          <w:lang w:bidi="en-US"/>
        </w:rPr>
        <w:lastRenderedPageBreak/>
        <w:t xml:space="preserve">or disks), </w:t>
      </w:r>
      <w:r w:rsidR="0002235C" w:rsidRPr="00395F2E">
        <w:rPr>
          <w:sz w:val="22"/>
          <w:lang w:bidi="en-US"/>
        </w:rPr>
        <w:t xml:space="preserve">and </w:t>
      </w:r>
      <w:r w:rsidR="004A7891" w:rsidRPr="00395F2E">
        <w:rPr>
          <w:sz w:val="22"/>
          <w:lang w:bidi="en-US"/>
        </w:rPr>
        <w:t xml:space="preserve">different </w:t>
      </w:r>
      <w:r w:rsidRPr="00395F2E">
        <w:rPr>
          <w:sz w:val="22"/>
          <w:lang w:bidi="en-US"/>
        </w:rPr>
        <w:t>substrates</w:t>
      </w:r>
      <w:r w:rsidR="004A7891" w:rsidRPr="00395F2E">
        <w:rPr>
          <w:sz w:val="22"/>
          <w:lang w:bidi="en-US"/>
        </w:rPr>
        <w:t xml:space="preserve"> (Matrigel, recombinant Laminin, or Vitronectin)</w:t>
      </w:r>
      <w:r w:rsidR="0048052E">
        <w:rPr>
          <w:sz w:val="22"/>
          <w:lang w:bidi="en-US"/>
        </w:rPr>
        <w:t xml:space="preserve"> achieving different seeding density (</w:t>
      </w:r>
      <w:r w:rsidR="002E3333">
        <w:rPr>
          <w:sz w:val="22"/>
          <w:lang w:bidi="en-US"/>
        </w:rPr>
        <w:t>from 1.0 x 10</w:t>
      </w:r>
      <w:r w:rsidR="002E3333" w:rsidRPr="002E3333">
        <w:rPr>
          <w:sz w:val="22"/>
          <w:vertAlign w:val="superscript"/>
          <w:lang w:bidi="en-US"/>
        </w:rPr>
        <w:t>3</w:t>
      </w:r>
      <w:r w:rsidR="002E3333">
        <w:rPr>
          <w:sz w:val="22"/>
          <w:lang w:bidi="en-US"/>
        </w:rPr>
        <w:t xml:space="preserve"> to 1.0 x10</w:t>
      </w:r>
      <w:r w:rsidR="002E3333" w:rsidRPr="002E3333">
        <w:rPr>
          <w:sz w:val="22"/>
          <w:vertAlign w:val="superscript"/>
          <w:lang w:bidi="en-US"/>
        </w:rPr>
        <w:t>5</w:t>
      </w:r>
      <w:r w:rsidR="0048052E">
        <w:rPr>
          <w:sz w:val="22"/>
          <w:lang w:bidi="en-US"/>
        </w:rPr>
        <w:t>)</w:t>
      </w:r>
      <w:r w:rsidRPr="00395F2E">
        <w:rPr>
          <w:sz w:val="22"/>
          <w:lang w:bidi="en-US"/>
        </w:rPr>
        <w:t xml:space="preserve">. </w:t>
      </w:r>
    </w:p>
    <w:p w14:paraId="295C26BC" w14:textId="6D813B2A" w:rsidR="001F60BE" w:rsidRPr="0043376A" w:rsidRDefault="00B14BE0" w:rsidP="00274369">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lastRenderedPageBreak/>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7709EEE5" w14:textId="77777777" w:rsidR="002744B0" w:rsidRPr="002744B0" w:rsidRDefault="006C65A9" w:rsidP="002744B0">
      <w:pPr>
        <w:pStyle w:val="Bibliography"/>
        <w:rPr>
          <w:rFonts w:cs="Tahoma"/>
        </w:rPr>
      </w:pPr>
      <w:r>
        <w:fldChar w:fldCharType="begin"/>
      </w:r>
      <w:r w:rsidR="00A0265E">
        <w:instrText xml:space="preserve"> ADDIN ZOTERO_BIBL {"uncited":[],"omitted":[],"custom":[]} CSL_BIBLIOGRAPHY </w:instrText>
      </w:r>
      <w:r>
        <w:fldChar w:fldCharType="separate"/>
      </w:r>
      <w:proofErr w:type="spellStart"/>
      <w:r w:rsidR="002744B0" w:rsidRPr="002744B0">
        <w:rPr>
          <w:rFonts w:cs="Tahoma"/>
        </w:rPr>
        <w:t>Badner</w:t>
      </w:r>
      <w:proofErr w:type="spellEnd"/>
      <w:r w:rsidR="002744B0" w:rsidRPr="002744B0">
        <w:rPr>
          <w:rFonts w:cs="Tahoma"/>
        </w:rPr>
        <w:t xml:space="preserve">, Anna, et al. “Spinal Cord Injuries: How Could Cell Therapy Help?” </w:t>
      </w:r>
      <w:r w:rsidR="002744B0" w:rsidRPr="002744B0">
        <w:rPr>
          <w:rFonts w:cs="Tahoma"/>
          <w:i/>
          <w:iCs/>
        </w:rPr>
        <w:t>Expert Opinion on Biological Therapy</w:t>
      </w:r>
      <w:r w:rsidR="002744B0" w:rsidRPr="002744B0">
        <w:rPr>
          <w:rFonts w:cs="Tahoma"/>
        </w:rPr>
        <w:t xml:space="preserve">, vol. 17, no. 5, May 2017, pp. 529–41. </w:t>
      </w:r>
      <w:r w:rsidR="002744B0" w:rsidRPr="002744B0">
        <w:rPr>
          <w:rFonts w:cs="Tahoma"/>
          <w:i/>
          <w:iCs/>
        </w:rPr>
        <w:t>DOI.org (</w:t>
      </w:r>
      <w:proofErr w:type="spellStart"/>
      <w:r w:rsidR="002744B0" w:rsidRPr="002744B0">
        <w:rPr>
          <w:rFonts w:cs="Tahoma"/>
          <w:i/>
          <w:iCs/>
        </w:rPr>
        <w:t>Crossref</w:t>
      </w:r>
      <w:proofErr w:type="spellEnd"/>
      <w:r w:rsidR="002744B0" w:rsidRPr="002744B0">
        <w:rPr>
          <w:rFonts w:cs="Tahoma"/>
          <w:i/>
          <w:iCs/>
        </w:rPr>
        <w:t>)</w:t>
      </w:r>
      <w:r w:rsidR="002744B0" w:rsidRPr="002744B0">
        <w:rPr>
          <w:rFonts w:cs="Tahoma"/>
        </w:rPr>
        <w:t>, https://doi.org/10.1080/14712598.2017.1308481.</w:t>
      </w:r>
    </w:p>
    <w:p w14:paraId="531EC5AB" w14:textId="77777777" w:rsidR="002744B0" w:rsidRPr="002744B0" w:rsidRDefault="002744B0" w:rsidP="002744B0">
      <w:pPr>
        <w:pStyle w:val="Bibliography"/>
        <w:rPr>
          <w:rFonts w:cs="Tahoma"/>
        </w:rPr>
      </w:pPr>
      <w:r w:rsidRPr="002744B0">
        <w:rPr>
          <w:rFonts w:cs="Tahoma"/>
        </w:rPr>
        <w:t xml:space="preserve">Cheng, </w:t>
      </w:r>
      <w:proofErr w:type="spellStart"/>
      <w:r w:rsidRPr="002744B0">
        <w:rPr>
          <w:rFonts w:cs="Tahoma"/>
        </w:rPr>
        <w:t>Xiaoxin</w:t>
      </w:r>
      <w:proofErr w:type="spellEnd"/>
      <w:r w:rsidRPr="002744B0">
        <w:rPr>
          <w:rFonts w:cs="Tahoma"/>
        </w:rPr>
        <w:t xml:space="preserve">, et al. “Apolipoprotein E as a Novel Therapeutic Neuroprotection Target after Traumatic Spinal Cord Injury.” </w:t>
      </w:r>
      <w:r w:rsidRPr="002744B0">
        <w:rPr>
          <w:rFonts w:cs="Tahoma"/>
          <w:i/>
          <w:iCs/>
        </w:rPr>
        <w:t>Experimental Neurology</w:t>
      </w:r>
      <w:r w:rsidRPr="002744B0">
        <w:rPr>
          <w:rFonts w:cs="Tahoma"/>
        </w:rPr>
        <w:t xml:space="preserve">, vol. 299, Jan. 2018, pp. 97–108.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https://doi.org/10.1016/j.expneurol.2017.10.014.</w:t>
      </w:r>
    </w:p>
    <w:p w14:paraId="5E922256" w14:textId="77777777" w:rsidR="002744B0" w:rsidRPr="002744B0" w:rsidRDefault="002744B0" w:rsidP="002744B0">
      <w:pPr>
        <w:pStyle w:val="Bibliography"/>
        <w:rPr>
          <w:rFonts w:cs="Tahoma"/>
        </w:rPr>
      </w:pPr>
      <w:r w:rsidRPr="002744B0">
        <w:rPr>
          <w:rFonts w:cs="Tahoma"/>
        </w:rPr>
        <w:t xml:space="preserve">Desai, </w:t>
      </w:r>
      <w:proofErr w:type="spellStart"/>
      <w:r w:rsidRPr="002744B0">
        <w:rPr>
          <w:rFonts w:cs="Tahoma"/>
        </w:rPr>
        <w:t>Jyaysi</w:t>
      </w:r>
      <w:proofErr w:type="spellEnd"/>
      <w:r w:rsidRPr="002744B0">
        <w:rPr>
          <w:rFonts w:cs="Tahoma"/>
        </w:rPr>
        <w:t xml:space="preserve">, et al. “Molecular Pathophysiology of Gout.” </w:t>
      </w:r>
      <w:r w:rsidRPr="002744B0">
        <w:rPr>
          <w:rFonts w:cs="Tahoma"/>
          <w:i/>
          <w:iCs/>
        </w:rPr>
        <w:t>Trends in Molecular Medicine</w:t>
      </w:r>
      <w:r w:rsidRPr="002744B0">
        <w:rPr>
          <w:rFonts w:cs="Tahoma"/>
        </w:rPr>
        <w:t xml:space="preserve">, vol. 23, no. 8, Aug. 2017, pp. 756–68.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https://doi.org/10.1016/j.molmed.2017.06.005.</w:t>
      </w:r>
    </w:p>
    <w:p w14:paraId="273C28B1" w14:textId="77777777" w:rsidR="002744B0" w:rsidRPr="002744B0" w:rsidRDefault="002744B0" w:rsidP="002744B0">
      <w:pPr>
        <w:pStyle w:val="Bibliography"/>
        <w:rPr>
          <w:rFonts w:cs="Tahoma"/>
        </w:rPr>
      </w:pPr>
      <w:proofErr w:type="spellStart"/>
      <w:r w:rsidRPr="002744B0">
        <w:rPr>
          <w:rFonts w:cs="Tahoma"/>
        </w:rPr>
        <w:t>Dobkin</w:t>
      </w:r>
      <w:proofErr w:type="spellEnd"/>
      <w:r w:rsidRPr="002744B0">
        <w:rPr>
          <w:rFonts w:cs="Tahoma"/>
        </w:rPr>
        <w:t xml:space="preserve">, B., et al. “Weight-Supported Treadmill vs over-Ground Training for Walking after Acute Incomplete SCI.” </w:t>
      </w:r>
      <w:r w:rsidRPr="002744B0">
        <w:rPr>
          <w:rFonts w:cs="Tahoma"/>
          <w:i/>
          <w:iCs/>
        </w:rPr>
        <w:t>Neurology</w:t>
      </w:r>
      <w:r w:rsidRPr="002744B0">
        <w:rPr>
          <w:rFonts w:cs="Tahoma"/>
        </w:rPr>
        <w:t xml:space="preserve">, vol. 66, no. 4, Feb. 2006, pp. 484–93. </w:t>
      </w:r>
      <w:r w:rsidRPr="002744B0">
        <w:rPr>
          <w:rFonts w:cs="Tahoma"/>
          <w:i/>
          <w:iCs/>
        </w:rPr>
        <w:t>PubMed Central</w:t>
      </w:r>
      <w:r w:rsidRPr="002744B0">
        <w:rPr>
          <w:rFonts w:cs="Tahoma"/>
        </w:rPr>
        <w:t>, https://doi.org/10.1212/01.wnl.0000202600.72018.39.</w:t>
      </w:r>
    </w:p>
    <w:p w14:paraId="49F1D3E9" w14:textId="77777777" w:rsidR="002744B0" w:rsidRPr="002744B0" w:rsidRDefault="002744B0" w:rsidP="002744B0">
      <w:pPr>
        <w:pStyle w:val="Bibliography"/>
        <w:rPr>
          <w:rFonts w:cs="Tahoma"/>
        </w:rPr>
      </w:pPr>
      <w:r w:rsidRPr="002744B0">
        <w:rPr>
          <w:rFonts w:cs="Tahoma"/>
        </w:rPr>
        <w:t xml:space="preserve">Dukes, Ellen M., et al. “Relationship of American Spinal Injury Association Impairment Scale Grade to Post-Injury Hospitalization and Costs in Thoracic Spinal Cord Injury.” </w:t>
      </w:r>
      <w:r w:rsidRPr="002744B0">
        <w:rPr>
          <w:rFonts w:cs="Tahoma"/>
          <w:i/>
          <w:iCs/>
        </w:rPr>
        <w:t>Neurosurgery</w:t>
      </w:r>
      <w:r w:rsidRPr="002744B0">
        <w:rPr>
          <w:rFonts w:cs="Tahoma"/>
        </w:rPr>
        <w:t xml:space="preserve">, vol. 83, no. 3, Sept. 2018, pp. 445–51. </w:t>
      </w:r>
      <w:r w:rsidRPr="002744B0">
        <w:rPr>
          <w:rFonts w:cs="Tahoma"/>
          <w:i/>
          <w:iCs/>
        </w:rPr>
        <w:t>PubMed Central</w:t>
      </w:r>
      <w:r w:rsidRPr="002744B0">
        <w:rPr>
          <w:rFonts w:cs="Tahoma"/>
        </w:rPr>
        <w:t>, https://doi.org/10.1093/neuros/nyx425.</w:t>
      </w:r>
    </w:p>
    <w:p w14:paraId="5D5B61AB" w14:textId="77777777" w:rsidR="002744B0" w:rsidRPr="002744B0" w:rsidRDefault="002744B0" w:rsidP="002744B0">
      <w:pPr>
        <w:pStyle w:val="Bibliography"/>
        <w:rPr>
          <w:rFonts w:cs="Tahoma"/>
        </w:rPr>
      </w:pPr>
      <w:r w:rsidRPr="002744B0">
        <w:rPr>
          <w:rFonts w:cs="Tahoma"/>
        </w:rPr>
        <w:lastRenderedPageBreak/>
        <w:t xml:space="preserve">Epstein, Nancy E. “Cerebrospinal Fluid Drains Reduce Risk of Spinal Cord Injury for Thoracic/Thoracoabdominal Aneurysm Surgery: A Review.” </w:t>
      </w:r>
      <w:r w:rsidRPr="002744B0">
        <w:rPr>
          <w:rFonts w:cs="Tahoma"/>
          <w:i/>
          <w:iCs/>
        </w:rPr>
        <w:t>Surgical Neurology International</w:t>
      </w:r>
      <w:r w:rsidRPr="002744B0">
        <w:rPr>
          <w:rFonts w:cs="Tahoma"/>
        </w:rPr>
        <w:t xml:space="preserve">, vol. 9, Feb. 2018, p. 48. </w:t>
      </w:r>
      <w:r w:rsidRPr="002744B0">
        <w:rPr>
          <w:rFonts w:cs="Tahoma"/>
          <w:i/>
          <w:iCs/>
        </w:rPr>
        <w:t>PubMed Central</w:t>
      </w:r>
      <w:r w:rsidRPr="002744B0">
        <w:rPr>
          <w:rFonts w:cs="Tahoma"/>
        </w:rPr>
        <w:t>, https://doi.org/10.4103/sni.sni_433_17.</w:t>
      </w:r>
    </w:p>
    <w:p w14:paraId="15BEB6AA" w14:textId="77777777" w:rsidR="002744B0" w:rsidRPr="002744B0" w:rsidRDefault="002744B0" w:rsidP="002744B0">
      <w:pPr>
        <w:pStyle w:val="Bibliography"/>
        <w:rPr>
          <w:rFonts w:cs="Tahoma"/>
        </w:rPr>
      </w:pPr>
      <w:proofErr w:type="spellStart"/>
      <w:r w:rsidRPr="002744B0">
        <w:rPr>
          <w:rFonts w:cs="Tahoma"/>
        </w:rPr>
        <w:t>Fehlings</w:t>
      </w:r>
      <w:proofErr w:type="spellEnd"/>
      <w:r w:rsidRPr="002744B0">
        <w:rPr>
          <w:rFonts w:cs="Tahoma"/>
        </w:rPr>
        <w:t xml:space="preserve">, Michael G., et al. “A Clinical Practice Guideline for the Management of Patients </w:t>
      </w:r>
      <w:proofErr w:type="gramStart"/>
      <w:r w:rsidRPr="002744B0">
        <w:rPr>
          <w:rFonts w:cs="Tahoma"/>
        </w:rPr>
        <w:t>With</w:t>
      </w:r>
      <w:proofErr w:type="gramEnd"/>
      <w:r w:rsidRPr="002744B0">
        <w:rPr>
          <w:rFonts w:cs="Tahoma"/>
        </w:rPr>
        <w:t xml:space="preserve"> Acute Spinal Cord Injury: Recommendations on the Use of Methylprednisolone Sodium Succinate.” </w:t>
      </w:r>
      <w:r w:rsidRPr="002744B0">
        <w:rPr>
          <w:rFonts w:cs="Tahoma"/>
          <w:i/>
          <w:iCs/>
        </w:rPr>
        <w:t>Global Spine Journal</w:t>
      </w:r>
      <w:r w:rsidRPr="002744B0">
        <w:rPr>
          <w:rFonts w:cs="Tahoma"/>
        </w:rPr>
        <w:t xml:space="preserve">, vol. 7, no. 3 Suppl, Sept. 2017, pp. 203S-211S. </w:t>
      </w:r>
      <w:r w:rsidRPr="002744B0">
        <w:rPr>
          <w:rFonts w:cs="Tahoma"/>
          <w:i/>
          <w:iCs/>
        </w:rPr>
        <w:t>PubMed Central</w:t>
      </w:r>
      <w:r w:rsidRPr="002744B0">
        <w:rPr>
          <w:rFonts w:cs="Tahoma"/>
        </w:rPr>
        <w:t>, https://doi.org/10.1177/2192568217703085.</w:t>
      </w:r>
    </w:p>
    <w:p w14:paraId="50724D8E" w14:textId="77777777" w:rsidR="002744B0" w:rsidRPr="002744B0" w:rsidRDefault="002744B0" w:rsidP="002744B0">
      <w:pPr>
        <w:pStyle w:val="Bibliography"/>
        <w:rPr>
          <w:rFonts w:cs="Tahoma"/>
        </w:rPr>
      </w:pPr>
      <w:r w:rsidRPr="002744B0">
        <w:rPr>
          <w:rFonts w:cs="Tahoma"/>
        </w:rPr>
        <w:t xml:space="preserve">Jain, Nitin B., et al. “Traumatic Spinal Cord Injury in the United States, 1993–2012.” </w:t>
      </w:r>
      <w:r w:rsidRPr="002744B0">
        <w:rPr>
          <w:rFonts w:cs="Tahoma"/>
          <w:i/>
          <w:iCs/>
        </w:rPr>
        <w:t>JAMA</w:t>
      </w:r>
      <w:r w:rsidRPr="002744B0">
        <w:rPr>
          <w:rFonts w:cs="Tahoma"/>
        </w:rPr>
        <w:t xml:space="preserve">, vol. 313, no. 22, June 2015, pp. 2236–43. </w:t>
      </w:r>
      <w:r w:rsidRPr="002744B0">
        <w:rPr>
          <w:rFonts w:cs="Tahoma"/>
          <w:i/>
          <w:iCs/>
        </w:rPr>
        <w:t>PubMed Central</w:t>
      </w:r>
      <w:r w:rsidRPr="002744B0">
        <w:rPr>
          <w:rFonts w:cs="Tahoma"/>
        </w:rPr>
        <w:t>, https://doi.org/10.1001/jama.2015.6250.</w:t>
      </w:r>
    </w:p>
    <w:p w14:paraId="4C162A76" w14:textId="77777777" w:rsidR="002744B0" w:rsidRPr="002744B0" w:rsidRDefault="002744B0" w:rsidP="002744B0">
      <w:pPr>
        <w:pStyle w:val="Bibliography"/>
        <w:rPr>
          <w:rFonts w:cs="Tahoma"/>
        </w:rPr>
      </w:pPr>
      <w:proofErr w:type="spellStart"/>
      <w:r w:rsidRPr="002744B0">
        <w:rPr>
          <w:rFonts w:cs="Tahoma"/>
        </w:rPr>
        <w:t>Kaneva</w:t>
      </w:r>
      <w:proofErr w:type="spellEnd"/>
      <w:r w:rsidRPr="002744B0">
        <w:rPr>
          <w:rFonts w:cs="Tahoma"/>
        </w:rPr>
        <w:t xml:space="preserve">, Anastasiya M., et al. “Plasma Levels of Apolipoprotein-E in Residents of the European North of Russia.” </w:t>
      </w:r>
      <w:r w:rsidRPr="002744B0">
        <w:rPr>
          <w:rFonts w:cs="Tahoma"/>
          <w:i/>
          <w:iCs/>
        </w:rPr>
        <w:t>Lipids in Health and Disease</w:t>
      </w:r>
      <w:r w:rsidRPr="002744B0">
        <w:rPr>
          <w:rFonts w:cs="Tahoma"/>
        </w:rPr>
        <w:t xml:space="preserve">, vol. 12, no. 1, Dec. 2013, p. 43.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https://doi.org/10.1186/1476-511X-12-43.</w:t>
      </w:r>
    </w:p>
    <w:p w14:paraId="0967BD99" w14:textId="77777777" w:rsidR="002744B0" w:rsidRPr="002744B0" w:rsidRDefault="002744B0" w:rsidP="002744B0">
      <w:pPr>
        <w:pStyle w:val="Bibliography"/>
        <w:rPr>
          <w:rFonts w:cs="Tahoma"/>
        </w:rPr>
      </w:pPr>
      <w:proofErr w:type="spellStart"/>
      <w:r w:rsidRPr="002744B0">
        <w:rPr>
          <w:rFonts w:cs="Tahoma"/>
        </w:rPr>
        <w:t>Kwiecien</w:t>
      </w:r>
      <w:proofErr w:type="spellEnd"/>
      <w:r w:rsidRPr="002744B0">
        <w:rPr>
          <w:rFonts w:cs="Tahoma"/>
        </w:rPr>
        <w:t xml:space="preserve">, Jacek M., et al. “Prolonged Inflammation Leads to Ongoing Damage after Spinal Cord Injury.” </w:t>
      </w:r>
      <w:r w:rsidRPr="002744B0">
        <w:rPr>
          <w:rFonts w:cs="Tahoma"/>
          <w:i/>
          <w:iCs/>
        </w:rPr>
        <w:t>PLOS ONE</w:t>
      </w:r>
      <w:r w:rsidRPr="002744B0">
        <w:rPr>
          <w:rFonts w:cs="Tahoma"/>
        </w:rPr>
        <w:t xml:space="preserve">, edited by </w:t>
      </w:r>
      <w:proofErr w:type="spellStart"/>
      <w:r w:rsidRPr="002744B0">
        <w:rPr>
          <w:rFonts w:cs="Tahoma"/>
        </w:rPr>
        <w:t>Antal</w:t>
      </w:r>
      <w:proofErr w:type="spellEnd"/>
      <w:r w:rsidRPr="002744B0">
        <w:rPr>
          <w:rFonts w:cs="Tahoma"/>
        </w:rPr>
        <w:t xml:space="preserve"> </w:t>
      </w:r>
      <w:proofErr w:type="spellStart"/>
      <w:r w:rsidRPr="002744B0">
        <w:rPr>
          <w:rFonts w:cs="Tahoma"/>
        </w:rPr>
        <w:t>Nógrádi</w:t>
      </w:r>
      <w:proofErr w:type="spellEnd"/>
      <w:r w:rsidRPr="002744B0">
        <w:rPr>
          <w:rFonts w:cs="Tahoma"/>
        </w:rPr>
        <w:t xml:space="preserve">, vol. 15, no. 3, Mar. 2020, p. e0226584.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https://doi.org/10.1371/journal.pone.0226584.</w:t>
      </w:r>
    </w:p>
    <w:p w14:paraId="6BE14A0E" w14:textId="77777777" w:rsidR="002744B0" w:rsidRPr="002744B0" w:rsidRDefault="002744B0" w:rsidP="002744B0">
      <w:pPr>
        <w:pStyle w:val="Bibliography"/>
        <w:rPr>
          <w:rFonts w:cs="Tahoma"/>
        </w:rPr>
      </w:pPr>
      <w:r w:rsidRPr="002744B0">
        <w:rPr>
          <w:rFonts w:cs="Tahoma"/>
        </w:rPr>
        <w:t>Lee, Byung-</w:t>
      </w:r>
      <w:proofErr w:type="spellStart"/>
      <w:r w:rsidRPr="002744B0">
        <w:rPr>
          <w:rFonts w:cs="Tahoma"/>
        </w:rPr>
        <w:t>Jou</w:t>
      </w:r>
      <w:proofErr w:type="spellEnd"/>
      <w:r w:rsidRPr="002744B0">
        <w:rPr>
          <w:rFonts w:cs="Tahoma"/>
        </w:rPr>
        <w:t xml:space="preserve">, and Je </w:t>
      </w:r>
      <w:proofErr w:type="spellStart"/>
      <w:r w:rsidRPr="002744B0">
        <w:rPr>
          <w:rFonts w:cs="Tahoma"/>
        </w:rPr>
        <w:t>Hoon</w:t>
      </w:r>
      <w:proofErr w:type="spellEnd"/>
      <w:r w:rsidRPr="002744B0">
        <w:rPr>
          <w:rFonts w:cs="Tahoma"/>
        </w:rPr>
        <w:t xml:space="preserve"> </w:t>
      </w:r>
      <w:proofErr w:type="spellStart"/>
      <w:r w:rsidRPr="002744B0">
        <w:rPr>
          <w:rFonts w:cs="Tahoma"/>
        </w:rPr>
        <w:t>Jeong</w:t>
      </w:r>
      <w:proofErr w:type="spellEnd"/>
      <w:r w:rsidRPr="002744B0">
        <w:rPr>
          <w:rFonts w:cs="Tahoma"/>
        </w:rPr>
        <w:t xml:space="preserve">. “Review: Steroid Use in Patients </w:t>
      </w:r>
      <w:proofErr w:type="gramStart"/>
      <w:r w:rsidRPr="002744B0">
        <w:rPr>
          <w:rFonts w:cs="Tahoma"/>
        </w:rPr>
        <w:t>With</w:t>
      </w:r>
      <w:proofErr w:type="gramEnd"/>
      <w:r w:rsidRPr="002744B0">
        <w:rPr>
          <w:rFonts w:cs="Tahoma"/>
        </w:rPr>
        <w:t xml:space="preserve"> Acute Spinal Cord Injury and Guideline Update.” </w:t>
      </w:r>
      <w:r w:rsidRPr="002744B0">
        <w:rPr>
          <w:rFonts w:cs="Tahoma"/>
          <w:i/>
          <w:iCs/>
        </w:rPr>
        <w:t>Korean Journal of Neurotrauma</w:t>
      </w:r>
      <w:r w:rsidRPr="002744B0">
        <w:rPr>
          <w:rFonts w:cs="Tahoma"/>
        </w:rPr>
        <w:t xml:space="preserve">, vol. 18, no. 1, 2022, p. 22.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https://doi.org/10.13004/kjnt.2022.18.e21.</w:t>
      </w:r>
    </w:p>
    <w:p w14:paraId="3CE2F31F" w14:textId="77777777" w:rsidR="002744B0" w:rsidRPr="002744B0" w:rsidRDefault="002744B0" w:rsidP="002744B0">
      <w:pPr>
        <w:pStyle w:val="Bibliography"/>
        <w:rPr>
          <w:rFonts w:cs="Tahoma"/>
        </w:rPr>
      </w:pPr>
      <w:r w:rsidRPr="002744B0">
        <w:rPr>
          <w:rFonts w:cs="Tahoma"/>
        </w:rPr>
        <w:t xml:space="preserve">Li, Xing, et al. “Transplantation of HUC-MSCs Seeded Collagen Scaffolds Reduces Scar Formation and Promotes Functional Recovery in Canines with Chronic Spinal Cord </w:t>
      </w:r>
      <w:r w:rsidRPr="002744B0">
        <w:rPr>
          <w:rFonts w:cs="Tahoma"/>
        </w:rPr>
        <w:lastRenderedPageBreak/>
        <w:t xml:space="preserve">Injury.” </w:t>
      </w:r>
      <w:r w:rsidRPr="002744B0">
        <w:rPr>
          <w:rFonts w:cs="Tahoma"/>
          <w:i/>
          <w:iCs/>
        </w:rPr>
        <w:t>Scientific Reports</w:t>
      </w:r>
      <w:r w:rsidRPr="002744B0">
        <w:rPr>
          <w:rFonts w:cs="Tahoma"/>
        </w:rPr>
        <w:t xml:space="preserve">, vol. 7, no. 1, Apr. 2017, p. 43559.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https://doi.org/10.1038/srep43559.</w:t>
      </w:r>
    </w:p>
    <w:p w14:paraId="6995C5CC" w14:textId="77777777" w:rsidR="002744B0" w:rsidRPr="002744B0" w:rsidRDefault="002744B0" w:rsidP="002744B0">
      <w:pPr>
        <w:pStyle w:val="Bibliography"/>
        <w:rPr>
          <w:rFonts w:cs="Tahoma"/>
        </w:rPr>
      </w:pPr>
      <w:r w:rsidRPr="002744B0">
        <w:rPr>
          <w:rFonts w:cs="Tahoma"/>
        </w:rPr>
        <w:t xml:space="preserve">Martirosyan, Nikolay L., et al. “Blood Supply and Vascular Reactivity of the Spinal Cord under Normal and Pathological Conditions: A Review.” </w:t>
      </w:r>
      <w:r w:rsidRPr="002744B0">
        <w:rPr>
          <w:rFonts w:cs="Tahoma"/>
          <w:i/>
          <w:iCs/>
        </w:rPr>
        <w:t>Journal of Neurosurgery: Spine</w:t>
      </w:r>
      <w:r w:rsidRPr="002744B0">
        <w:rPr>
          <w:rFonts w:cs="Tahoma"/>
        </w:rPr>
        <w:t xml:space="preserve">, vol. 15, no. 3, Sept. 2011, pp. 238–51.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https://doi.org/10.3171/2011.4.SPINE10543.</w:t>
      </w:r>
    </w:p>
    <w:p w14:paraId="31D225A3" w14:textId="77777777" w:rsidR="002744B0" w:rsidRPr="002744B0" w:rsidRDefault="002744B0" w:rsidP="002744B0">
      <w:pPr>
        <w:pStyle w:val="Bibliography"/>
        <w:rPr>
          <w:rFonts w:cs="Tahoma"/>
        </w:rPr>
      </w:pPr>
      <w:proofErr w:type="spellStart"/>
      <w:r w:rsidRPr="002744B0">
        <w:rPr>
          <w:rFonts w:cs="Tahoma"/>
        </w:rPr>
        <w:t>Norenberg</w:t>
      </w:r>
      <w:proofErr w:type="spellEnd"/>
      <w:r w:rsidRPr="002744B0">
        <w:rPr>
          <w:rFonts w:cs="Tahoma"/>
        </w:rPr>
        <w:t xml:space="preserve">, Michael D., et al. “The Pathology of Human Spinal Cord Injury: Defining the Problems.” </w:t>
      </w:r>
      <w:r w:rsidRPr="002744B0">
        <w:rPr>
          <w:rFonts w:cs="Tahoma"/>
          <w:i/>
          <w:iCs/>
        </w:rPr>
        <w:t>Journal of Neurotrauma</w:t>
      </w:r>
      <w:r w:rsidRPr="002744B0">
        <w:rPr>
          <w:rFonts w:cs="Tahoma"/>
        </w:rPr>
        <w:t xml:space="preserve">, vol. 21, no. 4, Apr. 2004, pp. 429–40.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https://doi.org/10.1089/089771504323004575.</w:t>
      </w:r>
    </w:p>
    <w:p w14:paraId="65FAA1B9" w14:textId="77777777" w:rsidR="002744B0" w:rsidRPr="002744B0" w:rsidRDefault="002744B0" w:rsidP="002744B0">
      <w:pPr>
        <w:pStyle w:val="Bibliography"/>
        <w:rPr>
          <w:rFonts w:cs="Tahoma"/>
        </w:rPr>
      </w:pPr>
      <w:r w:rsidRPr="002744B0">
        <w:rPr>
          <w:rFonts w:cs="Tahoma"/>
        </w:rPr>
        <w:t xml:space="preserve">Qu, </w:t>
      </w:r>
      <w:proofErr w:type="spellStart"/>
      <w:r w:rsidRPr="002744B0">
        <w:rPr>
          <w:rFonts w:cs="Tahoma"/>
        </w:rPr>
        <w:t>Wenrui</w:t>
      </w:r>
      <w:proofErr w:type="spellEnd"/>
      <w:r w:rsidRPr="002744B0">
        <w:rPr>
          <w:rFonts w:cs="Tahoma"/>
        </w:rPr>
        <w:t xml:space="preserve">, et al. “Polymer-Based Scaffold Strategies for Spinal Cord Repair and Regeneration.” </w:t>
      </w:r>
      <w:r w:rsidRPr="002744B0">
        <w:rPr>
          <w:rFonts w:cs="Tahoma"/>
          <w:i/>
          <w:iCs/>
        </w:rPr>
        <w:t>Frontiers in Bioengineering and Biotechnology</w:t>
      </w:r>
      <w:r w:rsidRPr="002744B0">
        <w:rPr>
          <w:rFonts w:cs="Tahoma"/>
        </w:rPr>
        <w:t xml:space="preserve">, vol. 8, Oct. 2020, p. 590549. </w:t>
      </w:r>
      <w:r w:rsidRPr="002744B0">
        <w:rPr>
          <w:rFonts w:cs="Tahoma"/>
          <w:i/>
          <w:iCs/>
        </w:rPr>
        <w:t>PubMed Central</w:t>
      </w:r>
      <w:r w:rsidRPr="002744B0">
        <w:rPr>
          <w:rFonts w:cs="Tahoma"/>
        </w:rPr>
        <w:t>, https://doi.org/10.3389/fbioe.2020.590549.</w:t>
      </w:r>
    </w:p>
    <w:p w14:paraId="5B1B294C" w14:textId="77777777" w:rsidR="002744B0" w:rsidRPr="002744B0" w:rsidRDefault="002744B0" w:rsidP="002744B0">
      <w:pPr>
        <w:pStyle w:val="Bibliography"/>
        <w:rPr>
          <w:rFonts w:cs="Tahoma"/>
        </w:rPr>
      </w:pPr>
      <w:r w:rsidRPr="002744B0">
        <w:rPr>
          <w:rFonts w:cs="Tahoma"/>
        </w:rPr>
        <w:t xml:space="preserve">Reddy, M. Sai Bhargava, et al. “A Comparative Review of Natural and Synthetic Biopolymer Composite Scaffolds.” </w:t>
      </w:r>
      <w:r w:rsidRPr="002744B0">
        <w:rPr>
          <w:rFonts w:cs="Tahoma"/>
          <w:i/>
          <w:iCs/>
        </w:rPr>
        <w:t>Polymers</w:t>
      </w:r>
      <w:r w:rsidRPr="002744B0">
        <w:rPr>
          <w:rFonts w:cs="Tahoma"/>
        </w:rPr>
        <w:t xml:space="preserve">, vol. 13, no. 7, Mar. 2021, p. 1105.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https://doi.org/10.3390/polym13071105.</w:t>
      </w:r>
    </w:p>
    <w:p w14:paraId="3C0C2273" w14:textId="77777777" w:rsidR="002744B0" w:rsidRPr="002744B0" w:rsidRDefault="002744B0" w:rsidP="002744B0">
      <w:pPr>
        <w:pStyle w:val="Bibliography"/>
        <w:rPr>
          <w:rFonts w:cs="Tahoma"/>
        </w:rPr>
      </w:pPr>
      <w:r w:rsidRPr="002744B0">
        <w:rPr>
          <w:rFonts w:cs="Tahoma"/>
        </w:rPr>
        <w:t xml:space="preserve">Rivera, Teresa, et al. “Human‐Induced Pluripotent Stem Cell Culture Methods Under CGMP Conditions.” </w:t>
      </w:r>
      <w:r w:rsidRPr="002744B0">
        <w:rPr>
          <w:rFonts w:cs="Tahoma"/>
          <w:i/>
          <w:iCs/>
        </w:rPr>
        <w:t>Current Protocols in Stem Cell Biology</w:t>
      </w:r>
      <w:r w:rsidRPr="002744B0">
        <w:rPr>
          <w:rFonts w:cs="Tahoma"/>
        </w:rPr>
        <w:t xml:space="preserve">, vol. 54, no. 1, Sept. 2020, p. e117. </w:t>
      </w:r>
      <w:r w:rsidRPr="002744B0">
        <w:rPr>
          <w:rFonts w:cs="Tahoma"/>
          <w:i/>
          <w:iCs/>
        </w:rPr>
        <w:t>PubMed Central</w:t>
      </w:r>
      <w:r w:rsidRPr="002744B0">
        <w:rPr>
          <w:rFonts w:cs="Tahoma"/>
        </w:rPr>
        <w:t>, https://doi.org/10.1002/cpsc.117.</w:t>
      </w:r>
    </w:p>
    <w:p w14:paraId="38926773" w14:textId="77777777" w:rsidR="002744B0" w:rsidRPr="002744B0" w:rsidRDefault="002744B0" w:rsidP="002744B0">
      <w:pPr>
        <w:pStyle w:val="Bibliography"/>
        <w:rPr>
          <w:rFonts w:cs="Tahoma"/>
        </w:rPr>
      </w:pPr>
      <w:r w:rsidRPr="002744B0">
        <w:rPr>
          <w:rFonts w:cs="Tahoma"/>
        </w:rPr>
        <w:t xml:space="preserve">Speight, James G. “Monomers, Polymers, and Plastics.” </w:t>
      </w:r>
      <w:r w:rsidRPr="002744B0">
        <w:rPr>
          <w:rFonts w:cs="Tahoma"/>
          <w:i/>
          <w:iCs/>
        </w:rPr>
        <w:t>Handbook of Industrial Hydrocarbon Processes</w:t>
      </w:r>
      <w:r w:rsidRPr="002744B0">
        <w:rPr>
          <w:rFonts w:cs="Tahoma"/>
        </w:rPr>
        <w:t xml:space="preserve">, Elsevier, 2020, pp. 597–649.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https://doi.org/10.1016/B978-0-12-809923-0.00014-X.</w:t>
      </w:r>
    </w:p>
    <w:p w14:paraId="6397802A" w14:textId="77777777" w:rsidR="002744B0" w:rsidRPr="002744B0" w:rsidRDefault="002744B0" w:rsidP="002744B0">
      <w:pPr>
        <w:pStyle w:val="Bibliography"/>
        <w:rPr>
          <w:rFonts w:cs="Tahoma"/>
        </w:rPr>
      </w:pPr>
      <w:r w:rsidRPr="002744B0">
        <w:rPr>
          <w:rFonts w:cs="Tahoma"/>
        </w:rPr>
        <w:t xml:space="preserve">Tang, S. K., et al. “Redirection of Doublecortin-Positive Cell Migration by over-Expression of the Chemokines MCP-1, MIP-1α and GRO-α in the Adult Rat Brain.” </w:t>
      </w:r>
      <w:r w:rsidRPr="002744B0">
        <w:rPr>
          <w:rFonts w:cs="Tahoma"/>
          <w:i/>
          <w:iCs/>
        </w:rPr>
        <w:t>Neuroscience</w:t>
      </w:r>
      <w:r w:rsidRPr="002744B0">
        <w:rPr>
          <w:rFonts w:cs="Tahoma"/>
        </w:rPr>
        <w:t xml:space="preserve">, vol. </w:t>
      </w:r>
      <w:r w:rsidRPr="002744B0">
        <w:rPr>
          <w:rFonts w:cs="Tahoma"/>
        </w:rPr>
        <w:lastRenderedPageBreak/>
        <w:t xml:space="preserve">260, Feb. 2014, pp. 240–48.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https://doi.org/10.1016/j.neuroscience.2013.12.022.</w:t>
      </w:r>
    </w:p>
    <w:p w14:paraId="461CBFD9" w14:textId="77777777" w:rsidR="002744B0" w:rsidRPr="002744B0" w:rsidRDefault="002744B0" w:rsidP="002744B0">
      <w:pPr>
        <w:pStyle w:val="Bibliography"/>
        <w:rPr>
          <w:rFonts w:cs="Tahoma"/>
        </w:rPr>
      </w:pPr>
      <w:proofErr w:type="spellStart"/>
      <w:r w:rsidRPr="002744B0">
        <w:rPr>
          <w:rFonts w:cs="Tahoma"/>
        </w:rPr>
        <w:t>Valković</w:t>
      </w:r>
      <w:proofErr w:type="spellEnd"/>
      <w:r w:rsidRPr="002744B0">
        <w:rPr>
          <w:rFonts w:cs="Tahoma"/>
        </w:rPr>
        <w:t xml:space="preserve">, Toni, et al. “Plasma Levels of Monocyte Chemotactic Protein-1 Are Associated with Clinical Features and Angiogenesis in Patients with Multiple Myeloma.” </w:t>
      </w:r>
      <w:r w:rsidRPr="002744B0">
        <w:rPr>
          <w:rFonts w:cs="Tahoma"/>
          <w:i/>
          <w:iCs/>
        </w:rPr>
        <w:t>BioMed Research International</w:t>
      </w:r>
      <w:r w:rsidRPr="002744B0">
        <w:rPr>
          <w:rFonts w:cs="Tahoma"/>
        </w:rPr>
        <w:t xml:space="preserve">, vol. 2016, 2016, pp. 1–7.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https://doi.org/10.1155/2016/7870590.</w:t>
      </w:r>
    </w:p>
    <w:p w14:paraId="57F8B395" w14:textId="77777777" w:rsidR="002744B0" w:rsidRPr="002744B0" w:rsidRDefault="002744B0" w:rsidP="002744B0">
      <w:pPr>
        <w:pStyle w:val="Bibliography"/>
        <w:rPr>
          <w:rFonts w:cs="Tahoma"/>
        </w:rPr>
      </w:pPr>
      <w:r w:rsidRPr="002744B0">
        <w:rPr>
          <w:rFonts w:cs="Tahoma"/>
        </w:rPr>
        <w:t xml:space="preserve">Wang, Timothy Y., et al. “Management of Acute Traumatic Spinal Cord Injury: A Review of the Literature.” </w:t>
      </w:r>
      <w:r w:rsidRPr="002744B0">
        <w:rPr>
          <w:rFonts w:cs="Tahoma"/>
          <w:i/>
          <w:iCs/>
        </w:rPr>
        <w:t>Frontiers in Surgery</w:t>
      </w:r>
      <w:r w:rsidRPr="002744B0">
        <w:rPr>
          <w:rFonts w:cs="Tahoma"/>
        </w:rPr>
        <w:t xml:space="preserve">, vol. 8, Dec. 2021, p. 698736. </w:t>
      </w:r>
      <w:r w:rsidRPr="002744B0">
        <w:rPr>
          <w:rFonts w:cs="Tahoma"/>
          <w:i/>
          <w:iCs/>
        </w:rPr>
        <w:t>PubMed Central</w:t>
      </w:r>
      <w:r w:rsidRPr="002744B0">
        <w:rPr>
          <w:rFonts w:cs="Tahoma"/>
        </w:rPr>
        <w:t>, https://doi.org/10.3389/fsurg.2021.698736.</w:t>
      </w:r>
    </w:p>
    <w:p w14:paraId="7B0E4D77" w14:textId="77777777" w:rsidR="002744B0" w:rsidRPr="002744B0" w:rsidRDefault="002744B0" w:rsidP="002744B0">
      <w:pPr>
        <w:pStyle w:val="Bibliography"/>
        <w:rPr>
          <w:rFonts w:cs="Tahoma"/>
        </w:rPr>
      </w:pPr>
      <w:proofErr w:type="spellStart"/>
      <w:r w:rsidRPr="002744B0">
        <w:rPr>
          <w:rFonts w:cs="Tahoma"/>
        </w:rPr>
        <w:t>Wąsik</w:t>
      </w:r>
      <w:proofErr w:type="spellEnd"/>
      <w:r w:rsidRPr="002744B0">
        <w:rPr>
          <w:rFonts w:cs="Tahoma"/>
        </w:rPr>
        <w:t>, Norbert, et al. “</w:t>
      </w:r>
      <w:proofErr w:type="spellStart"/>
      <w:r w:rsidRPr="002744B0">
        <w:rPr>
          <w:rFonts w:cs="Tahoma"/>
        </w:rPr>
        <w:t>Clusterin</w:t>
      </w:r>
      <w:proofErr w:type="spellEnd"/>
      <w:r w:rsidRPr="002744B0">
        <w:rPr>
          <w:rFonts w:cs="Tahoma"/>
        </w:rPr>
        <w:t xml:space="preserve">, a New Cerebrospinal Fluid Biomarker in Severe Subarachnoid Hemorrhage: A Pilot Study.” </w:t>
      </w:r>
      <w:r w:rsidRPr="002744B0">
        <w:rPr>
          <w:rFonts w:cs="Tahoma"/>
          <w:i/>
          <w:iCs/>
        </w:rPr>
        <w:t>World Neurosurgery</w:t>
      </w:r>
      <w:r w:rsidRPr="002744B0">
        <w:rPr>
          <w:rFonts w:cs="Tahoma"/>
        </w:rPr>
        <w:t xml:space="preserve">, vol. 107, Nov. 2017, pp. 424–28.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https://doi.org/10.1016/j.wneu.2017.08.006.</w:t>
      </w:r>
    </w:p>
    <w:p w14:paraId="6EBED579" w14:textId="77777777" w:rsidR="002744B0" w:rsidRPr="002744B0" w:rsidRDefault="002744B0" w:rsidP="002744B0">
      <w:pPr>
        <w:pStyle w:val="Bibliography"/>
        <w:rPr>
          <w:rFonts w:cs="Tahoma"/>
        </w:rPr>
      </w:pPr>
      <w:r w:rsidRPr="002744B0">
        <w:rPr>
          <w:rFonts w:cs="Tahoma"/>
        </w:rPr>
        <w:t xml:space="preserve">Wong, Jamie K., et al. “A Straight Alley Version of the BBB Locomotor Scale.” </w:t>
      </w:r>
      <w:r w:rsidRPr="002744B0">
        <w:rPr>
          <w:rFonts w:cs="Tahoma"/>
          <w:i/>
          <w:iCs/>
        </w:rPr>
        <w:t>Experimental Neurology</w:t>
      </w:r>
      <w:r w:rsidRPr="002744B0">
        <w:rPr>
          <w:rFonts w:cs="Tahoma"/>
        </w:rPr>
        <w:t xml:space="preserve">, vol. 217, no. 2, June 2009, pp. 417–20.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https://doi.org/10.1016/j.expneurol.2009.03.037.</w:t>
      </w:r>
    </w:p>
    <w:p w14:paraId="2A107DEB" w14:textId="77777777" w:rsidR="002744B0" w:rsidRPr="002744B0" w:rsidRDefault="002744B0" w:rsidP="002744B0">
      <w:pPr>
        <w:pStyle w:val="Bibliography"/>
        <w:rPr>
          <w:rFonts w:cs="Tahoma"/>
        </w:rPr>
      </w:pPr>
      <w:proofErr w:type="spellStart"/>
      <w:r w:rsidRPr="002744B0">
        <w:rPr>
          <w:rFonts w:cs="Tahoma"/>
        </w:rPr>
        <w:t>Yoshitani</w:t>
      </w:r>
      <w:proofErr w:type="spellEnd"/>
      <w:r w:rsidRPr="002744B0">
        <w:rPr>
          <w:rFonts w:cs="Tahoma"/>
        </w:rPr>
        <w:t xml:space="preserve">, Kenji, et al. “Cerebrospinal Fluid Drainage to Prevent Postoperative Spinal Cord Injury in Thoracic Aortic Repair.” </w:t>
      </w:r>
      <w:r w:rsidRPr="002744B0">
        <w:rPr>
          <w:rFonts w:cs="Tahoma"/>
          <w:i/>
          <w:iCs/>
        </w:rPr>
        <w:t>Journal of Anesthesia</w:t>
      </w:r>
      <w:r w:rsidRPr="002744B0">
        <w:rPr>
          <w:rFonts w:cs="Tahoma"/>
        </w:rPr>
        <w:t xml:space="preserve">, vol. 35, no. 1, Feb. 2021, pp. 43–50. </w:t>
      </w:r>
      <w:r w:rsidRPr="002744B0">
        <w:rPr>
          <w:rFonts w:cs="Tahoma"/>
          <w:i/>
          <w:iCs/>
        </w:rPr>
        <w:t>DOI.org (</w:t>
      </w:r>
      <w:proofErr w:type="spellStart"/>
      <w:r w:rsidRPr="002744B0">
        <w:rPr>
          <w:rFonts w:cs="Tahoma"/>
          <w:i/>
          <w:iCs/>
        </w:rPr>
        <w:t>Crossref</w:t>
      </w:r>
      <w:proofErr w:type="spellEnd"/>
      <w:r w:rsidRPr="002744B0">
        <w:rPr>
          <w:rFonts w:cs="Tahoma"/>
          <w:i/>
          <w:iCs/>
        </w:rPr>
        <w:t>)</w:t>
      </w:r>
      <w:r w:rsidRPr="002744B0">
        <w:rPr>
          <w:rFonts w:cs="Tahoma"/>
        </w:rPr>
        <w:t>, https://doi.org/10.1007/s00540-020-02857-w.</w:t>
      </w:r>
    </w:p>
    <w:p w14:paraId="55BB56B1" w14:textId="77777777" w:rsidR="002744B0" w:rsidRPr="002744B0" w:rsidRDefault="002744B0" w:rsidP="002744B0">
      <w:pPr>
        <w:pStyle w:val="Bibliography"/>
        <w:rPr>
          <w:rFonts w:cs="Tahoma"/>
        </w:rPr>
      </w:pPr>
      <w:r w:rsidRPr="002744B0">
        <w:rPr>
          <w:rFonts w:cs="Tahoma"/>
        </w:rPr>
        <w:t>Zou, Hong-</w:t>
      </w:r>
      <w:proofErr w:type="spellStart"/>
      <w:r w:rsidRPr="002744B0">
        <w:rPr>
          <w:rFonts w:cs="Tahoma"/>
        </w:rPr>
        <w:t>jun</w:t>
      </w:r>
      <w:proofErr w:type="spellEnd"/>
      <w:r w:rsidRPr="002744B0">
        <w:rPr>
          <w:rFonts w:cs="Tahoma"/>
        </w:rPr>
        <w:t xml:space="preserve">, et al. “Methylprednisolone Induces Neuro-Protective Effects via the Inhibition of A1 Astrocyte Activation in Traumatic Spinal Cord Injury Mouse Models.” </w:t>
      </w:r>
      <w:r w:rsidRPr="002744B0">
        <w:rPr>
          <w:rFonts w:cs="Tahoma"/>
          <w:i/>
          <w:iCs/>
        </w:rPr>
        <w:t>Frontiers in Neuroscience</w:t>
      </w:r>
      <w:r w:rsidRPr="002744B0">
        <w:rPr>
          <w:rFonts w:cs="Tahoma"/>
        </w:rPr>
        <w:t xml:space="preserve">, vol. 15, 2021. </w:t>
      </w:r>
      <w:r w:rsidRPr="002744B0">
        <w:rPr>
          <w:rFonts w:cs="Tahoma"/>
          <w:i/>
          <w:iCs/>
        </w:rPr>
        <w:t>Frontiers</w:t>
      </w:r>
      <w:r w:rsidRPr="002744B0">
        <w:rPr>
          <w:rFonts w:cs="Tahoma"/>
        </w:rPr>
        <w:t>, https://www.frontiersin.org/articles/10.3389/fnins.2021.628917.</w:t>
      </w:r>
    </w:p>
    <w:p w14:paraId="7E72509E" w14:textId="00100E50" w:rsidR="00040E46" w:rsidRPr="00040E46" w:rsidRDefault="006C65A9" w:rsidP="00C01956">
      <w:pPr>
        <w:spacing w:before="120"/>
      </w:pPr>
      <w:r>
        <w:lastRenderedPageBreak/>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7B940" w14:textId="77777777" w:rsidR="00DD5E41" w:rsidRDefault="00DD5E41" w:rsidP="00B657A0">
      <w:r>
        <w:separator/>
      </w:r>
    </w:p>
  </w:endnote>
  <w:endnote w:type="continuationSeparator" w:id="0">
    <w:p w14:paraId="5440F788" w14:textId="77777777" w:rsidR="00DD5E41" w:rsidRDefault="00DD5E41" w:rsidP="00B657A0">
      <w:r>
        <w:continuationSeparator/>
      </w:r>
    </w:p>
  </w:endnote>
  <w:endnote w:type="continuationNotice" w:id="1">
    <w:p w14:paraId="4C16973F" w14:textId="77777777" w:rsidR="00DD5E41" w:rsidRDefault="00DD5E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A5BE" w14:textId="77777777" w:rsidR="00DD5E41" w:rsidRDefault="00DD5E41" w:rsidP="00B657A0">
      <w:r>
        <w:separator/>
      </w:r>
    </w:p>
  </w:footnote>
  <w:footnote w:type="continuationSeparator" w:id="0">
    <w:p w14:paraId="71525570" w14:textId="77777777" w:rsidR="00DD5E41" w:rsidRDefault="00DD5E41" w:rsidP="00B657A0">
      <w:r>
        <w:continuationSeparator/>
      </w:r>
    </w:p>
  </w:footnote>
  <w:footnote w:type="continuationNotice" w:id="1">
    <w:p w14:paraId="0E38E007" w14:textId="77777777" w:rsidR="00DD5E41" w:rsidRDefault="00DD5E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F4D4A"/>
    <w:multiLevelType w:val="hybridMultilevel"/>
    <w:tmpl w:val="97586F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5"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7"/>
  </w:num>
  <w:num w:numId="2" w16cid:durableId="591012818">
    <w:abstractNumId w:val="30"/>
  </w:num>
  <w:num w:numId="3" w16cid:durableId="179856923">
    <w:abstractNumId w:val="3"/>
  </w:num>
  <w:num w:numId="4" w16cid:durableId="3915848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0"/>
  </w:num>
  <w:num w:numId="7" w16cid:durableId="2132432314">
    <w:abstractNumId w:val="2"/>
  </w:num>
  <w:num w:numId="8" w16cid:durableId="1193693858">
    <w:abstractNumId w:val="1"/>
  </w:num>
  <w:num w:numId="9" w16cid:durableId="803236281">
    <w:abstractNumId w:val="22"/>
  </w:num>
  <w:num w:numId="10" w16cid:durableId="1214929145">
    <w:abstractNumId w:val="22"/>
  </w:num>
  <w:num w:numId="11" w16cid:durableId="1534925248">
    <w:abstractNumId w:val="24"/>
  </w:num>
  <w:num w:numId="12" w16cid:durableId="1204631859">
    <w:abstractNumId w:val="18"/>
  </w:num>
  <w:num w:numId="13" w16cid:durableId="1999653488">
    <w:abstractNumId w:val="11"/>
  </w:num>
  <w:num w:numId="14" w16cid:durableId="1948655657">
    <w:abstractNumId w:val="35"/>
  </w:num>
  <w:num w:numId="15" w16cid:durableId="1426876100">
    <w:abstractNumId w:val="26"/>
  </w:num>
  <w:num w:numId="16" w16cid:durableId="148448031">
    <w:abstractNumId w:val="13"/>
  </w:num>
  <w:num w:numId="17" w16cid:durableId="432239574">
    <w:abstractNumId w:val="36"/>
  </w:num>
  <w:num w:numId="18" w16cid:durableId="1902785539">
    <w:abstractNumId w:val="9"/>
  </w:num>
  <w:num w:numId="19" w16cid:durableId="2016347357">
    <w:abstractNumId w:val="16"/>
  </w:num>
  <w:num w:numId="20" w16cid:durableId="1604259620">
    <w:abstractNumId w:val="34"/>
  </w:num>
  <w:num w:numId="21" w16cid:durableId="1341661621">
    <w:abstractNumId w:val="33"/>
  </w:num>
  <w:num w:numId="22" w16cid:durableId="788007871">
    <w:abstractNumId w:val="27"/>
  </w:num>
  <w:num w:numId="23" w16cid:durableId="1463157998">
    <w:abstractNumId w:val="20"/>
  </w:num>
  <w:num w:numId="24" w16cid:durableId="1260681482">
    <w:abstractNumId w:val="21"/>
  </w:num>
  <w:num w:numId="25" w16cid:durableId="1969161413">
    <w:abstractNumId w:val="8"/>
  </w:num>
  <w:num w:numId="26" w16cid:durableId="1839885816">
    <w:abstractNumId w:val="5"/>
  </w:num>
  <w:num w:numId="27" w16cid:durableId="1730300100">
    <w:abstractNumId w:val="15"/>
  </w:num>
  <w:num w:numId="28" w16cid:durableId="1711765807">
    <w:abstractNumId w:val="23"/>
  </w:num>
  <w:num w:numId="29" w16cid:durableId="2130008031">
    <w:abstractNumId w:val="28"/>
  </w:num>
  <w:num w:numId="30" w16cid:durableId="1154377883">
    <w:abstractNumId w:val="25"/>
  </w:num>
  <w:num w:numId="31" w16cid:durableId="1266425856">
    <w:abstractNumId w:val="19"/>
  </w:num>
  <w:num w:numId="32" w16cid:durableId="1850872283">
    <w:abstractNumId w:val="12"/>
  </w:num>
  <w:num w:numId="33" w16cid:durableId="687414347">
    <w:abstractNumId w:val="6"/>
  </w:num>
  <w:num w:numId="34" w16cid:durableId="313729409">
    <w:abstractNumId w:val="7"/>
  </w:num>
  <w:num w:numId="35" w16cid:durableId="125003735">
    <w:abstractNumId w:val="29"/>
  </w:num>
  <w:num w:numId="36" w16cid:durableId="1622567168">
    <w:abstractNumId w:val="31"/>
  </w:num>
  <w:num w:numId="37" w16cid:durableId="556285773">
    <w:abstractNumId w:val="14"/>
  </w:num>
  <w:num w:numId="38" w16cid:durableId="1016425218">
    <w:abstractNumId w:val="32"/>
  </w:num>
  <w:num w:numId="39" w16cid:durableId="1404329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17329"/>
    <w:rsid w:val="0002235C"/>
    <w:rsid w:val="000268CD"/>
    <w:rsid w:val="00027200"/>
    <w:rsid w:val="00027881"/>
    <w:rsid w:val="0003264A"/>
    <w:rsid w:val="00035E18"/>
    <w:rsid w:val="0003722B"/>
    <w:rsid w:val="00040E46"/>
    <w:rsid w:val="0004712D"/>
    <w:rsid w:val="00050DA8"/>
    <w:rsid w:val="00053B22"/>
    <w:rsid w:val="00054FDF"/>
    <w:rsid w:val="00055522"/>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4555"/>
    <w:rsid w:val="00164AE3"/>
    <w:rsid w:val="00165462"/>
    <w:rsid w:val="00166392"/>
    <w:rsid w:val="00166E18"/>
    <w:rsid w:val="0016738D"/>
    <w:rsid w:val="00167B74"/>
    <w:rsid w:val="00173878"/>
    <w:rsid w:val="00173B03"/>
    <w:rsid w:val="00173FC6"/>
    <w:rsid w:val="001742C2"/>
    <w:rsid w:val="00176318"/>
    <w:rsid w:val="00185A64"/>
    <w:rsid w:val="00186157"/>
    <w:rsid w:val="0018724C"/>
    <w:rsid w:val="001914DC"/>
    <w:rsid w:val="0019368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7BF3"/>
    <w:rsid w:val="00264668"/>
    <w:rsid w:val="00270D49"/>
    <w:rsid w:val="00270D5F"/>
    <w:rsid w:val="00274369"/>
    <w:rsid w:val="002744B0"/>
    <w:rsid w:val="00277DDB"/>
    <w:rsid w:val="00281D3C"/>
    <w:rsid w:val="002849BA"/>
    <w:rsid w:val="00284F4A"/>
    <w:rsid w:val="00286FCE"/>
    <w:rsid w:val="00291652"/>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28B6"/>
    <w:rsid w:val="00426977"/>
    <w:rsid w:val="004323E3"/>
    <w:rsid w:val="0043376A"/>
    <w:rsid w:val="0043561A"/>
    <w:rsid w:val="00435DB5"/>
    <w:rsid w:val="0043784F"/>
    <w:rsid w:val="00440E19"/>
    <w:rsid w:val="004434B5"/>
    <w:rsid w:val="00447F35"/>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867"/>
    <w:rsid w:val="00692C82"/>
    <w:rsid w:val="00694B8F"/>
    <w:rsid w:val="00695F22"/>
    <w:rsid w:val="006A11B0"/>
    <w:rsid w:val="006B3EA5"/>
    <w:rsid w:val="006B46C8"/>
    <w:rsid w:val="006B7A31"/>
    <w:rsid w:val="006C0E35"/>
    <w:rsid w:val="006C1B0D"/>
    <w:rsid w:val="006C4359"/>
    <w:rsid w:val="006C65A9"/>
    <w:rsid w:val="006D05FF"/>
    <w:rsid w:val="006D6FA5"/>
    <w:rsid w:val="006D7727"/>
    <w:rsid w:val="006E340F"/>
    <w:rsid w:val="006E6CBE"/>
    <w:rsid w:val="006E7ED4"/>
    <w:rsid w:val="006F17F3"/>
    <w:rsid w:val="006F59A9"/>
    <w:rsid w:val="006F6478"/>
    <w:rsid w:val="006F7A1E"/>
    <w:rsid w:val="0070184A"/>
    <w:rsid w:val="007038F4"/>
    <w:rsid w:val="00704C03"/>
    <w:rsid w:val="00712BC3"/>
    <w:rsid w:val="00712E49"/>
    <w:rsid w:val="007146E7"/>
    <w:rsid w:val="0071512D"/>
    <w:rsid w:val="007176BB"/>
    <w:rsid w:val="00717C99"/>
    <w:rsid w:val="007204BA"/>
    <w:rsid w:val="007211E2"/>
    <w:rsid w:val="007217F7"/>
    <w:rsid w:val="00721831"/>
    <w:rsid w:val="007228F1"/>
    <w:rsid w:val="0072446E"/>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29F3"/>
    <w:rsid w:val="00823809"/>
    <w:rsid w:val="0082447C"/>
    <w:rsid w:val="00825603"/>
    <w:rsid w:val="008267EC"/>
    <w:rsid w:val="008333C8"/>
    <w:rsid w:val="00833E3B"/>
    <w:rsid w:val="00836330"/>
    <w:rsid w:val="008425D1"/>
    <w:rsid w:val="00843423"/>
    <w:rsid w:val="0084541D"/>
    <w:rsid w:val="0085081A"/>
    <w:rsid w:val="008508C2"/>
    <w:rsid w:val="0085459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3268"/>
    <w:rsid w:val="008A3B7E"/>
    <w:rsid w:val="008A3BCC"/>
    <w:rsid w:val="008A5292"/>
    <w:rsid w:val="008A5518"/>
    <w:rsid w:val="008B1806"/>
    <w:rsid w:val="008B7517"/>
    <w:rsid w:val="008C71B6"/>
    <w:rsid w:val="008D69E8"/>
    <w:rsid w:val="008E06ED"/>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644"/>
    <w:rsid w:val="009549B9"/>
    <w:rsid w:val="009551D4"/>
    <w:rsid w:val="00955CB3"/>
    <w:rsid w:val="00955D45"/>
    <w:rsid w:val="009573F6"/>
    <w:rsid w:val="009630D3"/>
    <w:rsid w:val="009655D2"/>
    <w:rsid w:val="00971BC3"/>
    <w:rsid w:val="00974719"/>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63117"/>
    <w:rsid w:val="00A63BB5"/>
    <w:rsid w:val="00A654DD"/>
    <w:rsid w:val="00A661AF"/>
    <w:rsid w:val="00A6627B"/>
    <w:rsid w:val="00A73CAD"/>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3639"/>
    <w:rsid w:val="00AB586D"/>
    <w:rsid w:val="00AB5B69"/>
    <w:rsid w:val="00AC32EA"/>
    <w:rsid w:val="00AC6117"/>
    <w:rsid w:val="00AD1558"/>
    <w:rsid w:val="00AD39C5"/>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23D1D"/>
    <w:rsid w:val="00B26C43"/>
    <w:rsid w:val="00B30A1C"/>
    <w:rsid w:val="00B30E39"/>
    <w:rsid w:val="00B32730"/>
    <w:rsid w:val="00B33494"/>
    <w:rsid w:val="00B34F52"/>
    <w:rsid w:val="00B350C7"/>
    <w:rsid w:val="00B4237E"/>
    <w:rsid w:val="00B43888"/>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FBB"/>
    <w:rsid w:val="00BD72E9"/>
    <w:rsid w:val="00BD744B"/>
    <w:rsid w:val="00BD77E3"/>
    <w:rsid w:val="00BF1759"/>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1735"/>
    <w:rsid w:val="00DA1E60"/>
    <w:rsid w:val="00DA2185"/>
    <w:rsid w:val="00DA5E05"/>
    <w:rsid w:val="00DB0621"/>
    <w:rsid w:val="00DB3B67"/>
    <w:rsid w:val="00DB5664"/>
    <w:rsid w:val="00DB5905"/>
    <w:rsid w:val="00DC054F"/>
    <w:rsid w:val="00DC4173"/>
    <w:rsid w:val="00DD05AB"/>
    <w:rsid w:val="00DD0642"/>
    <w:rsid w:val="00DD15DF"/>
    <w:rsid w:val="00DD1AA7"/>
    <w:rsid w:val="00DD2DB1"/>
    <w:rsid w:val="00DD3ED7"/>
    <w:rsid w:val="00DD4975"/>
    <w:rsid w:val="00DD5E41"/>
    <w:rsid w:val="00DD5EA3"/>
    <w:rsid w:val="00DD5EA9"/>
    <w:rsid w:val="00DD7760"/>
    <w:rsid w:val="00DD7A4A"/>
    <w:rsid w:val="00DE28EB"/>
    <w:rsid w:val="00DE2D2F"/>
    <w:rsid w:val="00DF11B6"/>
    <w:rsid w:val="00DF1464"/>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597E"/>
    <w:rsid w:val="00E85F8C"/>
    <w:rsid w:val="00E91DBE"/>
    <w:rsid w:val="00E925DF"/>
    <w:rsid w:val="00E9261C"/>
    <w:rsid w:val="00E94693"/>
    <w:rsid w:val="00E96AA1"/>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B65"/>
    <w:rsid w:val="00F940BC"/>
    <w:rsid w:val="00F95EB6"/>
    <w:rsid w:val="00FA181F"/>
    <w:rsid w:val="00FB00AB"/>
    <w:rsid w:val="00FB251D"/>
    <w:rsid w:val="00FB2E7F"/>
    <w:rsid w:val="00FB7F51"/>
    <w:rsid w:val="00FC1B4A"/>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59</TotalTime>
  <Pages>18</Pages>
  <Words>15965</Words>
  <Characters>91003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106755</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18</cp:revision>
  <cp:lastPrinted>2022-10-26T01:11:00Z</cp:lastPrinted>
  <dcterms:created xsi:type="dcterms:W3CDTF">2022-10-26T01:11:00Z</dcterms:created>
  <dcterms:modified xsi:type="dcterms:W3CDTF">2022-10-29T15:31:00Z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id="VfsAxa5j"/&gt;&lt;style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