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74771E">
            <w:pPr>
              <w:pStyle w:val="JHEPBody"/>
              <w:numPr>
                <w:ilvl w:val="0"/>
                <w:numId w:val="30"/>
              </w:numPr>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432202F8" w:rsidR="00027200" w:rsidRPr="00E24020" w:rsidRDefault="00E8597E" w:rsidP="00CB51C6">
            <w:pPr>
              <w:pStyle w:val="JHEPBody"/>
              <w:rPr>
                <w:b/>
                <w:bCs/>
                <w:sz w:val="20"/>
                <w:szCs w:val="20"/>
                <w:lang w:bidi="en-US"/>
              </w:rPr>
            </w:pPr>
            <w:r w:rsidRPr="00E24020">
              <w:rPr>
                <w:b/>
                <w:sz w:val="20"/>
                <w:szCs w:val="20"/>
                <w:lang w:bidi="en-US"/>
              </w:rPr>
              <w:t>Mean Arterial Blood Pressure</w:t>
            </w:r>
            <w:r>
              <w:rPr>
                <w:bCs/>
                <w:sz w:val="20"/>
                <w:szCs w:val="20"/>
                <w:lang w:bidi="en-US"/>
              </w:rPr>
              <w:t xml:space="preserve"> (</w:t>
            </w:r>
            <w:r w:rsidRPr="00E8597E">
              <w:rPr>
                <w:b/>
                <w:sz w:val="20"/>
                <w:szCs w:val="20"/>
                <w:lang w:bidi="en-US"/>
              </w:rPr>
              <w:t>MABP</w:t>
            </w:r>
            <w:r>
              <w:rPr>
                <w:bCs/>
                <w:sz w:val="20"/>
                <w:szCs w:val="20"/>
                <w:lang w:bidi="en-US"/>
              </w:rPr>
              <w:t>)</w:t>
            </w:r>
          </w:p>
          <w:p w14:paraId="2E286DE9" w14:textId="6D2F1889" w:rsidR="00027200" w:rsidRPr="00773149" w:rsidRDefault="00E8597E" w:rsidP="00CB51C6">
            <w:pPr>
              <w:pStyle w:val="JHEPBody"/>
              <w:rPr>
                <w:bCs/>
                <w:sz w:val="20"/>
                <w:szCs w:val="20"/>
                <w:lang w:bidi="en-US"/>
              </w:rPr>
            </w:pPr>
            <w:r>
              <w:rPr>
                <w:bCs/>
                <w:sz w:val="20"/>
                <w:szCs w:val="20"/>
                <w:lang w:bidi="en-US"/>
              </w:rPr>
              <w:t>Spinal Cord Blood Flow (SCBF) = MABP/vascular resi</w:t>
            </w:r>
            <w:r w:rsidR="00395DB1">
              <w:rPr>
                <w:bCs/>
                <w:sz w:val="20"/>
                <w:szCs w:val="20"/>
                <w:lang w:bidi="en-US"/>
              </w:rPr>
              <w:t>s</w:t>
            </w:r>
            <w:r>
              <w:rPr>
                <w:bCs/>
                <w:sz w:val="20"/>
                <w:szCs w:val="20"/>
                <w:lang w:bidi="en-US"/>
              </w:rPr>
              <w:t>tance</w:t>
            </w:r>
          </w:p>
        </w:tc>
        <w:tc>
          <w:tcPr>
            <w:tcW w:w="940" w:type="pct"/>
          </w:tcPr>
          <w:p w14:paraId="600D511E" w14:textId="33B0AA8D" w:rsidR="00027200" w:rsidRPr="00773149" w:rsidRDefault="00EA3E7B" w:rsidP="00521A6B">
            <w:pPr>
              <w:pStyle w:val="JHEPBody"/>
              <w:ind w:left="106"/>
              <w:jc w:val="center"/>
              <w:rPr>
                <w:bCs/>
                <w:sz w:val="20"/>
                <w:szCs w:val="20"/>
                <w:lang w:bidi="en-US"/>
              </w:rPr>
            </w:pPr>
            <w:r>
              <w:rPr>
                <w:bCs/>
                <w:sz w:val="20"/>
                <w:szCs w:val="20"/>
                <w:lang w:bidi="en-US"/>
              </w:rPr>
              <w:t>mmHg</w:t>
            </w:r>
          </w:p>
        </w:tc>
        <w:tc>
          <w:tcPr>
            <w:tcW w:w="1022" w:type="pct"/>
          </w:tcPr>
          <w:p w14:paraId="79EDE50E" w14:textId="45A52FFF" w:rsidR="00027200" w:rsidRPr="00773149" w:rsidRDefault="00EA3E7B" w:rsidP="00521A6B">
            <w:pPr>
              <w:pStyle w:val="JHEPBody"/>
              <w:jc w:val="center"/>
              <w:rPr>
                <w:bCs/>
                <w:sz w:val="20"/>
                <w:szCs w:val="20"/>
                <w:lang w:bidi="en-US"/>
              </w:rPr>
            </w:pPr>
            <w:r>
              <w:rPr>
                <w:bCs/>
                <w:sz w:val="20"/>
                <w:szCs w:val="20"/>
                <w:lang w:bidi="en-US"/>
              </w:rPr>
              <w:t>[70, 100]</w:t>
            </w:r>
          </w:p>
        </w:tc>
        <w:tc>
          <w:tcPr>
            <w:tcW w:w="826" w:type="pct"/>
          </w:tcPr>
          <w:p w14:paraId="2C43172A" w14:textId="77777777" w:rsidR="00027200" w:rsidRDefault="00E24020" w:rsidP="005F3322">
            <w:pPr>
              <w:pStyle w:val="JHEPBody"/>
              <w:rPr>
                <w:bCs/>
                <w:sz w:val="20"/>
                <w:szCs w:val="20"/>
                <w:lang w:bidi="en-US"/>
              </w:rPr>
            </w:pPr>
            <w:r>
              <w:rPr>
                <w:bCs/>
                <w:sz w:val="20"/>
                <w:szCs w:val="20"/>
                <w:lang w:bidi="en-US"/>
              </w:rPr>
              <w:t>[MABP]</w:t>
            </w:r>
          </w:p>
          <w:p w14:paraId="647D3D90" w14:textId="43B19C14" w:rsidR="00E24020" w:rsidRPr="00773149" w:rsidRDefault="00E24020" w:rsidP="005F3322">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606C1B" w:rsidRPr="00773149" w14:paraId="38889070" w14:textId="77777777" w:rsidTr="007146E7">
        <w:trPr>
          <w:trHeight w:val="1098"/>
        </w:trPr>
        <w:tc>
          <w:tcPr>
            <w:tcW w:w="2212" w:type="pct"/>
          </w:tcPr>
          <w:p w14:paraId="4928F6B9" w14:textId="6471302E" w:rsidR="0020795D" w:rsidRPr="00221293" w:rsidRDefault="0020795D" w:rsidP="00606C1B">
            <w:pPr>
              <w:pStyle w:val="JHEPBody"/>
              <w:rPr>
                <w:b/>
                <w:sz w:val="20"/>
                <w:szCs w:val="20"/>
                <w:lang w:bidi="en-US"/>
              </w:rPr>
            </w:pPr>
            <w:r w:rsidRPr="00221293">
              <w:rPr>
                <w:b/>
                <w:sz w:val="20"/>
                <w:szCs w:val="20"/>
                <w:lang w:bidi="en-US"/>
              </w:rPr>
              <w:t>C-reactive protein test</w:t>
            </w:r>
            <w:r w:rsidR="00221293" w:rsidRPr="00221293">
              <w:rPr>
                <w:b/>
                <w:sz w:val="20"/>
                <w:szCs w:val="20"/>
                <w:lang w:bidi="en-US"/>
              </w:rPr>
              <w:t xml:space="preserve"> (CRP)</w:t>
            </w:r>
          </w:p>
          <w:p w14:paraId="13C7A845" w14:textId="05CA5246" w:rsidR="00606C1B" w:rsidRPr="00773149" w:rsidRDefault="0020795D" w:rsidP="00606C1B">
            <w:pPr>
              <w:pStyle w:val="JHEPBody"/>
              <w:rPr>
                <w:b/>
                <w:bCs/>
                <w:sz w:val="20"/>
                <w:szCs w:val="20"/>
                <w:lang w:bidi="en-US"/>
              </w:rPr>
            </w:pPr>
            <w:r>
              <w:rPr>
                <w:bCs/>
                <w:sz w:val="20"/>
                <w:szCs w:val="20"/>
                <w:lang w:bidi="en-US"/>
              </w:rPr>
              <w:t>Check for inflammation due to infection</w:t>
            </w:r>
            <w:r w:rsidR="00606C1B">
              <w:rPr>
                <w:bCs/>
                <w:sz w:val="20"/>
                <w:szCs w:val="20"/>
                <w:lang w:bidi="en-US"/>
              </w:rPr>
              <w:t xml:space="preserve"> </w:t>
            </w:r>
          </w:p>
        </w:tc>
        <w:tc>
          <w:tcPr>
            <w:tcW w:w="940" w:type="pct"/>
          </w:tcPr>
          <w:p w14:paraId="6D8F12D7" w14:textId="6DB2C2C0" w:rsidR="00606C1B" w:rsidRPr="00773149" w:rsidRDefault="00D92BBD" w:rsidP="00874EBC">
            <w:pPr>
              <w:pStyle w:val="JHEPBody"/>
              <w:ind w:left="106"/>
              <w:jc w:val="center"/>
              <w:rPr>
                <w:bCs/>
                <w:sz w:val="20"/>
                <w:szCs w:val="20"/>
                <w:lang w:bidi="en-US"/>
              </w:rPr>
            </w:pPr>
            <w:r>
              <w:rPr>
                <w:bCs/>
                <w:sz w:val="20"/>
                <w:szCs w:val="20"/>
                <w:lang w:bidi="en-US"/>
              </w:rPr>
              <w:t>mg/L</w:t>
            </w:r>
          </w:p>
        </w:tc>
        <w:tc>
          <w:tcPr>
            <w:tcW w:w="1022" w:type="pct"/>
          </w:tcPr>
          <w:p w14:paraId="24D2AFA7" w14:textId="2FE3D2E4" w:rsidR="00606C1B" w:rsidRDefault="00874EBC" w:rsidP="00874EBC">
            <w:pPr>
              <w:pStyle w:val="JHEPBody"/>
              <w:jc w:val="center"/>
              <w:rPr>
                <w:bCs/>
                <w:sz w:val="20"/>
                <w:szCs w:val="20"/>
                <w:lang w:bidi="en-US"/>
              </w:rPr>
            </w:pPr>
            <w:r>
              <w:rPr>
                <w:bCs/>
                <w:sz w:val="20"/>
                <w:szCs w:val="20"/>
                <w:lang w:bidi="en-US"/>
              </w:rPr>
              <w:t>[</w:t>
            </w:r>
            <w:r w:rsidR="00A5422A" w:rsidRPr="007038F4">
              <w:rPr>
                <w:sz w:val="22"/>
              </w:rPr>
              <w:t>2.86</w:t>
            </w:r>
            <w:r w:rsidR="00A5422A">
              <w:rPr>
                <w:sz w:val="22"/>
              </w:rPr>
              <w:t xml:space="preserve">, </w:t>
            </w:r>
            <w:r>
              <w:rPr>
                <w:bCs/>
                <w:sz w:val="20"/>
                <w:szCs w:val="20"/>
                <w:lang w:bidi="en-US"/>
              </w:rPr>
              <w:t>3.36]</w:t>
            </w:r>
          </w:p>
        </w:tc>
        <w:tc>
          <w:tcPr>
            <w:tcW w:w="826" w:type="pct"/>
          </w:tcPr>
          <w:p w14:paraId="1A3D30DF" w14:textId="3081A10A" w:rsidR="00606C1B" w:rsidRPr="00495AEB" w:rsidRDefault="00495AEB" w:rsidP="00606C1B">
            <w:pPr>
              <w:pStyle w:val="JHEPBody"/>
              <w:rPr>
                <w:bCs/>
                <w:sz w:val="20"/>
                <w:szCs w:val="20"/>
                <w:lang w:bidi="en-US"/>
              </w:rPr>
            </w:pPr>
            <w:r>
              <w:rPr>
                <w:noProof/>
                <w:sz w:val="20"/>
                <w:szCs w:val="20"/>
              </w:rPr>
              <w:t>(</w:t>
            </w:r>
            <w:r w:rsidRPr="00495AEB">
              <w:rPr>
                <w:noProof/>
                <w:sz w:val="20"/>
                <w:szCs w:val="20"/>
              </w:rPr>
              <w:t>Kwiecien et al.</w:t>
            </w:r>
            <w:r>
              <w:rPr>
                <w:noProof/>
                <w:sz w:val="20"/>
                <w:szCs w:val="20"/>
              </w:rPr>
              <w:t>)</w:t>
            </w:r>
          </w:p>
        </w:tc>
      </w:tr>
      <w:tr w:rsidR="00606C1B" w:rsidRPr="00773149" w14:paraId="674EBE63" w14:textId="77777777" w:rsidTr="007146E7">
        <w:trPr>
          <w:trHeight w:val="1098"/>
        </w:trPr>
        <w:tc>
          <w:tcPr>
            <w:tcW w:w="2212" w:type="pct"/>
          </w:tcPr>
          <w:p w14:paraId="1FC1FB97" w14:textId="69C7619A" w:rsidR="00606C1B" w:rsidRPr="00773149" w:rsidRDefault="00284F4A" w:rsidP="00606C1B">
            <w:pPr>
              <w:pStyle w:val="JHEPBody"/>
              <w:rPr>
                <w:b/>
                <w:bCs/>
                <w:sz w:val="20"/>
                <w:szCs w:val="20"/>
                <w:lang w:bidi="en-US"/>
              </w:rPr>
            </w:pPr>
            <w:r>
              <w:rPr>
                <w:b/>
                <w:bCs/>
                <w:sz w:val="20"/>
                <w:szCs w:val="20"/>
                <w:lang w:bidi="en-US"/>
              </w:rPr>
              <w:t>Biological</w:t>
            </w:r>
            <w:r w:rsidR="007B3980">
              <w:rPr>
                <w:b/>
                <w:bCs/>
                <w:sz w:val="20"/>
                <w:szCs w:val="20"/>
                <w:lang w:bidi="en-US"/>
              </w:rPr>
              <w:t xml:space="preserve"> factors (</w:t>
            </w:r>
            <w:proofErr w:type="spellStart"/>
            <w:r w:rsidR="00523977">
              <w:rPr>
                <w:b/>
                <w:bCs/>
                <w:sz w:val="20"/>
                <w:szCs w:val="20"/>
                <w:lang w:bidi="en-US"/>
              </w:rPr>
              <w:t>c</w:t>
            </w:r>
            <w:r w:rsidR="007B3980">
              <w:rPr>
                <w:b/>
                <w:bCs/>
                <w:sz w:val="20"/>
                <w:szCs w:val="20"/>
                <w:lang w:bidi="en-US"/>
              </w:rPr>
              <w:t>lusterin</w:t>
            </w:r>
            <w:proofErr w:type="spellEnd"/>
            <w:r w:rsidR="007B3980">
              <w:rPr>
                <w:b/>
                <w:bCs/>
                <w:sz w:val="20"/>
                <w:szCs w:val="20"/>
                <w:lang w:bidi="en-US"/>
              </w:rPr>
              <w:t xml:space="preserve">, </w:t>
            </w:r>
            <w:proofErr w:type="spellStart"/>
            <w:r w:rsidR="00B957C9">
              <w:rPr>
                <w:b/>
                <w:bCs/>
                <w:sz w:val="20"/>
                <w:szCs w:val="20"/>
                <w:lang w:bidi="en-US"/>
              </w:rPr>
              <w:t>apo</w:t>
            </w:r>
            <w:r w:rsidR="007B3980">
              <w:rPr>
                <w:b/>
                <w:bCs/>
                <w:sz w:val="20"/>
                <w:szCs w:val="20"/>
                <w:lang w:bidi="en-US"/>
              </w:rPr>
              <w:t>E</w:t>
            </w:r>
            <w:proofErr w:type="spellEnd"/>
            <w:r w:rsidR="00D440FD">
              <w:rPr>
                <w:b/>
                <w:bCs/>
                <w:sz w:val="20"/>
                <w:szCs w:val="20"/>
                <w:lang w:bidi="en-US"/>
              </w:rPr>
              <w:t>, MCP-1</w:t>
            </w:r>
            <w:r w:rsidR="007B3980">
              <w:rPr>
                <w:b/>
                <w:bCs/>
                <w:sz w:val="20"/>
                <w:szCs w:val="20"/>
                <w:lang w:bidi="en-US"/>
              </w:rPr>
              <w:t>)</w:t>
            </w:r>
          </w:p>
          <w:p w14:paraId="6FDD8401" w14:textId="5CB5FEDE" w:rsidR="00606C1B" w:rsidRPr="00773149" w:rsidRDefault="007B3980" w:rsidP="00606C1B">
            <w:pPr>
              <w:pStyle w:val="JHEPBody"/>
              <w:rPr>
                <w:bCs/>
                <w:sz w:val="20"/>
                <w:szCs w:val="20"/>
                <w:lang w:bidi="en-US"/>
              </w:rPr>
            </w:pPr>
            <w:r>
              <w:rPr>
                <w:bCs/>
                <w:sz w:val="20"/>
                <w:szCs w:val="20"/>
                <w:lang w:bidi="en-US"/>
              </w:rPr>
              <w:t>Measure factors which stimulate axonal growth, neural repair</w:t>
            </w:r>
            <w:r w:rsidR="00284F4A">
              <w:rPr>
                <w:bCs/>
                <w:sz w:val="20"/>
                <w:szCs w:val="20"/>
                <w:lang w:bidi="en-US"/>
              </w:rPr>
              <w:t xml:space="preserve">, and myelination (glial differentiation) </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13D708FB" w14:textId="2A2DF1DC" w:rsidR="00606C1B" w:rsidRDefault="00A91261" w:rsidP="00D440FD">
            <w:pPr>
              <w:pStyle w:val="JHEPBody"/>
              <w:rPr>
                <w:bCs/>
                <w:sz w:val="20"/>
                <w:szCs w:val="20"/>
                <w:lang w:bidi="en-US"/>
              </w:rPr>
            </w:pPr>
            <w:proofErr w:type="spellStart"/>
            <w:r>
              <w:rPr>
                <w:bCs/>
                <w:sz w:val="20"/>
                <w:szCs w:val="20"/>
                <w:lang w:bidi="en-US"/>
              </w:rPr>
              <w:t>Clusterin</w:t>
            </w:r>
            <w:proofErr w:type="spellEnd"/>
            <w:r>
              <w:rPr>
                <w:bCs/>
                <w:sz w:val="20"/>
                <w:szCs w:val="20"/>
                <w:lang w:bidi="en-US"/>
              </w:rPr>
              <w:t xml:space="preserve">, </w:t>
            </w:r>
            <w:proofErr w:type="spellStart"/>
            <w:r>
              <w:rPr>
                <w:bCs/>
                <w:sz w:val="20"/>
                <w:szCs w:val="20"/>
                <w:lang w:bidi="en-US"/>
              </w:rPr>
              <w:t>apoE</w:t>
            </w:r>
            <w:proofErr w:type="spellEnd"/>
            <w:r>
              <w:rPr>
                <w:bCs/>
                <w:sz w:val="20"/>
                <w:szCs w:val="20"/>
                <w:lang w:bidi="en-US"/>
              </w:rPr>
              <w:t xml:space="preserve">: </w:t>
            </w:r>
            <w:r w:rsidR="00EC5E50">
              <w:rPr>
                <w:bCs/>
                <w:sz w:val="20"/>
                <w:szCs w:val="20"/>
                <w:lang w:bidi="en-US"/>
              </w:rPr>
              <w:t>m</w:t>
            </w:r>
            <w:r w:rsidR="00B957C9">
              <w:rPr>
                <w:bCs/>
                <w:sz w:val="20"/>
                <w:szCs w:val="20"/>
                <w:lang w:bidi="en-US"/>
              </w:rPr>
              <w:t>g/</w:t>
            </w:r>
            <w:r w:rsidR="00EC5E50">
              <w:rPr>
                <w:bCs/>
                <w:sz w:val="20"/>
                <w:szCs w:val="20"/>
                <w:lang w:bidi="en-US"/>
              </w:rPr>
              <w:t>L</w:t>
            </w:r>
          </w:p>
          <w:p w14:paraId="2B9ACD7E" w14:textId="34EAFBD1" w:rsidR="00A91261" w:rsidRPr="00773149" w:rsidRDefault="00A91261" w:rsidP="00D440FD">
            <w:pPr>
              <w:pStyle w:val="JHEPBody"/>
              <w:rPr>
                <w:bCs/>
                <w:sz w:val="20"/>
                <w:szCs w:val="20"/>
                <w:lang w:bidi="en-US"/>
              </w:rPr>
            </w:pPr>
            <w:r>
              <w:rPr>
                <w:bCs/>
                <w:sz w:val="20"/>
                <w:szCs w:val="20"/>
                <w:lang w:bidi="en-US"/>
              </w:rPr>
              <w:t xml:space="preserve">MCP-1: </w:t>
            </w:r>
            <w:proofErr w:type="spellStart"/>
            <w:r>
              <w:rPr>
                <w:bCs/>
                <w:sz w:val="20"/>
                <w:szCs w:val="20"/>
                <w:lang w:bidi="en-US"/>
              </w:rPr>
              <w:t>pg</w:t>
            </w:r>
            <w:proofErr w:type="spellEnd"/>
            <w:r>
              <w:rPr>
                <w:bCs/>
                <w:sz w:val="20"/>
                <w:szCs w:val="20"/>
                <w:lang w:bidi="en-US"/>
              </w:rPr>
              <w:t>/mL</w:t>
            </w:r>
          </w:p>
        </w:tc>
        <w:tc>
          <w:tcPr>
            <w:tcW w:w="1022" w:type="pct"/>
          </w:tcPr>
          <w:p w14:paraId="614E9295" w14:textId="77777777" w:rsidR="00144B5E" w:rsidRDefault="00144B5E" w:rsidP="00144B5E">
            <w:pPr>
              <w:pStyle w:val="JHEPBody"/>
              <w:numPr>
                <w:ilvl w:val="0"/>
                <w:numId w:val="34"/>
              </w:numPr>
              <w:rPr>
                <w:bCs/>
                <w:sz w:val="20"/>
                <w:szCs w:val="20"/>
                <w:lang w:bidi="en-US"/>
              </w:rPr>
            </w:pPr>
            <w:proofErr w:type="spellStart"/>
            <w:r>
              <w:rPr>
                <w:bCs/>
                <w:sz w:val="20"/>
                <w:szCs w:val="20"/>
                <w:lang w:bidi="en-US"/>
              </w:rPr>
              <w:t>c</w:t>
            </w:r>
            <w:r w:rsidR="00523977">
              <w:rPr>
                <w:bCs/>
                <w:sz w:val="20"/>
                <w:szCs w:val="20"/>
                <w:lang w:bidi="en-US"/>
              </w:rPr>
              <w:t>lusterin</w:t>
            </w:r>
            <w:proofErr w:type="spellEnd"/>
            <w:r w:rsidR="00523977">
              <w:rPr>
                <w:bCs/>
                <w:sz w:val="20"/>
                <w:szCs w:val="20"/>
                <w:lang w:bidi="en-US"/>
              </w:rPr>
              <w:t>: [</w:t>
            </w:r>
            <w:r>
              <w:rPr>
                <w:bCs/>
                <w:sz w:val="20"/>
                <w:szCs w:val="20"/>
                <w:lang w:bidi="en-US"/>
              </w:rPr>
              <w:t>1.87-1.94</w:t>
            </w:r>
            <w:r w:rsidR="00523977">
              <w:rPr>
                <w:bCs/>
                <w:sz w:val="20"/>
                <w:szCs w:val="20"/>
                <w:lang w:bidi="en-US"/>
              </w:rPr>
              <w:t>]</w:t>
            </w:r>
            <w:r w:rsidR="00B957C9">
              <w:rPr>
                <w:bCs/>
                <w:sz w:val="20"/>
                <w:szCs w:val="20"/>
                <w:lang w:bidi="en-US"/>
              </w:rPr>
              <w:t xml:space="preserve"> </w:t>
            </w:r>
          </w:p>
          <w:p w14:paraId="71BE95E3" w14:textId="77777777" w:rsidR="00606C1B" w:rsidRDefault="00523977" w:rsidP="00144B5E">
            <w:pPr>
              <w:pStyle w:val="JHEPBody"/>
              <w:numPr>
                <w:ilvl w:val="0"/>
                <w:numId w:val="34"/>
              </w:numPr>
              <w:rPr>
                <w:bCs/>
                <w:sz w:val="20"/>
                <w:szCs w:val="20"/>
                <w:lang w:bidi="en-US"/>
              </w:rPr>
            </w:pPr>
            <w:proofErr w:type="spellStart"/>
            <w:r>
              <w:rPr>
                <w:bCs/>
                <w:sz w:val="20"/>
                <w:szCs w:val="20"/>
                <w:lang w:bidi="en-US"/>
              </w:rPr>
              <w:t>apoE</w:t>
            </w:r>
            <w:proofErr w:type="spellEnd"/>
            <w:r>
              <w:rPr>
                <w:bCs/>
                <w:sz w:val="20"/>
                <w:szCs w:val="20"/>
                <w:lang w:bidi="en-US"/>
              </w:rPr>
              <w:t xml:space="preserve">: </w:t>
            </w:r>
            <w:r w:rsidR="00B957C9">
              <w:rPr>
                <w:bCs/>
                <w:sz w:val="20"/>
                <w:szCs w:val="20"/>
                <w:lang w:bidi="en-US"/>
              </w:rPr>
              <w:t>[35-49]</w:t>
            </w:r>
            <w:r w:rsidR="00606C1B">
              <w:rPr>
                <w:bCs/>
                <w:sz w:val="20"/>
                <w:szCs w:val="20"/>
                <w:lang w:bidi="en-US"/>
              </w:rPr>
              <w:t xml:space="preserve"> </w:t>
            </w:r>
            <w:r w:rsidR="008B1806">
              <w:rPr>
                <w:bCs/>
                <w:sz w:val="20"/>
                <w:szCs w:val="20"/>
                <w:lang w:bidi="en-US"/>
              </w:rPr>
              <w:t xml:space="preserve"> </w:t>
            </w:r>
          </w:p>
          <w:p w14:paraId="6CCA3609" w14:textId="72A2786A" w:rsidR="005B4CF2" w:rsidRDefault="005B4CF2" w:rsidP="00144B5E">
            <w:pPr>
              <w:pStyle w:val="JHEPBody"/>
              <w:numPr>
                <w:ilvl w:val="0"/>
                <w:numId w:val="34"/>
              </w:numPr>
              <w:rPr>
                <w:bCs/>
                <w:sz w:val="20"/>
                <w:szCs w:val="20"/>
                <w:lang w:bidi="en-US"/>
              </w:rPr>
            </w:pPr>
            <w:r>
              <w:rPr>
                <w:bCs/>
                <w:sz w:val="20"/>
                <w:szCs w:val="20"/>
                <w:lang w:bidi="en-US"/>
              </w:rPr>
              <w:t>MCP-</w:t>
            </w:r>
            <w:proofErr w:type="gramStart"/>
            <w:r>
              <w:rPr>
                <w:bCs/>
                <w:sz w:val="20"/>
                <w:szCs w:val="20"/>
                <w:lang w:bidi="en-US"/>
              </w:rPr>
              <w:t>1</w:t>
            </w:r>
            <w:r w:rsidR="00D440FD">
              <w:rPr>
                <w:bCs/>
                <w:sz w:val="20"/>
                <w:szCs w:val="20"/>
                <w:lang w:bidi="en-US"/>
              </w:rPr>
              <w:t>:[</w:t>
            </w:r>
            <w:proofErr w:type="gramEnd"/>
            <w:r w:rsidR="00D440FD">
              <w:rPr>
                <w:bCs/>
                <w:sz w:val="20"/>
                <w:szCs w:val="20"/>
                <w:lang w:bidi="en-US"/>
              </w:rPr>
              <w:t>69.5-175.2]</w:t>
            </w:r>
          </w:p>
        </w:tc>
        <w:tc>
          <w:tcPr>
            <w:tcW w:w="826" w:type="pct"/>
          </w:tcPr>
          <w:p w14:paraId="374817C1" w14:textId="014BC3DC" w:rsidR="00291652" w:rsidRDefault="00291652"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Pr>
                <w:bCs/>
                <w:sz w:val="20"/>
                <w:szCs w:val="20"/>
                <w:lang w:bidi="en-US"/>
              </w:rPr>
              <w:fldChar w:fldCharType="separate"/>
            </w:r>
            <w:r w:rsidRPr="00291652">
              <w:rPr>
                <w:rFonts w:cs="Tahoma"/>
                <w:sz w:val="20"/>
              </w:rPr>
              <w:t>(Wąsik et al.)</w:t>
            </w:r>
            <w:r>
              <w:rPr>
                <w:bCs/>
                <w:sz w:val="20"/>
                <w:szCs w:val="20"/>
                <w:lang w:bidi="en-US"/>
              </w:rPr>
              <w:fldChar w:fldCharType="end"/>
            </w:r>
          </w:p>
          <w:p w14:paraId="362FF9C5" w14:textId="77777777" w:rsidR="00606C1B" w:rsidRDefault="00523977"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Pr>
                <w:bCs/>
                <w:sz w:val="20"/>
                <w:szCs w:val="20"/>
                <w:lang w:bidi="en-US"/>
              </w:rPr>
              <w:fldChar w:fldCharType="separate"/>
            </w:r>
            <w:r>
              <w:rPr>
                <w:bCs/>
                <w:noProof/>
                <w:sz w:val="20"/>
                <w:szCs w:val="20"/>
                <w:lang w:bidi="en-US"/>
              </w:rPr>
              <w:t>(Kaneva et al.)</w:t>
            </w:r>
            <w:r>
              <w:rPr>
                <w:bCs/>
                <w:sz w:val="20"/>
                <w:szCs w:val="20"/>
                <w:lang w:bidi="en-US"/>
              </w:rPr>
              <w:fldChar w:fldCharType="end"/>
            </w:r>
          </w:p>
          <w:p w14:paraId="0ACCA125" w14:textId="42C8AB83" w:rsidR="00D440FD" w:rsidRPr="00773149" w:rsidRDefault="00D440FD"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Pr>
                <w:bCs/>
                <w:sz w:val="20"/>
                <w:szCs w:val="20"/>
                <w:lang w:bidi="en-US"/>
              </w:rPr>
              <w:fldChar w:fldCharType="separate"/>
            </w:r>
            <w:r w:rsidRPr="00D440FD">
              <w:rPr>
                <w:rFonts w:cs="Tahoma"/>
                <w:sz w:val="20"/>
              </w:rPr>
              <w:t>(Valković et al.)</w:t>
            </w:r>
            <w:r>
              <w:rPr>
                <w:bCs/>
                <w:sz w:val="20"/>
                <w:szCs w:val="20"/>
                <w:lang w:bidi="en-US"/>
              </w:rPr>
              <w:fldChar w:fldCharType="end"/>
            </w:r>
          </w:p>
        </w:tc>
      </w:tr>
      <w:tr w:rsidR="00606C1B" w:rsidRPr="00773149" w14:paraId="31104496" w14:textId="77777777" w:rsidTr="007146E7">
        <w:trPr>
          <w:trHeight w:val="1098"/>
        </w:trPr>
        <w:tc>
          <w:tcPr>
            <w:tcW w:w="2212" w:type="pct"/>
          </w:tcPr>
          <w:p w14:paraId="3815C515" w14:textId="669B30CC" w:rsidR="00606C1B" w:rsidRPr="00773149" w:rsidRDefault="00FB00AB" w:rsidP="00606C1B">
            <w:pPr>
              <w:pStyle w:val="JHEPBody"/>
              <w:rPr>
                <w:b/>
                <w:bCs/>
                <w:sz w:val="20"/>
                <w:szCs w:val="20"/>
                <w:lang w:bidi="en-US"/>
              </w:rPr>
            </w:pPr>
            <w:r>
              <w:rPr>
                <w:b/>
                <w:bCs/>
                <w:sz w:val="20"/>
                <w:szCs w:val="20"/>
                <w:lang w:bidi="en-US"/>
              </w:rPr>
              <w:t>Neurological Level of Injury</w:t>
            </w:r>
            <w:r w:rsidR="001C1BA2">
              <w:rPr>
                <w:b/>
                <w:bCs/>
                <w:sz w:val="20"/>
                <w:szCs w:val="20"/>
                <w:lang w:bidi="en-US"/>
              </w:rPr>
              <w:t xml:space="preserve"> Scores</w:t>
            </w:r>
          </w:p>
          <w:p w14:paraId="363687B4" w14:textId="419A6A72" w:rsidR="00606C1B" w:rsidRPr="00773149" w:rsidRDefault="001C1BA2" w:rsidP="00606C1B">
            <w:pPr>
              <w:pStyle w:val="JHEPBody"/>
              <w:rPr>
                <w:bCs/>
                <w:sz w:val="20"/>
                <w:szCs w:val="20"/>
                <w:lang w:bidi="en-US"/>
              </w:rPr>
            </w:pPr>
            <w:r>
              <w:rPr>
                <w:bCs/>
                <w:sz w:val="20"/>
                <w:szCs w:val="20"/>
                <w:lang w:bidi="en-US"/>
              </w:rPr>
              <w:t>International Standards for Neurological Classification of Spinal Cord Injury (ISNCSCI) scores to assess sensorimotor impairment.</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7AD309BA" w14:textId="7A6C4F4C" w:rsidR="00606C1B" w:rsidRPr="00773149" w:rsidRDefault="00C55B3B" w:rsidP="00636326">
            <w:pPr>
              <w:pStyle w:val="JHEPBody"/>
              <w:ind w:left="106"/>
              <w:jc w:val="center"/>
              <w:rPr>
                <w:bCs/>
                <w:sz w:val="20"/>
                <w:szCs w:val="20"/>
                <w:lang w:bidi="en-US"/>
              </w:rPr>
            </w:pPr>
            <w:r>
              <w:rPr>
                <w:bCs/>
                <w:sz w:val="20"/>
                <w:szCs w:val="20"/>
                <w:lang w:bidi="en-US"/>
              </w:rPr>
              <w:t>number</w:t>
            </w:r>
          </w:p>
        </w:tc>
        <w:tc>
          <w:tcPr>
            <w:tcW w:w="1022" w:type="pct"/>
          </w:tcPr>
          <w:p w14:paraId="3D310666" w14:textId="3F58E281" w:rsidR="001C1BA2" w:rsidRDefault="00AD39C5" w:rsidP="00606C1B">
            <w:pPr>
              <w:pStyle w:val="JHEPBody"/>
              <w:rPr>
                <w:bCs/>
                <w:sz w:val="20"/>
                <w:szCs w:val="20"/>
                <w:lang w:bidi="en-US"/>
              </w:rPr>
            </w:pPr>
            <w:r>
              <w:rPr>
                <w:bCs/>
                <w:sz w:val="20"/>
                <w:szCs w:val="20"/>
                <w:lang w:bidi="en-US"/>
              </w:rPr>
              <w:t>Two</w:t>
            </w:r>
            <w:r w:rsidR="001C1BA2">
              <w:rPr>
                <w:bCs/>
                <w:sz w:val="20"/>
                <w:szCs w:val="20"/>
                <w:lang w:bidi="en-US"/>
              </w:rPr>
              <w:t xml:space="preserve"> ranges</w:t>
            </w:r>
            <w:r w:rsidR="00C55B3B">
              <w:rPr>
                <w:bCs/>
                <w:sz w:val="20"/>
                <w:szCs w:val="20"/>
                <w:lang w:bidi="en-US"/>
              </w:rPr>
              <w:t>:</w:t>
            </w:r>
          </w:p>
          <w:p w14:paraId="0D29217B" w14:textId="4DCC3052" w:rsidR="00606C1B" w:rsidRDefault="001C1BA2" w:rsidP="00AF0E09">
            <w:pPr>
              <w:pStyle w:val="JHEPBody"/>
              <w:jc w:val="center"/>
              <w:rPr>
                <w:bCs/>
                <w:sz w:val="20"/>
                <w:szCs w:val="20"/>
                <w:lang w:bidi="en-US"/>
              </w:rPr>
            </w:pPr>
            <w:r>
              <w:rPr>
                <w:bCs/>
                <w:sz w:val="20"/>
                <w:szCs w:val="20"/>
                <w:lang w:bidi="en-US"/>
              </w:rPr>
              <w:t>[0-100]</w:t>
            </w:r>
            <w:r w:rsidR="00AD39C5">
              <w:rPr>
                <w:bCs/>
                <w:sz w:val="20"/>
                <w:szCs w:val="20"/>
                <w:lang w:bidi="en-US"/>
              </w:rPr>
              <w:t xml:space="preserve"> and </w:t>
            </w:r>
            <w:r>
              <w:rPr>
                <w:bCs/>
                <w:sz w:val="20"/>
                <w:szCs w:val="20"/>
                <w:lang w:bidi="en-US"/>
              </w:rPr>
              <w:t>[0-224]</w:t>
            </w:r>
            <w:r>
              <w:rPr>
                <w:bCs/>
                <w:sz w:val="20"/>
                <w:szCs w:val="20"/>
                <w:lang w:bidi="en-US"/>
              </w:rPr>
              <w:br/>
            </w:r>
          </w:p>
        </w:tc>
        <w:tc>
          <w:tcPr>
            <w:tcW w:w="826" w:type="pct"/>
          </w:tcPr>
          <w:p w14:paraId="64EB4704" w14:textId="283D45B1" w:rsidR="00606C1B" w:rsidRPr="00773149" w:rsidRDefault="001C1BA2" w:rsidP="00606C1B">
            <w:pPr>
              <w:pStyle w:val="JHEPBody"/>
              <w:rPr>
                <w:bCs/>
                <w:sz w:val="20"/>
                <w:szCs w:val="20"/>
                <w:lang w:bidi="en-US"/>
              </w:rPr>
            </w:pPr>
            <w:r>
              <w:rPr>
                <w:bCs/>
                <w:sz w:val="20"/>
                <w:szCs w:val="20"/>
                <w:lang w:bidi="en-US"/>
              </w:rPr>
              <w:t>[ISNCSCI]</w:t>
            </w:r>
          </w:p>
        </w:tc>
      </w:tr>
      <w:tr w:rsidR="00027200" w:rsidRPr="00773149" w14:paraId="2B42369A" w14:textId="77777777" w:rsidTr="007146E7">
        <w:trPr>
          <w:trHeight w:val="1319"/>
        </w:trPr>
        <w:tc>
          <w:tcPr>
            <w:tcW w:w="2212" w:type="pct"/>
          </w:tcPr>
          <w:p w14:paraId="6402ED47" w14:textId="77777777" w:rsidR="00661108" w:rsidRPr="00661108" w:rsidRDefault="00E20803" w:rsidP="00661108">
            <w:pPr>
              <w:pStyle w:val="JHEPBody"/>
              <w:rPr>
                <w:b/>
                <w:sz w:val="20"/>
                <w:szCs w:val="20"/>
                <w:lang w:bidi="en-US"/>
              </w:rPr>
            </w:pPr>
            <w:r w:rsidRPr="00661108">
              <w:rPr>
                <w:b/>
                <w:sz w:val="20"/>
                <w:szCs w:val="20"/>
                <w:lang w:bidi="en-US"/>
              </w:rPr>
              <w:t xml:space="preserve">Adverse Event (AE) </w:t>
            </w:r>
          </w:p>
          <w:p w14:paraId="5B4E01EC" w14:textId="2D4243FB" w:rsidR="00AD39C5" w:rsidRPr="00773149" w:rsidRDefault="00DD7760" w:rsidP="00661108">
            <w:pPr>
              <w:pStyle w:val="JHEPBody"/>
              <w:rPr>
                <w:bCs/>
                <w:sz w:val="20"/>
                <w:szCs w:val="20"/>
                <w:lang w:bidi="en-US"/>
              </w:rPr>
            </w:pPr>
            <w:r>
              <w:rPr>
                <w:bCs/>
                <w:sz w:val="20"/>
                <w:szCs w:val="20"/>
                <w:lang w:bidi="en-US"/>
              </w:rPr>
              <w:t>M</w:t>
            </w:r>
            <w:r w:rsidR="00AD39C5">
              <w:rPr>
                <w:bCs/>
                <w:sz w:val="20"/>
                <w:szCs w:val="20"/>
                <w:lang w:bidi="en-US"/>
              </w:rPr>
              <w:t>onitor the safety of the product</w:t>
            </w:r>
          </w:p>
        </w:tc>
        <w:tc>
          <w:tcPr>
            <w:tcW w:w="940" w:type="pct"/>
          </w:tcPr>
          <w:p w14:paraId="2CCEFA6B" w14:textId="17BAFF73" w:rsidR="00027200" w:rsidRPr="00773149" w:rsidRDefault="00E20803" w:rsidP="00AD39C5">
            <w:pPr>
              <w:pStyle w:val="JHEPBody"/>
              <w:numPr>
                <w:ilvl w:val="0"/>
                <w:numId w:val="20"/>
              </w:numPr>
              <w:jc w:val="center"/>
              <w:rPr>
                <w:bCs/>
                <w:sz w:val="20"/>
                <w:szCs w:val="20"/>
                <w:lang w:bidi="en-US"/>
              </w:rPr>
            </w:pPr>
            <w:r>
              <w:rPr>
                <w:bCs/>
                <w:sz w:val="20"/>
                <w:szCs w:val="20"/>
                <w:lang w:bidi="en-US"/>
              </w:rPr>
              <w:t>number</w:t>
            </w:r>
          </w:p>
        </w:tc>
        <w:tc>
          <w:tcPr>
            <w:tcW w:w="1022" w:type="pct"/>
          </w:tcPr>
          <w:p w14:paraId="1B6995FE" w14:textId="00D85858" w:rsidR="00027200" w:rsidRPr="00773149" w:rsidRDefault="00AD39C5" w:rsidP="00AD39C5">
            <w:pPr>
              <w:pStyle w:val="JHEPBody"/>
              <w:jc w:val="center"/>
              <w:rPr>
                <w:bCs/>
                <w:sz w:val="20"/>
                <w:szCs w:val="20"/>
                <w:lang w:bidi="en-US"/>
              </w:rPr>
            </w:pPr>
            <w:r>
              <w:rPr>
                <w:bCs/>
                <w:sz w:val="20"/>
                <w:szCs w:val="20"/>
                <w:lang w:bidi="en-US"/>
              </w:rPr>
              <w:t>&gt;=0</w:t>
            </w:r>
          </w:p>
        </w:tc>
        <w:tc>
          <w:tcPr>
            <w:tcW w:w="826" w:type="pct"/>
          </w:tcPr>
          <w:p w14:paraId="3CABF0D0" w14:textId="6867FD4C" w:rsidR="00027200" w:rsidRPr="00773149" w:rsidRDefault="007146E7" w:rsidP="00CB51C6">
            <w:pPr>
              <w:pStyle w:val="JHEPBody"/>
              <w:rPr>
                <w:bCs/>
                <w:sz w:val="20"/>
                <w:szCs w:val="20"/>
                <w:lang w:bidi="en-US"/>
              </w:rPr>
            </w:pPr>
            <w:r>
              <w:rPr>
                <w:rFonts w:cs="Tahoma"/>
                <w:color w:val="000000"/>
                <w:sz w:val="22"/>
              </w:rPr>
              <w:t>(Christy L. Skelly et al.)</w:t>
            </w:r>
          </w:p>
        </w:tc>
      </w:tr>
      <w:tr w:rsidR="0010064E" w:rsidRPr="00773149" w14:paraId="593A1AEC" w14:textId="77777777" w:rsidTr="007146E7">
        <w:trPr>
          <w:trHeight w:val="1319"/>
        </w:trPr>
        <w:tc>
          <w:tcPr>
            <w:tcW w:w="2212" w:type="pct"/>
          </w:tcPr>
          <w:p w14:paraId="6CCD3D2F" w14:textId="77777777" w:rsidR="0010064E" w:rsidRDefault="0010064E" w:rsidP="00661108">
            <w:pPr>
              <w:pStyle w:val="JHEPBody"/>
              <w:rPr>
                <w:b/>
                <w:sz w:val="20"/>
                <w:szCs w:val="20"/>
                <w:lang w:bidi="en-US"/>
              </w:rPr>
            </w:pPr>
            <w:r>
              <w:rPr>
                <w:b/>
                <w:sz w:val="20"/>
                <w:szCs w:val="20"/>
                <w:lang w:bidi="en-US"/>
              </w:rPr>
              <w:t>Tumorigenicity</w:t>
            </w:r>
          </w:p>
          <w:p w14:paraId="75273205" w14:textId="74B0D4E8" w:rsidR="0010064E" w:rsidRPr="0010064E" w:rsidRDefault="0010064E" w:rsidP="00661108">
            <w:pPr>
              <w:pStyle w:val="JHEPBody"/>
              <w:rPr>
                <w:bCs/>
                <w:sz w:val="20"/>
                <w:szCs w:val="20"/>
                <w:lang w:bidi="en-US"/>
              </w:rPr>
            </w:pPr>
            <w:r w:rsidRPr="0010064E">
              <w:rPr>
                <w:bCs/>
                <w:sz w:val="20"/>
                <w:szCs w:val="20"/>
                <w:lang w:bidi="en-US"/>
              </w:rPr>
              <w:t xml:space="preserve">Assessment </w:t>
            </w:r>
            <w:r>
              <w:rPr>
                <w:bCs/>
                <w:sz w:val="20"/>
                <w:szCs w:val="20"/>
                <w:lang w:bidi="en-US"/>
              </w:rPr>
              <w:t>for teratomas or ectopic tissues formation within or outside the CNS.</w:t>
            </w:r>
            <w:r w:rsidRPr="0010064E">
              <w:rPr>
                <w:bCs/>
                <w:sz w:val="20"/>
                <w:szCs w:val="20"/>
                <w:lang w:bidi="en-US"/>
              </w:rPr>
              <w:t xml:space="preserve"> </w:t>
            </w:r>
          </w:p>
        </w:tc>
        <w:tc>
          <w:tcPr>
            <w:tcW w:w="940" w:type="pct"/>
          </w:tcPr>
          <w:p w14:paraId="7BB6D0B1" w14:textId="185BA0BF" w:rsidR="0010064E" w:rsidRDefault="00DD7760" w:rsidP="00AD39C5">
            <w:pPr>
              <w:pStyle w:val="JHEPBody"/>
              <w:numPr>
                <w:ilvl w:val="0"/>
                <w:numId w:val="20"/>
              </w:numPr>
              <w:jc w:val="center"/>
              <w:rPr>
                <w:bCs/>
                <w:sz w:val="20"/>
                <w:szCs w:val="20"/>
                <w:lang w:bidi="en-US"/>
              </w:rPr>
            </w:pPr>
            <w:r>
              <w:rPr>
                <w:bCs/>
                <w:sz w:val="20"/>
                <w:szCs w:val="20"/>
                <w:lang w:bidi="en-US"/>
              </w:rPr>
              <w:t>number</w:t>
            </w:r>
          </w:p>
        </w:tc>
        <w:tc>
          <w:tcPr>
            <w:tcW w:w="1022" w:type="pct"/>
          </w:tcPr>
          <w:p w14:paraId="2F70FF47" w14:textId="1E8119F1" w:rsidR="0010064E" w:rsidRDefault="00592B60" w:rsidP="00AD39C5">
            <w:pPr>
              <w:pStyle w:val="JHEPBody"/>
              <w:jc w:val="center"/>
              <w:rPr>
                <w:bCs/>
                <w:sz w:val="20"/>
                <w:szCs w:val="20"/>
                <w:lang w:bidi="en-US"/>
              </w:rPr>
            </w:pPr>
            <w:r>
              <w:rPr>
                <w:bCs/>
                <w:sz w:val="20"/>
                <w:szCs w:val="20"/>
                <w:lang w:bidi="en-US"/>
              </w:rPr>
              <w:t>[2,4]</w:t>
            </w:r>
          </w:p>
        </w:tc>
        <w:tc>
          <w:tcPr>
            <w:tcW w:w="826" w:type="pct"/>
          </w:tcPr>
          <w:p w14:paraId="1CFE0CB4" w14:textId="2D6690A2" w:rsidR="0010064E" w:rsidRDefault="00CA27AD" w:rsidP="00CB51C6">
            <w:pPr>
              <w:pStyle w:val="JHEPBody"/>
              <w:rPr>
                <w:rFonts w:cs="Tahoma"/>
                <w:color w:val="000000"/>
                <w:sz w:val="22"/>
              </w:rPr>
            </w:pPr>
            <w:r>
              <w:rPr>
                <w:rFonts w:cs="Tahoma"/>
                <w:color w:val="000000"/>
                <w:sz w:val="22"/>
              </w:rPr>
              <w:t>(</w:t>
            </w:r>
            <w:proofErr w:type="gramStart"/>
            <w:r>
              <w:rPr>
                <w:rFonts w:cs="Tahoma"/>
                <w:color w:val="000000"/>
                <w:sz w:val="22"/>
              </w:rPr>
              <w:t>biopsy</w:t>
            </w:r>
            <w:proofErr w:type="gramEnd"/>
            <w:r>
              <w:rPr>
                <w:rFonts w:cs="Tahoma"/>
                <w:color w:val="000000"/>
                <w:sz w:val="22"/>
              </w:rPr>
              <w:t xml:space="preserve"> score)</w:t>
            </w:r>
          </w:p>
        </w:tc>
      </w:tr>
      <w:tr w:rsidR="003735A3" w:rsidRPr="00773149" w14:paraId="5CD6DEC0" w14:textId="77777777" w:rsidTr="007146E7">
        <w:trPr>
          <w:trHeight w:val="1319"/>
        </w:trPr>
        <w:tc>
          <w:tcPr>
            <w:tcW w:w="2212" w:type="pct"/>
          </w:tcPr>
          <w:p w14:paraId="71857F02" w14:textId="77777777" w:rsidR="003735A3" w:rsidRDefault="003735A3" w:rsidP="00661108">
            <w:pPr>
              <w:pStyle w:val="JHEPBody"/>
              <w:rPr>
                <w:b/>
                <w:sz w:val="20"/>
                <w:szCs w:val="20"/>
                <w:lang w:bidi="en-US"/>
              </w:rPr>
            </w:pPr>
          </w:p>
        </w:tc>
        <w:tc>
          <w:tcPr>
            <w:tcW w:w="940" w:type="pct"/>
          </w:tcPr>
          <w:p w14:paraId="2966582E" w14:textId="77777777" w:rsidR="003735A3" w:rsidRDefault="003735A3" w:rsidP="00AD39C5">
            <w:pPr>
              <w:pStyle w:val="JHEPBody"/>
              <w:numPr>
                <w:ilvl w:val="0"/>
                <w:numId w:val="20"/>
              </w:numPr>
              <w:jc w:val="center"/>
              <w:rPr>
                <w:bCs/>
                <w:sz w:val="20"/>
                <w:szCs w:val="20"/>
                <w:lang w:bidi="en-US"/>
              </w:rPr>
            </w:pPr>
          </w:p>
        </w:tc>
        <w:tc>
          <w:tcPr>
            <w:tcW w:w="1022" w:type="pct"/>
          </w:tcPr>
          <w:p w14:paraId="56519847" w14:textId="77777777" w:rsidR="003735A3" w:rsidRDefault="003735A3" w:rsidP="00AD39C5">
            <w:pPr>
              <w:pStyle w:val="JHEPBody"/>
              <w:jc w:val="center"/>
              <w:rPr>
                <w:bCs/>
                <w:sz w:val="20"/>
                <w:szCs w:val="20"/>
                <w:lang w:bidi="en-US"/>
              </w:rPr>
            </w:pPr>
          </w:p>
        </w:tc>
        <w:tc>
          <w:tcPr>
            <w:tcW w:w="826" w:type="pct"/>
          </w:tcPr>
          <w:p w14:paraId="134BC525" w14:textId="77777777" w:rsidR="003735A3" w:rsidRDefault="003735A3" w:rsidP="00CB51C6">
            <w:pPr>
              <w:pStyle w:val="JHEPBody"/>
              <w:rPr>
                <w:rFonts w:cs="Tahoma"/>
                <w:color w:val="000000"/>
                <w:sz w:val="22"/>
              </w:rPr>
            </w:pPr>
          </w:p>
        </w:tc>
      </w:tr>
    </w:tbl>
    <w:p w14:paraId="6683FD4D" w14:textId="77777777" w:rsidR="00027200" w:rsidRDefault="00027200" w:rsidP="00274369">
      <w:pPr>
        <w:pStyle w:val="JHEPBody"/>
      </w:pPr>
    </w:p>
    <w:p w14:paraId="2AB7599B" w14:textId="77777777" w:rsidR="007146E7" w:rsidRDefault="007146E7" w:rsidP="00274369">
      <w:pPr>
        <w:pStyle w:val="JHEPBody"/>
      </w:pPr>
    </w:p>
    <w:p w14:paraId="1D76E382" w14:textId="77777777" w:rsidR="007146E7" w:rsidRDefault="007146E7" w:rsidP="00274369">
      <w:pPr>
        <w:pStyle w:val="JHEPBody"/>
      </w:pPr>
    </w:p>
    <w:p w14:paraId="26358006" w14:textId="7502B68F" w:rsidR="007146E7" w:rsidRDefault="007146E7">
      <w:pPr>
        <w:rPr>
          <w:rFonts w:cs="Arial"/>
          <w:szCs w:val="22"/>
        </w:rPr>
      </w:pPr>
      <w:r>
        <w:br w:type="page"/>
      </w:r>
    </w:p>
    <w:p w14:paraId="04227EF8" w14:textId="77777777" w:rsidR="007146E7" w:rsidRDefault="007146E7" w:rsidP="00274369">
      <w:pPr>
        <w:pStyle w:val="JHEPBody"/>
        <w:sectPr w:rsidR="007146E7" w:rsidSect="007146E7">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7526A8CA" w14:textId="77777777" w:rsidR="00E24020" w:rsidRDefault="00E24020" w:rsidP="00274369">
      <w:pPr>
        <w:pStyle w:val="JHEPBody"/>
      </w:pPr>
    </w:p>
    <w:p w14:paraId="3F3CB620" w14:textId="77777777" w:rsidR="00E24020" w:rsidRDefault="00E24020" w:rsidP="00274369">
      <w:pPr>
        <w:pStyle w:val="JHEPBody"/>
      </w:pPr>
    </w:p>
    <w:p w14:paraId="4A97616A" w14:textId="77777777" w:rsidR="00725C9F" w:rsidRDefault="00E24020" w:rsidP="00A0265E">
      <w:pPr>
        <w:pStyle w:val="JHEPBody"/>
        <w:numPr>
          <w:ilvl w:val="0"/>
          <w:numId w:val="33"/>
        </w:numPr>
        <w:spacing w:line="480" w:lineRule="auto"/>
        <w:rPr>
          <w:sz w:val="22"/>
        </w:rPr>
      </w:pPr>
      <w:r w:rsidRPr="00A0265E">
        <w:rPr>
          <w:b/>
          <w:bCs/>
          <w:sz w:val="22"/>
        </w:rPr>
        <w:t>M</w:t>
      </w:r>
      <w:r w:rsidR="00521A6B" w:rsidRPr="00A0265E">
        <w:rPr>
          <w:b/>
          <w:bCs/>
          <w:sz w:val="22"/>
        </w:rPr>
        <w:t>ABP</w:t>
      </w:r>
      <w:r w:rsidRPr="00A0265E">
        <w:rPr>
          <w:sz w:val="22"/>
        </w:rPr>
        <w:t>: SCI can be viewed as a two-step trauma. The primary injury results from impact, compression to the spinal cord. The second injury is cellular and biochemical. First concern of the surgeon is to relieve any pressure from the surrounding bone by removing factures or dislocated vertebrae.</w:t>
      </w:r>
      <w:r w:rsidR="009925F9" w:rsidRPr="00A0265E">
        <w:rPr>
          <w:sz w:val="22"/>
        </w:rPr>
        <w:t xml:space="preserve"> In </w:t>
      </w:r>
      <w:r w:rsidRPr="00A0265E">
        <w:rPr>
          <w:sz w:val="22"/>
        </w:rPr>
        <w:t xml:space="preserve">the thoracic </w:t>
      </w:r>
      <w:r w:rsidR="009925F9" w:rsidRPr="00A0265E">
        <w:rPr>
          <w:sz w:val="22"/>
        </w:rPr>
        <w:t>v</w:t>
      </w:r>
      <w:r w:rsidRPr="00A0265E">
        <w:rPr>
          <w:sz w:val="22"/>
        </w:rPr>
        <w:t xml:space="preserve">ascular region, proper </w:t>
      </w:r>
      <w:r w:rsidR="009925F9" w:rsidRPr="00A0265E">
        <w:rPr>
          <w:sz w:val="22"/>
        </w:rPr>
        <w:t xml:space="preserve">spinal cord </w:t>
      </w:r>
      <w:r w:rsidRPr="00A0265E">
        <w:rPr>
          <w:sz w:val="22"/>
        </w:rPr>
        <w:t>blo</w:t>
      </w:r>
      <w:r w:rsidR="009925F9" w:rsidRPr="00A0265E">
        <w:rPr>
          <w:sz w:val="22"/>
        </w:rPr>
        <w:t>o</w:t>
      </w:r>
      <w:r w:rsidRPr="00A0265E">
        <w:rPr>
          <w:sz w:val="22"/>
        </w:rPr>
        <w:t xml:space="preserve">d flow </w:t>
      </w:r>
      <w:r w:rsidR="009925F9" w:rsidRPr="00A0265E">
        <w:rPr>
          <w:sz w:val="22"/>
        </w:rPr>
        <w:t xml:space="preserve">(SBCF) </w:t>
      </w:r>
      <w:r w:rsidRPr="00A0265E">
        <w:rPr>
          <w:sz w:val="22"/>
        </w:rPr>
        <w:t xml:space="preserve">supply is critical to avoid ischemia. </w:t>
      </w:r>
      <w:r w:rsidR="0062799F" w:rsidRPr="00A0265E">
        <w:rPr>
          <w:sz w:val="22"/>
        </w:rPr>
        <w:t xml:space="preserve">However aortic cross-clamping prompts an increase in CFSP and a decrease in spinal cord perfusion </w:t>
      </w:r>
      <w:r w:rsidR="0091074E" w:rsidRPr="00A0265E">
        <w:rPr>
          <w:sz w:val="22"/>
        </w:rPr>
        <w:t xml:space="preserve">pressure </w:t>
      </w:r>
      <w:r w:rsidR="0062799F" w:rsidRPr="00A0265E">
        <w:rPr>
          <w:sz w:val="22"/>
        </w:rPr>
        <w:t>(SCPP) reducing blood supply to the spinal cord</w:t>
      </w:r>
      <w:r w:rsidR="0091074E" w:rsidRPr="00A0265E">
        <w:rPr>
          <w:sz w:val="22"/>
        </w:rPr>
        <w:t xml:space="preserve"> </w:t>
      </w:r>
      <w:r w:rsidR="00EB5BA2" w:rsidRPr="00A0265E">
        <w:rPr>
          <w:sz w:val="22"/>
        </w:rPr>
        <w:t>(</w:t>
      </w:r>
      <w:proofErr w:type="spellStart"/>
      <w:r w:rsidR="00EB5BA2" w:rsidRPr="00A0265E">
        <w:rPr>
          <w:sz w:val="22"/>
        </w:rPr>
        <w:t>Robertazzi</w:t>
      </w:r>
      <w:proofErr w:type="spellEnd"/>
      <w:r w:rsidR="00EB5BA2" w:rsidRPr="00A0265E">
        <w:rPr>
          <w:sz w:val="22"/>
        </w:rPr>
        <w:t xml:space="preserve"> et al.)</w:t>
      </w:r>
      <w:r w:rsidR="0062799F" w:rsidRPr="00A0265E">
        <w:rPr>
          <w:sz w:val="22"/>
        </w:rPr>
        <w:t>. S</w:t>
      </w:r>
      <w:r w:rsidR="009925F9" w:rsidRPr="00A0265E">
        <w:rPr>
          <w:sz w:val="22"/>
        </w:rPr>
        <w:t xml:space="preserve">tudies have </w:t>
      </w:r>
      <w:r w:rsidR="0091074E" w:rsidRPr="00A0265E">
        <w:rPr>
          <w:sz w:val="22"/>
        </w:rPr>
        <w:t xml:space="preserve">also </w:t>
      </w:r>
      <w:r w:rsidR="009925F9" w:rsidRPr="00A0265E">
        <w:rPr>
          <w:sz w:val="22"/>
        </w:rPr>
        <w:t>shown that immediate neurological deficits are the result of minimal SCBF</w:t>
      </w:r>
      <w:r w:rsidR="000E49C6" w:rsidRPr="00A0265E">
        <w:rPr>
          <w:sz w:val="22"/>
        </w:rPr>
        <w:t xml:space="preserve"> (Crawford et al.)</w:t>
      </w:r>
      <w:r w:rsidR="009925F9" w:rsidRPr="00A0265E">
        <w:rPr>
          <w:sz w:val="22"/>
        </w:rPr>
        <w:t>.</w:t>
      </w:r>
      <w:r w:rsidR="00EB5BA2" w:rsidRPr="00A0265E">
        <w:rPr>
          <w:sz w:val="22"/>
        </w:rPr>
        <w:t xml:space="preserve"> MABP immediately spikes and then falls and severe trauma decreases SBF because vascular resistance and MABP increase</w:t>
      </w:r>
      <w:r w:rsidR="00D57E87" w:rsidRPr="00A0265E">
        <w:rPr>
          <w:sz w:val="22"/>
        </w:rPr>
        <w:t xml:space="preserve"> </w:t>
      </w:r>
      <w:r w:rsidR="00D57E87" w:rsidRPr="00A0265E">
        <w:rPr>
          <w:sz w:val="22"/>
        </w:rPr>
        <w:fldChar w:fldCharType="begin"/>
      </w:r>
      <w:r w:rsidR="00D57E87" w:rsidRPr="00A0265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A0265E">
        <w:rPr>
          <w:sz w:val="22"/>
        </w:rPr>
        <w:fldChar w:fldCharType="separate"/>
      </w:r>
      <w:r w:rsidR="00D57E87" w:rsidRPr="00A0265E">
        <w:rPr>
          <w:noProof/>
          <w:sz w:val="22"/>
        </w:rPr>
        <w:t>(Martirosyan et al.)</w:t>
      </w:r>
      <w:r w:rsidR="00D57E87" w:rsidRPr="00A0265E">
        <w:rPr>
          <w:sz w:val="22"/>
        </w:rPr>
        <w:fldChar w:fldCharType="end"/>
      </w:r>
      <w:r w:rsidR="00EB5BA2" w:rsidRPr="00A0265E">
        <w:rPr>
          <w:sz w:val="22"/>
        </w:rPr>
        <w:t xml:space="preserve">. </w:t>
      </w:r>
    </w:p>
    <w:p w14:paraId="1269CDA2" w14:textId="1D8E65F2" w:rsidR="00240673" w:rsidRPr="00A0265E" w:rsidRDefault="00725C9F" w:rsidP="00725C9F">
      <w:pPr>
        <w:pStyle w:val="JHEPBody"/>
        <w:spacing w:line="480" w:lineRule="auto"/>
        <w:ind w:left="360"/>
        <w:rPr>
          <w:sz w:val="22"/>
        </w:rPr>
      </w:pPr>
      <w:r>
        <w:rPr>
          <w:sz w:val="22"/>
        </w:rPr>
        <w:t xml:space="preserve">The neural-spinal scaffold </w:t>
      </w:r>
      <w:r w:rsidR="00E251CE">
        <w:rPr>
          <w:sz w:val="22"/>
        </w:rPr>
        <w:t xml:space="preserve">(NSC) </w:t>
      </w:r>
      <w:r>
        <w:rPr>
          <w:sz w:val="22"/>
        </w:rPr>
        <w:t xml:space="preserve">consists in poly-L-lysine “mini-tubes” and is inserted within the compressed spinal cord parenchyma. It </w:t>
      </w:r>
      <w:proofErr w:type="spellStart"/>
      <w:r>
        <w:rPr>
          <w:sz w:val="22"/>
        </w:rPr>
        <w:t>reates</w:t>
      </w:r>
      <w:proofErr w:type="spellEnd"/>
      <w:r>
        <w:rPr>
          <w:sz w:val="22"/>
        </w:rPr>
        <w:t xml:space="preserve"> an isolating interface protecting the spared tissue</w:t>
      </w:r>
      <w:r w:rsidR="00C64F83">
        <w:rPr>
          <w:sz w:val="22"/>
        </w:rPr>
        <w:t>. A</w:t>
      </w:r>
      <w:r>
        <w:rPr>
          <w:sz w:val="22"/>
        </w:rPr>
        <w:t>nd by absorbing the compression energy into the biocompatible material of the mini-</w:t>
      </w:r>
      <w:r w:rsidR="00C64F83">
        <w:rPr>
          <w:sz w:val="22"/>
        </w:rPr>
        <w:t>tube, diffuses</w:t>
      </w:r>
      <w:r>
        <w:rPr>
          <w:sz w:val="22"/>
        </w:rPr>
        <w:t xml:space="preserve"> the site of pressure down the surface of the mini-tube, away from the initial compressed site. </w:t>
      </w:r>
    </w:p>
    <w:p w14:paraId="04C0BDC9" w14:textId="749945B0" w:rsidR="00695F22" w:rsidRPr="00316957" w:rsidRDefault="00CC4C75" w:rsidP="00A0265E">
      <w:pPr>
        <w:pStyle w:val="JHEPBody"/>
        <w:numPr>
          <w:ilvl w:val="0"/>
          <w:numId w:val="33"/>
        </w:numPr>
        <w:spacing w:line="480" w:lineRule="auto"/>
        <w:rPr>
          <w:sz w:val="22"/>
        </w:rPr>
      </w:pPr>
      <w:r w:rsidRPr="00A0265E">
        <w:rPr>
          <w:b/>
          <w:bCs/>
          <w:sz w:val="22"/>
        </w:rPr>
        <w:t>CRP</w:t>
      </w:r>
      <w:r w:rsidRPr="00A0265E">
        <w:rPr>
          <w:sz w:val="22"/>
        </w:rPr>
        <w:t>:</w:t>
      </w:r>
      <w:r w:rsidR="00017329" w:rsidRPr="00A0265E">
        <w:rPr>
          <w:sz w:val="22"/>
        </w:rPr>
        <w:t xml:space="preserve"> SCI causes hemorrhage, ischemia, severe inflammation, and cellular necrosi</w:t>
      </w:r>
      <w:r w:rsidR="00161427" w:rsidRPr="00A0265E">
        <w:rPr>
          <w:sz w:val="22"/>
        </w:rPr>
        <w:t>s</w:t>
      </w:r>
      <w:r w:rsidR="00017329" w:rsidRPr="00A0265E">
        <w:rPr>
          <w:sz w:val="22"/>
        </w:rPr>
        <w:t>.</w:t>
      </w:r>
      <w:r w:rsidR="00161427" w:rsidRPr="00A0265E">
        <w:rPr>
          <w:sz w:val="22"/>
        </w:rPr>
        <w:t xml:space="preserve"> </w:t>
      </w:r>
      <w:r w:rsidR="00176318" w:rsidRPr="00A0265E">
        <w:rPr>
          <w:sz w:val="22"/>
        </w:rPr>
        <w:t>After SCI, p</w:t>
      </w:r>
      <w:r w:rsidR="00161427" w:rsidRPr="00A0265E">
        <w:rPr>
          <w:sz w:val="22"/>
        </w:rPr>
        <w:t>ro-inflammatory cytokines such as interleukins 1beta (IL1</w:t>
      </w:r>
      <w:r w:rsidR="0030079B" w:rsidRPr="00A0265E">
        <w:rPr>
          <w:sz w:val="22"/>
        </w:rPr>
        <w:t>-</w:t>
      </w:r>
      <w:r w:rsidR="00161427" w:rsidRPr="00A0265E">
        <w:rPr>
          <w:sz w:val="22"/>
        </w:rPr>
        <w:t>beta)</w:t>
      </w:r>
      <w:r w:rsidR="0030079B" w:rsidRPr="00A0265E">
        <w:rPr>
          <w:sz w:val="22"/>
        </w:rPr>
        <w:t>, 6 (IL-6)</w:t>
      </w:r>
      <w:r w:rsidR="00161427" w:rsidRPr="00A0265E">
        <w:rPr>
          <w:sz w:val="22"/>
        </w:rPr>
        <w:t xml:space="preserve"> as well necrosis factor alpha (TNF-alpha), interferon gamma (IGN-gamma)</w:t>
      </w:r>
      <w:r w:rsidR="00FB251D" w:rsidRPr="00A0265E">
        <w:rPr>
          <w:sz w:val="22"/>
        </w:rPr>
        <w:t>,</w:t>
      </w:r>
      <w:r w:rsidR="00161427" w:rsidRPr="00A0265E">
        <w:rPr>
          <w:sz w:val="22"/>
        </w:rPr>
        <w:t xml:space="preserve"> CC, CXC, and CX3C </w:t>
      </w:r>
      <w:r w:rsidR="0030079B" w:rsidRPr="00A0265E">
        <w:rPr>
          <w:sz w:val="22"/>
        </w:rPr>
        <w:t>chemokines; levels</w:t>
      </w:r>
      <w:r w:rsidR="00161427" w:rsidRPr="00A0265E">
        <w:rPr>
          <w:sz w:val="22"/>
        </w:rPr>
        <w:t xml:space="preserve"> are </w:t>
      </w:r>
      <w:r w:rsidR="00176318" w:rsidRPr="00A0265E">
        <w:rPr>
          <w:sz w:val="22"/>
        </w:rPr>
        <w:t>elevated</w:t>
      </w:r>
      <w:r w:rsidR="0030079B" w:rsidRPr="00A0265E">
        <w:rPr>
          <w:sz w:val="22"/>
        </w:rPr>
        <w:t xml:space="preserve"> </w:t>
      </w:r>
      <w:r w:rsidR="0030079B" w:rsidRPr="00A0265E">
        <w:rPr>
          <w:sz w:val="22"/>
        </w:rPr>
        <w:fldChar w:fldCharType="begin"/>
      </w:r>
      <w:r w:rsidR="0030079B" w:rsidRPr="00A0265E">
        <w:rPr>
          <w:sz w:val="22"/>
        </w:rPr>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rsidRPr="00A0265E">
        <w:rPr>
          <w:sz w:val="22"/>
        </w:rPr>
        <w:fldChar w:fldCharType="separate"/>
      </w:r>
      <w:r w:rsidR="0030079B" w:rsidRPr="00A0265E">
        <w:rPr>
          <w:noProof/>
          <w:sz w:val="22"/>
        </w:rPr>
        <w:t>(Kwiecien et al.)</w:t>
      </w:r>
      <w:r w:rsidR="0030079B" w:rsidRPr="00A0265E">
        <w:rPr>
          <w:sz w:val="22"/>
        </w:rPr>
        <w:fldChar w:fldCharType="end"/>
      </w:r>
      <w:r w:rsidR="00176318" w:rsidRPr="00A0265E">
        <w:rPr>
          <w:sz w:val="22"/>
        </w:rPr>
        <w:t>.</w:t>
      </w:r>
      <w:r w:rsidR="00071E26" w:rsidRPr="00A0265E">
        <w:rPr>
          <w:sz w:val="22"/>
        </w:rPr>
        <w:t xml:space="preserve"> </w:t>
      </w:r>
      <w:r w:rsidR="0030079B" w:rsidRPr="00A0265E">
        <w:rPr>
          <w:sz w:val="22"/>
        </w:rPr>
        <w:t xml:space="preserve"> </w:t>
      </w:r>
      <w:r w:rsidR="004C047D" w:rsidRPr="00A0265E">
        <w:rPr>
          <w:rFonts w:cs="Tahoma"/>
          <w:color w:val="212121"/>
          <w:sz w:val="22"/>
          <w:shd w:val="clear" w:color="auto" w:fill="FFFFFF"/>
        </w:rPr>
        <w:t>)</w:t>
      </w:r>
      <w:r w:rsidR="004C047D" w:rsidRPr="00A0265E">
        <w:rPr>
          <w:sz w:val="22"/>
        </w:rPr>
        <w:t>. Inflammation could also be caused by the immune response to the scaffold or the stem cell therapy, or the immunosuppressant used in combination of the stem cell therapy.</w:t>
      </w:r>
      <w:r w:rsidR="00F6590F" w:rsidRPr="00A0265E">
        <w:rPr>
          <w:sz w:val="22"/>
        </w:rPr>
        <w:t xml:space="preserve"> </w:t>
      </w:r>
      <w:r w:rsidR="00071E26" w:rsidRPr="00A0265E">
        <w:rPr>
          <w:sz w:val="22"/>
        </w:rPr>
        <w:t xml:space="preserve">IL1-beta, IL-6, and TNF are reported to induce </w:t>
      </w:r>
      <w:r w:rsidR="00FB251D" w:rsidRPr="00A0265E">
        <w:rPr>
          <w:sz w:val="22"/>
        </w:rPr>
        <w:t>synthesis</w:t>
      </w:r>
      <w:r w:rsidR="00071E26" w:rsidRPr="00A0265E">
        <w:rPr>
          <w:sz w:val="22"/>
        </w:rPr>
        <w:t xml:space="preserve"> by the liver of C-reactive protein </w:t>
      </w:r>
      <w:r w:rsidR="00FB251D" w:rsidRPr="00A0265E">
        <w:rPr>
          <w:sz w:val="22"/>
        </w:rPr>
        <w:t>(</w:t>
      </w:r>
      <w:r w:rsidR="00071E26" w:rsidRPr="00A0265E">
        <w:rPr>
          <w:sz w:val="22"/>
        </w:rPr>
        <w:t>CRP)</w:t>
      </w:r>
      <w:r w:rsidR="00825603" w:rsidRPr="00A0265E">
        <w:rPr>
          <w:sz w:val="22"/>
        </w:rPr>
        <w:t xml:space="preserve"> (</w:t>
      </w:r>
      <w:r w:rsidR="00825603" w:rsidRPr="00A0265E">
        <w:rPr>
          <w:rFonts w:cs="Tahoma"/>
          <w:color w:val="212121"/>
          <w:sz w:val="22"/>
          <w:shd w:val="clear" w:color="auto" w:fill="FFFFFF"/>
        </w:rPr>
        <w:t>Sheldon, J et al)</w:t>
      </w:r>
      <w:r w:rsidR="00071E26" w:rsidRPr="00A0265E">
        <w:rPr>
          <w:sz w:val="22"/>
        </w:rPr>
        <w:t>.</w:t>
      </w:r>
      <w:r w:rsidR="00176318" w:rsidRPr="00A0265E">
        <w:rPr>
          <w:sz w:val="22"/>
        </w:rPr>
        <w:t xml:space="preserve"> </w:t>
      </w:r>
      <w:r w:rsidR="00BF3122" w:rsidRPr="00A0265E">
        <w:rPr>
          <w:sz w:val="22"/>
        </w:rPr>
        <w:t xml:space="preserve">In addition, </w:t>
      </w:r>
      <w:proofErr w:type="spellStart"/>
      <w:proofErr w:type="gramStart"/>
      <w:r w:rsidR="00C40D2B" w:rsidRPr="00A0265E">
        <w:rPr>
          <w:sz w:val="22"/>
        </w:rPr>
        <w:t>hs</w:t>
      </w:r>
      <w:r w:rsidR="00BF3122" w:rsidRPr="00A0265E">
        <w:rPr>
          <w:sz w:val="22"/>
        </w:rPr>
        <w:t>CRP</w:t>
      </w:r>
      <w:proofErr w:type="spellEnd"/>
      <w:r w:rsidR="00C40D2B" w:rsidRPr="00A0265E">
        <w:rPr>
          <w:sz w:val="22"/>
        </w:rPr>
        <w:t>(</w:t>
      </w:r>
      <w:proofErr w:type="gramEnd"/>
      <w:r w:rsidR="00C40D2B" w:rsidRPr="00A0265E">
        <w:rPr>
          <w:sz w:val="22"/>
        </w:rPr>
        <w:t>high-sensitivity CRP)</w:t>
      </w:r>
      <w:r w:rsidR="00BF3122" w:rsidRPr="00A0265E">
        <w:rPr>
          <w:sz w:val="22"/>
        </w:rPr>
        <w:t xml:space="preserve"> levels are higher for people with chronic SCI (chronic SCI:  SCI </w:t>
      </w:r>
      <w:r w:rsidR="00C40D2B" w:rsidRPr="00A0265E">
        <w:rPr>
          <w:sz w:val="22"/>
        </w:rPr>
        <w:t>complications longer than 1 year) with a mean CRP of 3.36 +/- 2.86 mg/L putting these people in high risk of CVD (American Heart Association)</w:t>
      </w:r>
      <w:r w:rsidR="00BD218D" w:rsidRPr="00A0265E">
        <w:rPr>
          <w:sz w:val="22"/>
        </w:rPr>
        <w:t xml:space="preserve"> (</w:t>
      </w:r>
      <w:r w:rsidR="00BD218D" w:rsidRPr="00A0265E">
        <w:rPr>
          <w:rFonts w:cs="Tahoma"/>
          <w:color w:val="212121"/>
          <w:sz w:val="22"/>
          <w:shd w:val="clear" w:color="auto" w:fill="FFFFFF"/>
        </w:rPr>
        <w:t>Gibson, A E et al</w:t>
      </w:r>
      <w:r w:rsidR="00A0265E">
        <w:rPr>
          <w:rFonts w:cs="Tahoma"/>
          <w:color w:val="212121"/>
          <w:sz w:val="22"/>
          <w:shd w:val="clear" w:color="auto" w:fill="FFFFFF"/>
        </w:rPr>
        <w:t>).</w:t>
      </w:r>
    </w:p>
    <w:p w14:paraId="371366CD" w14:textId="5F0959C2" w:rsidR="00316957" w:rsidRPr="00316957" w:rsidRDefault="00316957" w:rsidP="00316957">
      <w:pPr>
        <w:pStyle w:val="JHEPBody"/>
        <w:spacing w:line="480" w:lineRule="auto"/>
        <w:ind w:left="360"/>
        <w:rPr>
          <w:sz w:val="22"/>
        </w:rPr>
      </w:pPr>
      <w:r w:rsidRPr="00316957">
        <w:rPr>
          <w:sz w:val="22"/>
        </w:rPr>
        <w:lastRenderedPageBreak/>
        <w:t>The</w:t>
      </w:r>
      <w:r>
        <w:rPr>
          <w:sz w:val="22"/>
        </w:rPr>
        <w:t xml:space="preserve"> neural-scaffold is a polymer construct made of bioabsorbable and biodegradable polyglycolide (PGA) or poly(</w:t>
      </w:r>
      <w:proofErr w:type="spellStart"/>
      <w:r>
        <w:rPr>
          <w:sz w:val="22"/>
        </w:rPr>
        <w:t>glycolide</w:t>
      </w:r>
      <w:proofErr w:type="spellEnd"/>
      <w:r>
        <w:rPr>
          <w:sz w:val="22"/>
        </w:rPr>
        <w:t>-co-lactide) (PGA-co-PLA) FDA approved polymers</w:t>
      </w:r>
      <w:r w:rsidR="004D489F">
        <w:rPr>
          <w:sz w:val="22"/>
        </w:rPr>
        <w:t>;</w:t>
      </w:r>
      <w:r>
        <w:rPr>
          <w:sz w:val="22"/>
        </w:rPr>
        <w:t xml:space="preserve"> which degrade by simple hydrolysis to water and excreted via the kidney.</w:t>
      </w:r>
      <w:r w:rsidR="004D489F">
        <w:rPr>
          <w:sz w:val="22"/>
        </w:rPr>
        <w:t xml:space="preserve"> In addition, this product </w:t>
      </w:r>
      <w:r w:rsidR="004D489F">
        <w:rPr>
          <w:sz w:val="22"/>
        </w:rPr>
        <w:t>creates an isolating interface protecting the spared tissue</w:t>
      </w:r>
      <w:r w:rsidR="004D489F">
        <w:rPr>
          <w:sz w:val="22"/>
        </w:rPr>
        <w:t>, minimizing secondary injury by inhibiting cell-cell signaling with inflammatory cytokines.</w:t>
      </w:r>
      <w:r w:rsidR="00E251CE">
        <w:rPr>
          <w:sz w:val="22"/>
        </w:rPr>
        <w:t xml:space="preserve"> The lumen of the mini-tube can be seeded with transplanted stem cells such as OPC1 in combination of anti-inflammatory and immunosuppressive drugs.</w:t>
      </w:r>
    </w:p>
    <w:p w14:paraId="6CF2EBF6" w14:textId="1085A57C" w:rsidR="00CC4C75" w:rsidRDefault="00D440FD" w:rsidP="00A0265E">
      <w:pPr>
        <w:pStyle w:val="JHEPBody"/>
        <w:numPr>
          <w:ilvl w:val="0"/>
          <w:numId w:val="33"/>
        </w:numPr>
        <w:spacing w:line="480" w:lineRule="auto"/>
        <w:rPr>
          <w:sz w:val="22"/>
        </w:rPr>
      </w:pPr>
      <w:r w:rsidRPr="00A0265E">
        <w:rPr>
          <w:b/>
          <w:bCs/>
          <w:sz w:val="22"/>
        </w:rPr>
        <w:t>Biological factors</w:t>
      </w:r>
      <w:r w:rsidRPr="00A0265E">
        <w:rPr>
          <w:sz w:val="22"/>
        </w:rPr>
        <w:t xml:space="preserve">: </w:t>
      </w:r>
      <w:proofErr w:type="spellStart"/>
      <w:r w:rsidR="0043561A" w:rsidRPr="00A0265E">
        <w:rPr>
          <w:sz w:val="22"/>
        </w:rPr>
        <w:t>Cluterin</w:t>
      </w:r>
      <w:proofErr w:type="spellEnd"/>
      <w:r w:rsidR="0043561A" w:rsidRPr="00A0265E">
        <w:rPr>
          <w:sz w:val="22"/>
        </w:rPr>
        <w:t xml:space="preserve"> (CLU) promotes cell aggregation, and it has hypothesized that astrocytes and neurons in response to traumatic lesion up-regulate CLU to preserve cell proximity. CLU also acts a chaperone protein to binds toxin or damaged molecules in the ECM</w:t>
      </w:r>
      <w:r w:rsidR="00567D07" w:rsidRPr="00A0265E">
        <w:rPr>
          <w:sz w:val="22"/>
        </w:rPr>
        <w:t xml:space="preserve"> </w:t>
      </w:r>
      <w:r w:rsidR="00567D07" w:rsidRPr="00A0265E">
        <w:rPr>
          <w:sz w:val="22"/>
        </w:rPr>
        <w:fldChar w:fldCharType="begin"/>
      </w:r>
      <w:r w:rsidR="00567D07" w:rsidRPr="00A0265E">
        <w:rPr>
          <w:sz w:val="22"/>
        </w:rPr>
        <w:instrText xml:space="preserve"> ADDIN ZOTERO_ITEM CSL_CITATION {"citationID":"8Dw02I0j","properties":{"formattedCitation":"(Klimaschewski et al.)","plainCitation":"(Klimaschewski et al.)","noteIndex":0},"citationItems":[{"id":4642,"uris":["http://zotero.org/users/7286058/items/IUUQ8CET"],"itemData":{"id":4642,"type":"article-journal","abstract":"We have investigated the localization and regulation of a putative extracellular chaperone, clusterin, in the rat spinal cord after lesion. In control animals, clusterin is expressed in motoneurons, in meningeal and ependymal cells, and in astrocytes mainly located beneath the pial surface. Beginning at day 2 after hemisection at segmental level C6, clusterin levels increase in GFAP-positive astrocytes within the lesioned segment. Three weeks after trauma, clusterin mRNA and protein are elevated in neurons close to the lesion site and in glial elements within scar tissue and within degenerating fiber tracts rostral and caudal to the lesion. This study provides evidence for a role of clusterin in the subacute and late phase of spinal cord injury.","container-title":"Cell and Tissue Research","DOI":"10.1007/s004410100431","ISSN":"0302766X","issue":"2","language":"en","page":"209-216","source":"DOI.org (Crossref)","title":"Regulation of clusterin expression following spinal cord injury","URL":"http://link.springer.com/10.1007/s004410100431","volume":"306","author":[{"family":"Klimaschewski","given":"L."},{"family":"Obermüller","given":"N."},{"family":"Witzgall","given":"R."}],"accessed":{"date-parts":[["2022",10,23]]},"issued":{"date-parts":[["2001",11,1]]}}}],"schema":"https://github.com/citation-style-language/schema/raw/master/csl-citation.json"} </w:instrText>
      </w:r>
      <w:r w:rsidR="00567D07" w:rsidRPr="00A0265E">
        <w:rPr>
          <w:sz w:val="22"/>
        </w:rPr>
        <w:fldChar w:fldCharType="separate"/>
      </w:r>
      <w:r w:rsidR="00567D07" w:rsidRPr="00A0265E">
        <w:rPr>
          <w:noProof/>
          <w:sz w:val="22"/>
        </w:rPr>
        <w:t>(Klimaschewski et al.)</w:t>
      </w:r>
      <w:r w:rsidR="00567D07" w:rsidRPr="00A0265E">
        <w:rPr>
          <w:sz w:val="22"/>
        </w:rPr>
        <w:fldChar w:fldCharType="end"/>
      </w:r>
      <w:r w:rsidR="0043561A" w:rsidRPr="00A0265E">
        <w:rPr>
          <w:sz w:val="22"/>
        </w:rPr>
        <w:t>.</w:t>
      </w:r>
      <w:r w:rsidR="00E04323" w:rsidRPr="00A0265E">
        <w:rPr>
          <w:sz w:val="22"/>
        </w:rPr>
        <w:t xml:space="preserve"> Apolipoprotein E (</w:t>
      </w:r>
      <w:proofErr w:type="spellStart"/>
      <w:r w:rsidR="00E04323" w:rsidRPr="00A0265E">
        <w:rPr>
          <w:sz w:val="22"/>
        </w:rPr>
        <w:t>apoE</w:t>
      </w:r>
      <w:proofErr w:type="spellEnd"/>
      <w:r w:rsidR="00E04323" w:rsidRPr="00A0265E">
        <w:rPr>
          <w:sz w:val="22"/>
        </w:rPr>
        <w:t xml:space="preserve">) </w:t>
      </w:r>
      <w:r w:rsidR="00CA6DE5" w:rsidRPr="00A0265E">
        <w:rPr>
          <w:sz w:val="22"/>
        </w:rPr>
        <w:t xml:space="preserve">is a plasma lipoprotein with an important role in lipid and cholesterol metabolism, </w:t>
      </w:r>
      <w:r w:rsidR="00E04323" w:rsidRPr="00A0265E">
        <w:rPr>
          <w:sz w:val="22"/>
        </w:rPr>
        <w:t xml:space="preserve">and deficiency of </w:t>
      </w:r>
      <w:proofErr w:type="spellStart"/>
      <w:r w:rsidR="00E04323" w:rsidRPr="00A0265E">
        <w:rPr>
          <w:sz w:val="22"/>
        </w:rPr>
        <w:t>apoE</w:t>
      </w:r>
      <w:proofErr w:type="spellEnd"/>
      <w:r w:rsidR="00E04323" w:rsidRPr="00A0265E">
        <w:rPr>
          <w:sz w:val="22"/>
        </w:rPr>
        <w:t xml:space="preserve"> increases inflammation and oxidative stress reducing functional recovery after SCI</w:t>
      </w:r>
      <w:r w:rsidR="00CA6DE5" w:rsidRPr="00A0265E">
        <w:rPr>
          <w:sz w:val="22"/>
        </w:rPr>
        <w:t xml:space="preserve"> </w:t>
      </w:r>
      <w:r w:rsidR="000924E9" w:rsidRPr="00A0265E">
        <w:rPr>
          <w:sz w:val="22"/>
        </w:rPr>
        <w:fldChar w:fldCharType="begin"/>
      </w:r>
      <w:r w:rsidR="000924E9" w:rsidRPr="00A0265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A0265E">
        <w:rPr>
          <w:sz w:val="22"/>
        </w:rPr>
        <w:fldChar w:fldCharType="separate"/>
      </w:r>
      <w:r w:rsidR="000924E9" w:rsidRPr="00A0265E">
        <w:rPr>
          <w:noProof/>
          <w:sz w:val="22"/>
        </w:rPr>
        <w:t>(Cheng et al.)</w:t>
      </w:r>
      <w:r w:rsidR="000924E9" w:rsidRPr="00A0265E">
        <w:rPr>
          <w:sz w:val="22"/>
        </w:rPr>
        <w:fldChar w:fldCharType="end"/>
      </w:r>
      <w:r w:rsidR="00E04323" w:rsidRPr="00A0265E">
        <w:rPr>
          <w:sz w:val="22"/>
        </w:rPr>
        <w:t>.</w:t>
      </w:r>
      <w:r w:rsidR="00737C00" w:rsidRPr="00A0265E">
        <w:rPr>
          <w:sz w:val="22"/>
        </w:rPr>
        <w:t xml:space="preserve"> </w:t>
      </w:r>
      <w:r w:rsidRPr="00A0265E">
        <w:rPr>
          <w:sz w:val="22"/>
        </w:rPr>
        <w:t xml:space="preserve">Monocyte chemoattractant protein-1 </w:t>
      </w:r>
      <w:r w:rsidR="0003722B" w:rsidRPr="00A0265E">
        <w:rPr>
          <w:sz w:val="22"/>
        </w:rPr>
        <w:t xml:space="preserve">(MCP-1 or CCL2) </w:t>
      </w:r>
      <w:r w:rsidR="00DD5EA3" w:rsidRPr="00A0265E">
        <w:rPr>
          <w:sz w:val="22"/>
        </w:rPr>
        <w:t>is a chemokine which recruits monocyte/macrophages to the sites of inflammation.</w:t>
      </w:r>
      <w:r w:rsidR="0003722B" w:rsidRPr="00A0265E">
        <w:rPr>
          <w:sz w:val="22"/>
        </w:rPr>
        <w:t xml:space="preserve"> MCP-1 </w:t>
      </w:r>
      <w:r w:rsidR="00DC4173" w:rsidRPr="00A0265E">
        <w:rPr>
          <w:sz w:val="22"/>
        </w:rPr>
        <w:t xml:space="preserve">is a chemoattractant molecule which </w:t>
      </w:r>
      <w:r w:rsidR="0003722B" w:rsidRPr="00A0265E">
        <w:rPr>
          <w:sz w:val="22"/>
        </w:rPr>
        <w:t xml:space="preserve">plays an important neuroprotective </w:t>
      </w:r>
      <w:r w:rsidR="00CF479E" w:rsidRPr="00A0265E">
        <w:rPr>
          <w:sz w:val="22"/>
        </w:rPr>
        <w:t>and anti-apoptosis role in SCI</w:t>
      </w:r>
      <w:r w:rsidR="00A63BB5" w:rsidRPr="00A0265E">
        <w:rPr>
          <w:sz w:val="22"/>
        </w:rPr>
        <w:t xml:space="preserve"> </w:t>
      </w:r>
      <w:r w:rsidR="00A63BB5" w:rsidRPr="00A0265E">
        <w:rPr>
          <w:sz w:val="22"/>
        </w:rPr>
        <w:fldChar w:fldCharType="begin"/>
      </w:r>
      <w:r w:rsidR="00A63BB5" w:rsidRPr="00A0265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A0265E">
        <w:rPr>
          <w:sz w:val="22"/>
        </w:rPr>
        <w:fldChar w:fldCharType="separate"/>
      </w:r>
      <w:r w:rsidR="00A63BB5" w:rsidRPr="00A0265E">
        <w:rPr>
          <w:noProof/>
          <w:sz w:val="22"/>
        </w:rPr>
        <w:t>(Tang et al.)</w:t>
      </w:r>
      <w:r w:rsidR="00A63BB5" w:rsidRPr="00A0265E">
        <w:rPr>
          <w:sz w:val="22"/>
        </w:rPr>
        <w:fldChar w:fldCharType="end"/>
      </w:r>
      <w:r w:rsidR="00CF479E" w:rsidRPr="00A0265E">
        <w:rPr>
          <w:sz w:val="22"/>
        </w:rPr>
        <w:t>.</w:t>
      </w:r>
      <w:r w:rsidR="004D489F">
        <w:rPr>
          <w:sz w:val="22"/>
        </w:rPr>
        <w:t xml:space="preserve"> </w:t>
      </w:r>
      <w:r w:rsidR="00E251CE">
        <w:rPr>
          <w:sz w:val="22"/>
        </w:rPr>
        <w:t xml:space="preserve">The NSC in itself bridges gap formed by the SC neurite growth, and interaction between neural stem cells such as OPC1 </w:t>
      </w:r>
      <w:r w:rsidR="008333C8">
        <w:rPr>
          <w:sz w:val="22"/>
        </w:rPr>
        <w:t>cells. The OPCs within the scaffold secreting the factors amplify the scaffold positive neural effect promoting neural repair, axonal growth and glial differentiation.</w:t>
      </w:r>
    </w:p>
    <w:p w14:paraId="722A3805" w14:textId="26EBDE41" w:rsidR="000D0203" w:rsidRPr="000D0203" w:rsidRDefault="000D0203" w:rsidP="000D0203">
      <w:pPr>
        <w:pStyle w:val="NormalWeb"/>
        <w:numPr>
          <w:ilvl w:val="0"/>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b/>
          <w:sz w:val="22"/>
          <w:szCs w:val="22"/>
          <w:lang w:bidi="en-US"/>
        </w:rPr>
        <w:t xml:space="preserve">Tumorigenicity: </w:t>
      </w:r>
      <w:r w:rsidRPr="00A0265E">
        <w:rPr>
          <w:rFonts w:ascii="Tahoma" w:hAnsi="Tahoma" w:cs="Tahoma"/>
          <w:bCs/>
          <w:sz w:val="22"/>
          <w:szCs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ascii="Tahoma" w:hAnsi="Tahoma" w:cs="Tahoma"/>
          <w:bCs/>
          <w:sz w:val="22"/>
          <w:szCs w:val="22"/>
          <w:lang w:bidi="en-US"/>
        </w:rPr>
        <w:t>For few years (to be determined with physicians), b</w:t>
      </w:r>
      <w:r w:rsidRPr="00A0265E">
        <w:rPr>
          <w:rFonts w:ascii="Tahoma" w:hAnsi="Tahoma" w:cs="Tahoma"/>
          <w:bCs/>
          <w:sz w:val="22"/>
          <w:szCs w:val="22"/>
          <w:lang w:bidi="en-US"/>
        </w:rPr>
        <w:t>iopsies of suspected cancerous tissues should be performed and scored. Optionally biomarker score for brain or spinal cord or other suspected cancer signs should be established and reviewed (</w:t>
      </w:r>
      <w:r w:rsidRPr="00A0265E">
        <w:rPr>
          <w:rFonts w:ascii="Tahoma" w:hAnsi="Tahoma" w:cs="Tahoma"/>
          <w:bCs/>
          <w:sz w:val="22"/>
          <w:szCs w:val="22"/>
          <w:lang w:bidi="en-US"/>
        </w:rPr>
        <w:fldChar w:fldCharType="begin"/>
      </w:r>
      <w:r w:rsidRPr="00A0265E">
        <w:rPr>
          <w:rFonts w:ascii="Tahoma" w:hAnsi="Tahoma" w:cs="Tahoma"/>
          <w:bCs/>
          <w:sz w:val="22"/>
          <w:szCs w:val="22"/>
          <w:lang w:bidi="en-US"/>
        </w:rPr>
        <w:instrText xml:space="preserve"> ADDIN ZOTERO_ITEM CSL_CITATION {"citationID":"RyELbjW7","properties":{"formattedCitation":"(Konovalov et al.)","plainCitation":"(Konovalov et al.)","noteIndex":0},"citationItems":[{"id":4674,"uris":["http://zotero.org/users/7286058/items/ZN6N9FHG"],"itemData":{"id":4674,"type":"article-journal","abstract":"Spinal cord astrocytomas are rare diseases of the central nervous system. The\nlocalization of these tumors and their infiltrative growth complicate their\nsurgical resection, increase the risk of postoperative complications, and\nrequire more careful use of radio- and chemotherapy. The information on the\ngenetic mutations associated with the onset and development of astrocytomas\nprovides a more accurate neoplasm diagnosis and classification. In some cases,\nit also allows one to determine the optimal methods for treating the neoplasm,\nas well as to predict the treatment outcomes and the risks of relapse. To date,\na number of molecular markers that are associated with brain astrocytomas and\npossess prognostic value have been identified and described. Due to the\nsignificantly lower incidence of spinal cord astrocytomas, the data on similar\nmarkers are much more sparse and are presented with a lesser degree of\nsystematization. However, due to the retrospective studies of clinical material\nthat have been actively conducted abroad in recent years, the formation of\nstatistically significant genetic landscapes for various types of tumors,\nincluding intradural spinal cord tumors, has begun. In this regard, the purpose\nof this review is to analyze and systematize the information on the most\nsignificant genetic mutations associated with various types of astrocytomas, as\nwell as discuss the prospects for using the corresponding molecular markers for\ndiagnostic and prognostic purposes.","container-title":"Acta Naturae","DOI":"10.32607/20758251-2019-11-2-17-27","ISSN":"2075-8251","issue":"2","journalAbbreviation":"Acta Naturae","note":"PMID: 31413876\nPMCID: PMC6643348","page":"17-27","source":"PubMed Central","title":"Molecular Biomarkers of Brain and Spinal Cord Astrocytomas","URL":"https://www.ncbi.nlm.nih.gov/pmc/articles/PMC6643348/","volume":"11","author":[{"family":"Konovalov","given":"N. A."},{"family":"Asyutin","given":"D. S."},{"family":"Shayhaev","given":"E. G."},{"family":"Kaprovoy","given":"S. V."},{"family":"Timonin","given":"S. Yu."}],"accessed":{"date-parts":[["2022",10,24]]},"issued":{"date-parts":[["2019"]]}}}],"schema":"https://github.com/citation-style-language/schema/raw/master/csl-citation.json"} </w:instrText>
      </w:r>
      <w:r w:rsidRPr="00A0265E">
        <w:rPr>
          <w:rFonts w:ascii="Tahoma" w:hAnsi="Tahoma" w:cs="Tahoma"/>
          <w:bCs/>
          <w:sz w:val="22"/>
          <w:szCs w:val="22"/>
          <w:lang w:bidi="en-US"/>
        </w:rPr>
        <w:fldChar w:fldCharType="separate"/>
      </w:r>
      <w:r w:rsidRPr="00A0265E">
        <w:rPr>
          <w:rFonts w:ascii="Tahoma" w:hAnsi="Tahoma" w:cs="Tahoma"/>
          <w:bCs/>
          <w:noProof/>
          <w:sz w:val="22"/>
          <w:szCs w:val="22"/>
          <w:lang w:bidi="en-US"/>
        </w:rPr>
        <w:t>(</w:t>
      </w:r>
      <w:proofErr w:type="spellStart"/>
      <w:r w:rsidRPr="00A0265E">
        <w:rPr>
          <w:rFonts w:ascii="Tahoma" w:hAnsi="Tahoma" w:cs="Tahoma"/>
          <w:bCs/>
          <w:noProof/>
          <w:sz w:val="22"/>
          <w:szCs w:val="22"/>
          <w:lang w:bidi="en-US"/>
        </w:rPr>
        <w:t>Konovalov</w:t>
      </w:r>
      <w:proofErr w:type="spellEnd"/>
      <w:r w:rsidRPr="00A0265E">
        <w:rPr>
          <w:rFonts w:ascii="Tahoma" w:hAnsi="Tahoma" w:cs="Tahoma"/>
          <w:bCs/>
          <w:noProof/>
          <w:sz w:val="22"/>
          <w:szCs w:val="22"/>
          <w:lang w:bidi="en-US"/>
        </w:rPr>
        <w:t xml:space="preserve"> et al.)</w:t>
      </w:r>
      <w:r w:rsidRPr="00A0265E">
        <w:rPr>
          <w:rFonts w:ascii="Tahoma" w:hAnsi="Tahoma" w:cs="Tahoma"/>
          <w:bCs/>
          <w:sz w:val="22"/>
          <w:szCs w:val="22"/>
          <w:lang w:bidi="en-US"/>
        </w:rPr>
        <w:fldChar w:fldCharType="end"/>
      </w:r>
      <w:r w:rsidRPr="00A0265E">
        <w:rPr>
          <w:rFonts w:ascii="Tahoma" w:hAnsi="Tahoma" w:cs="Tahoma"/>
          <w:bCs/>
          <w:sz w:val="22"/>
          <w:szCs w:val="22"/>
          <w:lang w:bidi="en-US"/>
        </w:rPr>
        <w:t>.</w:t>
      </w:r>
    </w:p>
    <w:p w14:paraId="56DFCF36" w14:textId="353BEDB7" w:rsidR="00AE4D50" w:rsidRPr="00A0265E" w:rsidRDefault="00AE4D50" w:rsidP="00A0265E">
      <w:pPr>
        <w:pStyle w:val="JHEPBody"/>
        <w:numPr>
          <w:ilvl w:val="0"/>
          <w:numId w:val="33"/>
        </w:numPr>
        <w:spacing w:line="480" w:lineRule="auto"/>
        <w:rPr>
          <w:sz w:val="22"/>
        </w:rPr>
      </w:pPr>
      <w:r w:rsidRPr="00A0265E">
        <w:rPr>
          <w:b/>
          <w:sz w:val="22"/>
          <w:lang w:bidi="en-US"/>
        </w:rPr>
        <w:lastRenderedPageBreak/>
        <w:t>ISNCSCI</w:t>
      </w:r>
      <w:r w:rsidRPr="00A0265E">
        <w:rPr>
          <w:bCs/>
          <w:sz w:val="22"/>
          <w:lang w:bidi="en-US"/>
        </w:rPr>
        <w:t>:</w:t>
      </w:r>
      <w:r w:rsidR="004E6F9B" w:rsidRPr="00A0265E">
        <w:rPr>
          <w:bCs/>
          <w:sz w:val="22"/>
          <w:lang w:bidi="en-US"/>
        </w:rPr>
        <w:t xml:space="preserve"> is an examination to score on the ASIA grade the motor and sensory impairment and severity of </w:t>
      </w:r>
      <w:r w:rsidR="007038F4" w:rsidRPr="00A0265E">
        <w:rPr>
          <w:bCs/>
          <w:sz w:val="22"/>
          <w:lang w:bidi="en-US"/>
        </w:rPr>
        <w:t>SCI based on low level raw scores. Raw scores</w:t>
      </w:r>
      <w:r w:rsidR="004E6F9B" w:rsidRPr="00A0265E">
        <w:rPr>
          <w:bCs/>
          <w:sz w:val="22"/>
          <w:lang w:bidi="en-US"/>
        </w:rPr>
        <w:t xml:space="preserve"> are divided into motor [0,100] and sensor scales [0,224]</w:t>
      </w:r>
      <w:r w:rsidR="002172DA" w:rsidRPr="00A0265E">
        <w:rPr>
          <w:bCs/>
          <w:sz w:val="22"/>
          <w:lang w:bidi="en-US"/>
        </w:rPr>
        <w:t xml:space="preserve"> (ISNCSCI)</w:t>
      </w:r>
      <w:r w:rsidR="004E6F9B" w:rsidRPr="00A0265E">
        <w:rPr>
          <w:bCs/>
          <w:sz w:val="22"/>
          <w:lang w:bidi="en-US"/>
        </w:rPr>
        <w:t>:</w:t>
      </w:r>
    </w:p>
    <w:p w14:paraId="43FCE234" w14:textId="0FC203BB" w:rsidR="007038F4" w:rsidRPr="00A0265E" w:rsidRDefault="00FB00AB" w:rsidP="00A0265E">
      <w:pPr>
        <w:pStyle w:val="NormalWeb"/>
        <w:numPr>
          <w:ilvl w:val="1"/>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color w:val="000000"/>
          <w:sz w:val="22"/>
          <w:szCs w:val="22"/>
        </w:rPr>
        <w:t xml:space="preserve">Motor scale is divided to subscale of upper extremity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50</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and lower extremity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50</w:t>
      </w:r>
      <w:r w:rsidR="004E6F9B" w:rsidRPr="00A0265E">
        <w:rPr>
          <w:rFonts w:ascii="Tahoma" w:hAnsi="Tahoma" w:cs="Tahoma"/>
          <w:color w:val="000000"/>
          <w:sz w:val="22"/>
          <w:szCs w:val="22"/>
        </w:rPr>
        <w:t>], u</w:t>
      </w:r>
      <w:r w:rsidRPr="00A0265E">
        <w:rPr>
          <w:rFonts w:ascii="Tahoma" w:hAnsi="Tahoma" w:cs="Tahoma"/>
          <w:color w:val="000000"/>
          <w:sz w:val="22"/>
          <w:szCs w:val="22"/>
        </w:rPr>
        <w:t xml:space="preserve">pper and lower of Right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25</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w:t>
      </w:r>
      <w:r w:rsidR="004E6F9B" w:rsidRPr="00A0265E">
        <w:rPr>
          <w:rFonts w:ascii="Tahoma" w:hAnsi="Tahoma" w:cs="Tahoma"/>
          <w:color w:val="000000"/>
          <w:sz w:val="22"/>
          <w:szCs w:val="22"/>
        </w:rPr>
        <w:t>and</w:t>
      </w:r>
      <w:r w:rsidRPr="00A0265E">
        <w:rPr>
          <w:rFonts w:ascii="Tahoma" w:hAnsi="Tahoma" w:cs="Tahoma"/>
          <w:color w:val="000000"/>
          <w:sz w:val="22"/>
          <w:szCs w:val="22"/>
        </w:rPr>
        <w:t xml:space="preserve"> </w:t>
      </w:r>
      <w:r w:rsidR="004E6F9B" w:rsidRPr="00A0265E">
        <w:rPr>
          <w:rFonts w:ascii="Tahoma" w:hAnsi="Tahoma" w:cs="Tahoma"/>
          <w:color w:val="000000"/>
          <w:sz w:val="22"/>
          <w:szCs w:val="22"/>
        </w:rPr>
        <w:t>l</w:t>
      </w:r>
      <w:r w:rsidRPr="00A0265E">
        <w:rPr>
          <w:rFonts w:ascii="Tahoma" w:hAnsi="Tahoma" w:cs="Tahoma"/>
          <w:color w:val="000000"/>
          <w:sz w:val="22"/>
          <w:szCs w:val="22"/>
        </w:rPr>
        <w:t xml:space="preserve">eft </w:t>
      </w:r>
      <w:r w:rsidR="004E6F9B" w:rsidRPr="00A0265E">
        <w:rPr>
          <w:rFonts w:ascii="Tahoma" w:hAnsi="Tahoma" w:cs="Tahoma"/>
          <w:color w:val="000000"/>
          <w:sz w:val="22"/>
          <w:szCs w:val="22"/>
        </w:rPr>
        <w:t>[0, 25]</w:t>
      </w:r>
      <w:r w:rsidRPr="00A0265E">
        <w:rPr>
          <w:rFonts w:ascii="Tahoma" w:hAnsi="Tahoma" w:cs="Tahoma"/>
          <w:color w:val="000000"/>
          <w:sz w:val="22"/>
          <w:szCs w:val="22"/>
        </w:rPr>
        <w:t>).</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 xml:space="preserve">Each upper </w:t>
      </w:r>
      <w:r w:rsidR="004E6F9B" w:rsidRPr="00A0265E">
        <w:rPr>
          <w:rFonts w:ascii="Tahoma" w:hAnsi="Tahoma" w:cs="Tahoma"/>
          <w:color w:val="000000"/>
          <w:sz w:val="22"/>
          <w:szCs w:val="22"/>
        </w:rPr>
        <w:t>and</w:t>
      </w:r>
      <w:r w:rsidRPr="00A0265E">
        <w:rPr>
          <w:rFonts w:ascii="Tahoma" w:hAnsi="Tahoma" w:cs="Tahoma"/>
          <w:color w:val="000000"/>
          <w:sz w:val="22"/>
          <w:szCs w:val="22"/>
        </w:rPr>
        <w:t xml:space="preserve"> lower extremity is divided </w:t>
      </w:r>
      <w:r w:rsidR="004E6F9B" w:rsidRPr="00A0265E">
        <w:rPr>
          <w:rFonts w:ascii="Tahoma" w:hAnsi="Tahoma" w:cs="Tahoma"/>
          <w:color w:val="000000"/>
          <w:sz w:val="22"/>
          <w:szCs w:val="22"/>
        </w:rPr>
        <w:t xml:space="preserve">into </w:t>
      </w:r>
      <w:r w:rsidRPr="00A0265E">
        <w:rPr>
          <w:rFonts w:ascii="Tahoma" w:hAnsi="Tahoma" w:cs="Tahoma"/>
          <w:color w:val="000000"/>
          <w:sz w:val="22"/>
          <w:szCs w:val="22"/>
        </w:rPr>
        <w:t xml:space="preserve">5 motor nerve function </w:t>
      </w:r>
      <w:r w:rsidR="007038F4" w:rsidRPr="00A0265E">
        <w:rPr>
          <w:rFonts w:ascii="Tahoma" w:hAnsi="Tahoma" w:cs="Tahoma"/>
          <w:color w:val="000000"/>
          <w:sz w:val="22"/>
          <w:szCs w:val="22"/>
        </w:rPr>
        <w:t>values in</w:t>
      </w:r>
      <w:r w:rsidR="006E7ED4">
        <w:rPr>
          <w:rFonts w:ascii="Tahoma" w:hAnsi="Tahoma" w:cs="Tahoma"/>
          <w:color w:val="000000"/>
          <w:sz w:val="22"/>
          <w:szCs w:val="22"/>
        </w:rPr>
        <w:t>s</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0</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5</w:t>
      </w:r>
      <w:r w:rsidR="004E6F9B" w:rsidRPr="00A0265E">
        <w:rPr>
          <w:rFonts w:ascii="Tahoma" w:hAnsi="Tahoma" w:cs="Tahoma"/>
          <w:color w:val="000000"/>
          <w:sz w:val="22"/>
          <w:szCs w:val="22"/>
        </w:rPr>
        <w:t>]</w:t>
      </w:r>
      <w:r w:rsidRPr="00A0265E">
        <w:rPr>
          <w:rFonts w:ascii="Tahoma" w:hAnsi="Tahoma" w:cs="Tahoma"/>
          <w:color w:val="000000"/>
          <w:sz w:val="22"/>
          <w:szCs w:val="22"/>
        </w:rPr>
        <w:t>.</w:t>
      </w:r>
    </w:p>
    <w:p w14:paraId="4700B4CF" w14:textId="49FA2935" w:rsidR="00FB00AB" w:rsidRPr="00A0265E" w:rsidRDefault="00FB00AB" w:rsidP="00A0265E">
      <w:pPr>
        <w:pStyle w:val="NormalWeb"/>
        <w:numPr>
          <w:ilvl w:val="1"/>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color w:val="000000"/>
          <w:sz w:val="22"/>
          <w:szCs w:val="22"/>
        </w:rPr>
        <w:t xml:space="preserve">Sensor scale is divided </w:t>
      </w:r>
      <w:r w:rsidR="004E6F9B" w:rsidRPr="00A0265E">
        <w:rPr>
          <w:rFonts w:ascii="Tahoma" w:hAnsi="Tahoma" w:cs="Tahoma"/>
          <w:color w:val="000000"/>
          <w:sz w:val="22"/>
          <w:szCs w:val="22"/>
        </w:rPr>
        <w:t>into</w:t>
      </w:r>
      <w:r w:rsidRPr="00A0265E">
        <w:rPr>
          <w:rFonts w:ascii="Tahoma" w:hAnsi="Tahoma" w:cs="Tahoma"/>
          <w:color w:val="000000"/>
          <w:sz w:val="22"/>
          <w:szCs w:val="22"/>
        </w:rPr>
        <w:t xml:space="preserve"> light touch </w:t>
      </w:r>
      <w:r w:rsidR="004E6F9B" w:rsidRPr="00A0265E">
        <w:rPr>
          <w:rFonts w:ascii="Tahoma" w:hAnsi="Tahoma" w:cs="Tahoma"/>
          <w:color w:val="000000"/>
          <w:sz w:val="22"/>
          <w:szCs w:val="22"/>
        </w:rPr>
        <w:t>[</w:t>
      </w:r>
      <w:r w:rsidRPr="00A0265E">
        <w:rPr>
          <w:rFonts w:ascii="Tahoma" w:hAnsi="Tahoma" w:cs="Tahoma"/>
          <w:color w:val="000000"/>
          <w:sz w:val="22"/>
          <w:szCs w:val="22"/>
        </w:rPr>
        <w:t>0-112</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and pin prick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112</w:t>
      </w:r>
      <w:r w:rsidR="004E6F9B" w:rsidRPr="00A0265E">
        <w:rPr>
          <w:rFonts w:ascii="Tahoma" w:hAnsi="Tahoma" w:cs="Tahoma"/>
          <w:color w:val="000000"/>
          <w:sz w:val="22"/>
          <w:szCs w:val="22"/>
        </w:rPr>
        <w:t>]</w:t>
      </w:r>
      <w:r w:rsidRPr="00A0265E">
        <w:rPr>
          <w:rFonts w:ascii="Tahoma" w:hAnsi="Tahoma" w:cs="Tahoma"/>
          <w:color w:val="000000"/>
          <w:sz w:val="22"/>
          <w:szCs w:val="22"/>
        </w:rPr>
        <w:t>.</w:t>
      </w:r>
      <w:r w:rsidR="004E6F9B" w:rsidRPr="00A0265E">
        <w:rPr>
          <w:rFonts w:ascii="Tahoma" w:hAnsi="Tahoma" w:cs="Tahoma"/>
          <w:color w:val="000000"/>
          <w:sz w:val="22"/>
          <w:szCs w:val="22"/>
        </w:rPr>
        <w:t xml:space="preserve"> Light touch and pin pricks are further subdivided</w:t>
      </w:r>
      <w:r w:rsidR="002172DA" w:rsidRPr="00A0265E">
        <w:rPr>
          <w:rFonts w:ascii="Tahoma" w:hAnsi="Tahoma" w:cs="Tahoma"/>
          <w:color w:val="000000"/>
          <w:sz w:val="22"/>
          <w:szCs w:val="22"/>
        </w:rPr>
        <w:t>.</w:t>
      </w:r>
      <w:r w:rsidR="00A530EB" w:rsidRPr="00A0265E">
        <w:rPr>
          <w:rFonts w:ascii="Tahoma" w:hAnsi="Tahoma" w:cs="Tahoma"/>
          <w:color w:val="000000"/>
          <w:sz w:val="22"/>
          <w:szCs w:val="22"/>
        </w:rPr>
        <w:t xml:space="preserve"> The scores need to be measured at different time points to evaluate the trend of the recovery.</w:t>
      </w:r>
      <w:r w:rsidR="00E94693" w:rsidRPr="00A0265E">
        <w:rPr>
          <w:rFonts w:ascii="Tahoma" w:hAnsi="Tahoma" w:cs="Tahoma"/>
          <w:color w:val="000000"/>
          <w:sz w:val="22"/>
          <w:szCs w:val="22"/>
        </w:rPr>
        <w:t xml:space="preserve"> A recent study proposed to compute a single score between two time points </w:t>
      </w:r>
      <w:r w:rsidR="00E94693" w:rsidRPr="00A0265E">
        <w:rPr>
          <w:rFonts w:ascii="Tahoma" w:hAnsi="Tahoma" w:cs="Tahoma"/>
          <w:color w:val="000000"/>
          <w:sz w:val="22"/>
          <w:szCs w:val="22"/>
        </w:rPr>
        <w:fldChar w:fldCharType="begin"/>
      </w:r>
      <w:r w:rsidR="00E94693" w:rsidRPr="00A0265E">
        <w:rPr>
          <w:rFonts w:ascii="Tahoma" w:hAnsi="Tahoma" w:cs="Tahoma"/>
          <w:color w:val="000000"/>
          <w:sz w:val="22"/>
          <w:szCs w:val="22"/>
        </w:rPr>
        <w:instrText xml:space="preserve"> ADDIN ZOTERO_ITEM CSL_CITATION {"citationID":"f3RyBbJR","properties":{"formattedCitation":"(Grassner et al.)","plainCitation":"(Grassner et al.)","noteIndex":0},"citationItems":[{"id":4671,"uris":["http://zotero.org/users/7286058/items/GAKUC62Y"],"itemData":{"id":4671,"type":"article-journal","container-title":"Journal of Neurotrauma","DOI":"10.1089/neu.2021.0368","ISSN":"0897-7151, 1557-9042","issue":"9-10","journalAbbreviation":"Journal of Neurotrauma","language":"en","page":"613-626","source":"DOI.org (Crossref)","title":"A New Score Based on the International Standards for Neurological Classification of Spinal Cord Injury for Integrative Evaluation of Changes in Sensorimotor Functions","URL":"https://www.liebertpub.com/doi/10.1089/neu.2021.0368","volume":"39","author":[{"family":"Grassner","given":"Lukas"},{"family":"Garcia-Ovejero","given":"Daniel"},{"family":"Mach","given":"Orpheus"},{"family":"Lopez-Dolado","given":"Elisa"},{"family":"Vargas-Baquero","given":"Eduardo"},{"family":"Alcobendas-Maestro","given":"Monica"},{"family":"Esclarin","given":"Ana"},{"family":"Sanktjohaneser","given":"Ludwig"},{"family":"Wutte","given":"Christof"},{"family":"Becker","given":"Johannes"},{"family":"Lener","given":"Sara"},{"family":"Hartmann","given":"Sebastian"},{"family":"Girod","given":"Pierre-Pascal"},{"family":"Kögl","given":"Nikolaus"},{"family":"Griessenauer","given":"Christoph J."},{"family":"Papadopoulus","given":"Marios"},{"family":"Geisler","given":"Fred"},{"family":"Thome","given":"Claudius"},{"family":"Molina-Holgado","given":"Eduardo"},{"family":"Vidal","given":"Joan"},{"family":"Curt","given":"Armin"},{"family":"Scivoletto","given":"Giorgio"},{"family":"Guest","given":"James"},{"family":"Maier","given":"Doris"},{"family":"Weidner","given":"Norbert"},{"family":"Rupp","given":"Rüdiger"},{"family":"Kramer","given":"John L.K."},{"family":"Arevalo-Martin","given":"Angel"}],"accessed":{"date-parts":[["2022",10,24]]},"issued":{"date-parts":[["2022",5,1]]}}}],"schema":"https://github.com/citation-style-language/schema/raw/master/csl-citation.json"} </w:instrText>
      </w:r>
      <w:r w:rsidR="00E94693" w:rsidRPr="00A0265E">
        <w:rPr>
          <w:rFonts w:ascii="Tahoma" w:hAnsi="Tahoma" w:cs="Tahoma"/>
          <w:color w:val="000000"/>
          <w:sz w:val="22"/>
          <w:szCs w:val="22"/>
        </w:rPr>
        <w:fldChar w:fldCharType="separate"/>
      </w:r>
      <w:r w:rsidR="00E94693" w:rsidRPr="00A0265E">
        <w:rPr>
          <w:rFonts w:ascii="Tahoma" w:hAnsi="Tahoma" w:cs="Tahoma"/>
          <w:noProof/>
          <w:color w:val="000000"/>
          <w:sz w:val="22"/>
          <w:szCs w:val="22"/>
        </w:rPr>
        <w:t>(Grassner et al.)</w:t>
      </w:r>
      <w:r w:rsidR="00E94693" w:rsidRPr="00A0265E">
        <w:rPr>
          <w:rFonts w:ascii="Tahoma" w:hAnsi="Tahoma" w:cs="Tahoma"/>
          <w:color w:val="000000"/>
          <w:sz w:val="22"/>
          <w:szCs w:val="22"/>
        </w:rPr>
        <w:fldChar w:fldCharType="end"/>
      </w:r>
    </w:p>
    <w:p w14:paraId="7DDAFFEC" w14:textId="29294445" w:rsidR="00A0265E" w:rsidRDefault="00185A64" w:rsidP="00274369">
      <w:pPr>
        <w:pStyle w:val="NormalWeb"/>
        <w:numPr>
          <w:ilvl w:val="0"/>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b/>
          <w:bCs/>
          <w:color w:val="000000"/>
          <w:sz w:val="22"/>
          <w:szCs w:val="22"/>
        </w:rPr>
        <w:t>AE</w:t>
      </w:r>
      <w:r w:rsidRPr="00A0265E">
        <w:rPr>
          <w:rFonts w:ascii="Tahoma" w:hAnsi="Tahoma" w:cs="Tahoma"/>
          <w:color w:val="000000"/>
          <w:sz w:val="22"/>
          <w:szCs w:val="22"/>
        </w:rPr>
        <w:t>:</w:t>
      </w:r>
      <w:r w:rsidR="00C757E0" w:rsidRPr="00A0265E">
        <w:rPr>
          <w:rFonts w:ascii="Tahoma" w:hAnsi="Tahoma" w:cs="Tahoma"/>
          <w:color w:val="000000"/>
          <w:sz w:val="22"/>
          <w:szCs w:val="22"/>
        </w:rPr>
        <w:t xml:space="preserve"> Safety assessment should be established through the monitoring of the patient for a minimum of a year on a specific schedule. A list of adverse events is established with the medical</w:t>
      </w:r>
      <w:r w:rsidR="00E91DBE" w:rsidRPr="00A0265E">
        <w:rPr>
          <w:rFonts w:ascii="Tahoma" w:hAnsi="Tahoma" w:cs="Tahoma"/>
          <w:color w:val="000000"/>
          <w:sz w:val="22"/>
          <w:szCs w:val="22"/>
        </w:rPr>
        <w:t xml:space="preserve"> staff</w:t>
      </w:r>
      <w:r w:rsidR="00C757E0" w:rsidRPr="00A0265E">
        <w:rPr>
          <w:rFonts w:ascii="Tahoma" w:hAnsi="Tahoma" w:cs="Tahoma"/>
          <w:color w:val="000000"/>
          <w:sz w:val="22"/>
          <w:szCs w:val="22"/>
        </w:rPr>
        <w:t xml:space="preserve">. These events are graded </w:t>
      </w:r>
      <w:r w:rsidR="0014779A" w:rsidRPr="00A0265E">
        <w:rPr>
          <w:rFonts w:ascii="Tahoma" w:hAnsi="Tahoma" w:cs="Tahoma"/>
          <w:color w:val="000000"/>
          <w:sz w:val="22"/>
          <w:szCs w:val="22"/>
        </w:rPr>
        <w:t xml:space="preserve">on a severity scale of 1 to 5 (1=mild, </w:t>
      </w:r>
      <w:r w:rsidR="00155B13">
        <w:rPr>
          <w:rFonts w:ascii="Tahoma" w:hAnsi="Tahoma" w:cs="Tahoma"/>
          <w:color w:val="000000"/>
          <w:sz w:val="22"/>
          <w:szCs w:val="22"/>
        </w:rPr>
        <w:t xml:space="preserve">to </w:t>
      </w:r>
      <w:r w:rsidR="0014779A" w:rsidRPr="00A0265E">
        <w:rPr>
          <w:rFonts w:ascii="Tahoma" w:hAnsi="Tahoma" w:cs="Tahoma"/>
          <w:color w:val="000000"/>
          <w:sz w:val="22"/>
          <w:szCs w:val="22"/>
        </w:rPr>
        <w:t>5: death) and recorded and counted</w:t>
      </w:r>
      <w:r w:rsidR="00836330" w:rsidRPr="00A0265E">
        <w:rPr>
          <w:rFonts w:ascii="Tahoma" w:hAnsi="Tahoma" w:cs="Tahoma"/>
          <w:color w:val="000000"/>
          <w:sz w:val="22"/>
          <w:szCs w:val="22"/>
        </w:rPr>
        <w:t xml:space="preserve"> (Christy L. Skelly et al.)</w:t>
      </w:r>
      <w:r w:rsidR="0014779A" w:rsidRPr="00A0265E">
        <w:rPr>
          <w:rFonts w:ascii="Tahoma" w:hAnsi="Tahoma" w:cs="Tahoma"/>
          <w:color w:val="000000"/>
          <w:sz w:val="22"/>
          <w:szCs w:val="22"/>
        </w:rPr>
        <w:t>.</w:t>
      </w:r>
    </w:p>
    <w:p w14:paraId="10AEA3CE" w14:textId="16CECBCA" w:rsidR="00DB5664" w:rsidRDefault="00DB5664" w:rsidP="00274369">
      <w:pPr>
        <w:pStyle w:val="JHEPBody"/>
        <w:rPr>
          <w:bCs/>
          <w:sz w:val="20"/>
          <w:szCs w:val="20"/>
          <w:lang w:bidi="en-US"/>
        </w:rPr>
      </w:pPr>
    </w:p>
    <w:p w14:paraId="166CAF78" w14:textId="77777777" w:rsidR="00DB5664" w:rsidRDefault="00DB5664" w:rsidP="00274369">
      <w:pPr>
        <w:pStyle w:val="JHEPBody"/>
        <w:rPr>
          <w:bCs/>
          <w:sz w:val="20"/>
          <w:szCs w:val="20"/>
          <w:lang w:bidi="en-US"/>
        </w:rPr>
      </w:pPr>
    </w:p>
    <w:p w14:paraId="295C26BC" w14:textId="77777777" w:rsidR="001F60BE" w:rsidRPr="001F60BE" w:rsidRDefault="001F60BE" w:rsidP="00274369">
      <w:pPr>
        <w:pStyle w:val="JHEPBody"/>
        <w:rPr>
          <w:bCs/>
          <w:sz w:val="20"/>
          <w:szCs w:val="20"/>
          <w:lang w:bidi="en-US"/>
        </w:rPr>
      </w:pPr>
    </w:p>
    <w:p w14:paraId="7B14A71E" w14:textId="370824D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lastRenderedPageBreak/>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lastRenderedPageBreak/>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333005D2" w14:textId="77777777" w:rsidR="0057577E" w:rsidRPr="0057577E" w:rsidRDefault="0057577E" w:rsidP="007D2A17">
      <w:pPr>
        <w:pStyle w:val="JHEPBody"/>
        <w:numPr>
          <w:ilvl w:val="0"/>
          <w:numId w:val="22"/>
        </w:numPr>
        <w:spacing w:before="120"/>
        <w:ind w:left="360"/>
        <w:rPr>
          <w:sz w:val="22"/>
        </w:rPr>
      </w:pPr>
      <w:proofErr w:type="spellStart"/>
      <w:r w:rsidRPr="0057577E">
        <w:rPr>
          <w:rFonts w:cs="Tahoma"/>
          <w:color w:val="212121"/>
          <w:shd w:val="clear" w:color="auto" w:fill="FFFFFF"/>
        </w:rPr>
        <w:t>Ocejo</w:t>
      </w:r>
      <w:proofErr w:type="spellEnd"/>
      <w:r w:rsidRPr="0057577E">
        <w:rPr>
          <w:rFonts w:cs="Tahoma"/>
          <w:color w:val="212121"/>
          <w:shd w:val="clear" w:color="auto" w:fill="FFFFFF"/>
        </w:rPr>
        <w:t>, Antonio. and Ricardo Correa. “Methylprednisolone.”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22 May 2022</w:t>
      </w:r>
      <w:r>
        <w:rPr>
          <w:rFonts w:ascii="Segoe UI" w:hAnsi="Segoe UI" w:cs="Segoe UI"/>
          <w:color w:val="212121"/>
          <w:shd w:val="clear" w:color="auto" w:fill="FFFFFF"/>
        </w:rPr>
        <w:t>.</w:t>
      </w:r>
    </w:p>
    <w:p w14:paraId="105C6475" w14:textId="77777777" w:rsidR="00E24020" w:rsidRDefault="00881FB4" w:rsidP="00E24020">
      <w:pPr>
        <w:pStyle w:val="Bibliography"/>
        <w:numPr>
          <w:ilvl w:val="0"/>
          <w:numId w:val="22"/>
        </w:numPr>
        <w:spacing w:before="120" w:line="240" w:lineRule="auto"/>
        <w:ind w:left="360"/>
        <w:rPr>
          <w:rFonts w:cs="Tahoma"/>
        </w:rPr>
      </w:pPr>
      <w:r w:rsidRPr="00881FB4">
        <w:rPr>
          <w:rFonts w:cs="Tahoma"/>
        </w:rPr>
        <w:t xml:space="preserve">The Effects and Potential Mechanisms of Locomotor Training on Improvements of Functional Recovery after Spinal Cord Injury | Elsevier Enhanced Reader. </w:t>
      </w:r>
      <w:hyperlink r:id="rId16" w:history="1">
        <w:r w:rsidR="00AE7B54" w:rsidRPr="007F43F8">
          <w:rPr>
            <w:rStyle w:val="Hyperlink"/>
            <w:rFonts w:cs="Tahoma"/>
          </w:rPr>
          <w:t>https://doi.org/10.1016/bs.irn.2019.08.003</w:t>
        </w:r>
      </w:hyperlink>
      <w:r w:rsidRPr="00881FB4">
        <w:rPr>
          <w:rFonts w:cs="Tahoma"/>
        </w:rPr>
        <w:t>.</w:t>
      </w:r>
    </w:p>
    <w:p w14:paraId="31980D4C" w14:textId="77777777" w:rsidR="009B0E73" w:rsidRDefault="00E24020" w:rsidP="009B0E73">
      <w:pPr>
        <w:pStyle w:val="Bibliography"/>
        <w:numPr>
          <w:ilvl w:val="0"/>
          <w:numId w:val="22"/>
        </w:numPr>
        <w:spacing w:before="120" w:line="240" w:lineRule="auto"/>
        <w:ind w:left="360"/>
      </w:pPr>
      <w:r w:rsidRPr="00E24020">
        <w:rPr>
          <w:b/>
          <w:bCs/>
        </w:rPr>
        <w:t>MABP</w:t>
      </w:r>
      <w:r>
        <w:t xml:space="preserve">: </w:t>
      </w:r>
      <w:hyperlink r:id="rId17" w:history="1">
        <w:r w:rsidR="00B23D1D" w:rsidRPr="005771F7">
          <w:rPr>
            <w:rStyle w:val="Hyperlink"/>
          </w:rPr>
          <w:t>https://www.healthline.com/health/mean-arterial-pressure</w:t>
        </w:r>
      </w:hyperlink>
    </w:p>
    <w:p w14:paraId="19D831BF" w14:textId="77777777" w:rsidR="001C1BA2" w:rsidRDefault="009B0E73" w:rsidP="001C1BA2">
      <w:pPr>
        <w:pStyle w:val="Bibliography"/>
        <w:numPr>
          <w:ilvl w:val="0"/>
          <w:numId w:val="22"/>
        </w:numPr>
        <w:spacing w:before="120" w:line="240" w:lineRule="auto"/>
        <w:ind w:left="360"/>
      </w:pPr>
      <w:r w:rsidRPr="009B0E73">
        <w:rPr>
          <w:b/>
          <w:bCs/>
        </w:rPr>
        <w:t>CRP</w:t>
      </w:r>
      <w:r>
        <w:t xml:space="preserve">: </w:t>
      </w:r>
      <w:hyperlink r:id="rId18" w:history="1">
        <w:r w:rsidR="001C1BA2" w:rsidRPr="005771F7">
          <w:rPr>
            <w:rStyle w:val="Hyperlink"/>
          </w:rPr>
          <w:t>https://my.clevelandclinic.org/health/diagnostics/23056-c-reactive-protein-crp-test</w:t>
        </w:r>
      </w:hyperlink>
    </w:p>
    <w:p w14:paraId="695D520C" w14:textId="77777777" w:rsidR="009D7C9D" w:rsidRDefault="001C1BA2" w:rsidP="009D7C9D">
      <w:pPr>
        <w:pStyle w:val="Bibliography"/>
        <w:numPr>
          <w:ilvl w:val="0"/>
          <w:numId w:val="22"/>
        </w:numPr>
        <w:spacing w:before="120" w:line="240" w:lineRule="auto"/>
        <w:ind w:left="360"/>
        <w:rPr>
          <w:rFonts w:cs="Tahoma"/>
        </w:rPr>
      </w:pPr>
      <w:r w:rsidRPr="001C1BA2">
        <w:rPr>
          <w:rFonts w:cs="Tahoma"/>
          <w:b/>
          <w:bCs/>
          <w:color w:val="000000"/>
        </w:rPr>
        <w:t>ISNCSCI</w:t>
      </w:r>
      <w:r w:rsidRPr="001C1BA2">
        <w:rPr>
          <w:rFonts w:cs="Tahoma"/>
          <w:color w:val="000000"/>
        </w:rPr>
        <w:t xml:space="preserve">: </w:t>
      </w:r>
      <w:hyperlink r:id="rId19" w:history="1">
        <w:r w:rsidR="009D7C9D" w:rsidRPr="005771F7">
          <w:rPr>
            <w:rStyle w:val="Hyperlink"/>
            <w:rFonts w:cs="Tahoma"/>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590D6D4" w14:textId="77777777" w:rsidR="00A0265E" w:rsidRPr="00A0265E" w:rsidRDefault="006C65A9" w:rsidP="00A0265E">
      <w:pPr>
        <w:pStyle w:val="Bibliography"/>
        <w:rPr>
          <w:rFonts w:cs="Tahoma"/>
        </w:rPr>
      </w:pPr>
      <w:r>
        <w:lastRenderedPageBreak/>
        <w:fldChar w:fldCharType="begin"/>
      </w:r>
      <w:r w:rsidR="00A0265E">
        <w:instrText xml:space="preserve"> ADDIN ZOTERO_BIBL {"uncited":[],"omitted":[],"custom":[]} CSL_BIBLIOGRAPHY </w:instrText>
      </w:r>
      <w:r>
        <w:fldChar w:fldCharType="separate"/>
      </w:r>
      <w:r w:rsidR="00A0265E" w:rsidRPr="00A0265E">
        <w:rPr>
          <w:rFonts w:cs="Tahoma"/>
        </w:rPr>
        <w:t xml:space="preserve">Badner, Anna, et al. “Spinal Cord Injuries: How Could Cell Therapy Help?” </w:t>
      </w:r>
      <w:r w:rsidR="00A0265E" w:rsidRPr="00A0265E">
        <w:rPr>
          <w:rFonts w:cs="Tahoma"/>
          <w:i/>
          <w:iCs/>
        </w:rPr>
        <w:t>Expert Opinion on Biological Therapy</w:t>
      </w:r>
      <w:r w:rsidR="00A0265E" w:rsidRPr="00A0265E">
        <w:rPr>
          <w:rFonts w:cs="Tahoma"/>
        </w:rPr>
        <w:t xml:space="preserve">, vol. 17, no. 5, May 2017, pp. 529–41. </w:t>
      </w:r>
      <w:r w:rsidR="00A0265E" w:rsidRPr="00A0265E">
        <w:rPr>
          <w:rFonts w:cs="Tahoma"/>
          <w:i/>
          <w:iCs/>
        </w:rPr>
        <w:t>DOI.org (Crossref)</w:t>
      </w:r>
      <w:r w:rsidR="00A0265E" w:rsidRPr="00A0265E">
        <w:rPr>
          <w:rFonts w:cs="Tahoma"/>
        </w:rPr>
        <w:t>, https://doi.org/10.1080/14712598.2017.1308481.</w:t>
      </w:r>
    </w:p>
    <w:p w14:paraId="208E2F60" w14:textId="77777777" w:rsidR="00A0265E" w:rsidRPr="00A0265E" w:rsidRDefault="00A0265E" w:rsidP="00A0265E">
      <w:pPr>
        <w:pStyle w:val="Bibliography"/>
        <w:rPr>
          <w:rFonts w:cs="Tahoma"/>
        </w:rPr>
      </w:pPr>
      <w:r w:rsidRPr="00A0265E">
        <w:rPr>
          <w:rFonts w:cs="Tahoma"/>
        </w:rPr>
        <w:t xml:space="preserve">Cheng, Xiaoxin, et al. “Apolipoprotein E as a Novel Therapeutic Neuroprotection Target after Traumatic Spinal Cord Injury.” </w:t>
      </w:r>
      <w:r w:rsidRPr="00A0265E">
        <w:rPr>
          <w:rFonts w:cs="Tahoma"/>
          <w:i/>
          <w:iCs/>
        </w:rPr>
        <w:t>Experimental Neurology</w:t>
      </w:r>
      <w:r w:rsidRPr="00A0265E">
        <w:rPr>
          <w:rFonts w:cs="Tahoma"/>
        </w:rPr>
        <w:t xml:space="preserve">, vol. 299, Jan. 2018, pp. 97–108. </w:t>
      </w:r>
      <w:r w:rsidRPr="00A0265E">
        <w:rPr>
          <w:rFonts w:cs="Tahoma"/>
          <w:i/>
          <w:iCs/>
        </w:rPr>
        <w:t>DOI.org (Crossref)</w:t>
      </w:r>
      <w:r w:rsidRPr="00A0265E">
        <w:rPr>
          <w:rFonts w:cs="Tahoma"/>
        </w:rPr>
        <w:t>, https://doi.org/10.1016/j.expneurol.2017.10.014.</w:t>
      </w:r>
    </w:p>
    <w:p w14:paraId="09BC3DBC" w14:textId="77777777" w:rsidR="00A0265E" w:rsidRPr="00A0265E" w:rsidRDefault="00A0265E" w:rsidP="00A0265E">
      <w:pPr>
        <w:pStyle w:val="Bibliography"/>
        <w:rPr>
          <w:rFonts w:cs="Tahoma"/>
        </w:rPr>
      </w:pPr>
      <w:r w:rsidRPr="00A0265E">
        <w:rPr>
          <w:rFonts w:cs="Tahoma"/>
        </w:rPr>
        <w:t xml:space="preserve">Desai, Jyaysi, et al. “Molecular Pathophysiology of Gout.” </w:t>
      </w:r>
      <w:r w:rsidRPr="00A0265E">
        <w:rPr>
          <w:rFonts w:cs="Tahoma"/>
          <w:i/>
          <w:iCs/>
        </w:rPr>
        <w:t>Trends in Molecular Medicine</w:t>
      </w:r>
      <w:r w:rsidRPr="00A0265E">
        <w:rPr>
          <w:rFonts w:cs="Tahoma"/>
        </w:rPr>
        <w:t xml:space="preserve">, vol. 23, no. 8, Aug. 2017, pp. 756–68. </w:t>
      </w:r>
      <w:r w:rsidRPr="00A0265E">
        <w:rPr>
          <w:rFonts w:cs="Tahoma"/>
          <w:i/>
          <w:iCs/>
        </w:rPr>
        <w:t>DOI.org (Crossref)</w:t>
      </w:r>
      <w:r w:rsidRPr="00A0265E">
        <w:rPr>
          <w:rFonts w:cs="Tahoma"/>
        </w:rPr>
        <w:t>, https://doi.org/10.1016/j.molmed.2017.06.005.</w:t>
      </w:r>
    </w:p>
    <w:p w14:paraId="15991032" w14:textId="77777777" w:rsidR="00A0265E" w:rsidRPr="00A0265E" w:rsidRDefault="00A0265E" w:rsidP="00A0265E">
      <w:pPr>
        <w:pStyle w:val="Bibliography"/>
        <w:rPr>
          <w:rFonts w:cs="Tahoma"/>
        </w:rPr>
      </w:pPr>
      <w:r w:rsidRPr="00A0265E">
        <w:rPr>
          <w:rFonts w:cs="Tahoma"/>
        </w:rPr>
        <w:t xml:space="preserve">Dobkin, B., et al. “Weight-Supported Treadmill vs over-Ground Training for Walking after Acute Incomplete SCI.” </w:t>
      </w:r>
      <w:r w:rsidRPr="00A0265E">
        <w:rPr>
          <w:rFonts w:cs="Tahoma"/>
          <w:i/>
          <w:iCs/>
        </w:rPr>
        <w:t>Neurology</w:t>
      </w:r>
      <w:r w:rsidRPr="00A0265E">
        <w:rPr>
          <w:rFonts w:cs="Tahoma"/>
        </w:rPr>
        <w:t xml:space="preserve">, vol. 66, no. 4, Feb. 2006, pp. 484–93. </w:t>
      </w:r>
      <w:r w:rsidRPr="00A0265E">
        <w:rPr>
          <w:rFonts w:cs="Tahoma"/>
          <w:i/>
          <w:iCs/>
        </w:rPr>
        <w:t>PubMed Central</w:t>
      </w:r>
      <w:r w:rsidRPr="00A0265E">
        <w:rPr>
          <w:rFonts w:cs="Tahoma"/>
        </w:rPr>
        <w:t>, https://doi.org/10.1212/01.wnl.0000202600.72018.39.</w:t>
      </w:r>
    </w:p>
    <w:p w14:paraId="2C0EF8CD" w14:textId="77777777" w:rsidR="00A0265E" w:rsidRPr="00A0265E" w:rsidRDefault="00A0265E" w:rsidP="00A0265E">
      <w:pPr>
        <w:pStyle w:val="Bibliography"/>
        <w:rPr>
          <w:rFonts w:cs="Tahoma"/>
        </w:rPr>
      </w:pPr>
      <w:r w:rsidRPr="00A0265E">
        <w:rPr>
          <w:rFonts w:cs="Tahoma"/>
        </w:rPr>
        <w:t xml:space="preserve">Dukes, Ellen M., et al. “Relationship of American Spinal Injury Association Impairment Scale Grade to Post-Injury Hospitalization and Costs in Thoracic Spinal Cord Injury.” </w:t>
      </w:r>
      <w:r w:rsidRPr="00A0265E">
        <w:rPr>
          <w:rFonts w:cs="Tahoma"/>
          <w:i/>
          <w:iCs/>
        </w:rPr>
        <w:t>Neurosurgery</w:t>
      </w:r>
      <w:r w:rsidRPr="00A0265E">
        <w:rPr>
          <w:rFonts w:cs="Tahoma"/>
        </w:rPr>
        <w:t xml:space="preserve">, vol. 83, no. 3, Sept. 2018, pp. 445–51. </w:t>
      </w:r>
      <w:r w:rsidRPr="00A0265E">
        <w:rPr>
          <w:rFonts w:cs="Tahoma"/>
          <w:i/>
          <w:iCs/>
        </w:rPr>
        <w:t>PubMed Central</w:t>
      </w:r>
      <w:r w:rsidRPr="00A0265E">
        <w:rPr>
          <w:rFonts w:cs="Tahoma"/>
        </w:rPr>
        <w:t>, https://doi.org/10.1093/neuros/nyx425.</w:t>
      </w:r>
    </w:p>
    <w:p w14:paraId="556B9182" w14:textId="77777777" w:rsidR="00A0265E" w:rsidRPr="00A0265E" w:rsidRDefault="00A0265E" w:rsidP="00A0265E">
      <w:pPr>
        <w:pStyle w:val="Bibliography"/>
        <w:rPr>
          <w:rFonts w:cs="Tahoma"/>
        </w:rPr>
      </w:pPr>
      <w:r w:rsidRPr="00A0265E">
        <w:rPr>
          <w:rFonts w:cs="Tahoma"/>
        </w:rPr>
        <w:t xml:space="preserve">Epstein, Nancy E. “Cerebrospinal Fluid Drains Reduce Risk of Spinal Cord Injury for Thoracic/Thoracoabdominal Aneurysm Surgery: A Review.” </w:t>
      </w:r>
      <w:r w:rsidRPr="00A0265E">
        <w:rPr>
          <w:rFonts w:cs="Tahoma"/>
          <w:i/>
          <w:iCs/>
        </w:rPr>
        <w:t>Surgical Neurology International</w:t>
      </w:r>
      <w:r w:rsidRPr="00A0265E">
        <w:rPr>
          <w:rFonts w:cs="Tahoma"/>
        </w:rPr>
        <w:t xml:space="preserve">, vol. 9, Feb. 2018, p. 48. </w:t>
      </w:r>
      <w:r w:rsidRPr="00A0265E">
        <w:rPr>
          <w:rFonts w:cs="Tahoma"/>
          <w:i/>
          <w:iCs/>
        </w:rPr>
        <w:t>PubMed Central</w:t>
      </w:r>
      <w:r w:rsidRPr="00A0265E">
        <w:rPr>
          <w:rFonts w:cs="Tahoma"/>
        </w:rPr>
        <w:t>, https://doi.org/10.4103/sni.sni_433_17.</w:t>
      </w:r>
    </w:p>
    <w:p w14:paraId="1ABA1B8B" w14:textId="77777777" w:rsidR="00A0265E" w:rsidRPr="00A0265E" w:rsidRDefault="00A0265E" w:rsidP="00A0265E">
      <w:pPr>
        <w:pStyle w:val="Bibliography"/>
        <w:rPr>
          <w:rFonts w:cs="Tahoma"/>
        </w:rPr>
      </w:pPr>
      <w:r w:rsidRPr="00A0265E">
        <w:rPr>
          <w:rFonts w:cs="Tahoma"/>
        </w:rPr>
        <w:t xml:space="preserve">Fehlings, Michael G., et al. “A Clinical Practice Guideline for the Management of Patients With Acute Spinal Cord Injury: Recommendations on the Use of Methylprednisolone Sodium </w:t>
      </w:r>
      <w:r w:rsidRPr="00A0265E">
        <w:rPr>
          <w:rFonts w:cs="Tahoma"/>
        </w:rPr>
        <w:lastRenderedPageBreak/>
        <w:t xml:space="preserve">Succinate.” </w:t>
      </w:r>
      <w:r w:rsidRPr="00A0265E">
        <w:rPr>
          <w:rFonts w:cs="Tahoma"/>
          <w:i/>
          <w:iCs/>
        </w:rPr>
        <w:t>Global Spine Journal</w:t>
      </w:r>
      <w:r w:rsidRPr="00A0265E">
        <w:rPr>
          <w:rFonts w:cs="Tahoma"/>
        </w:rPr>
        <w:t xml:space="preserve">, vol. 7, no. 3 Suppl, Sept. 2017, pp. 203S-211S. </w:t>
      </w:r>
      <w:r w:rsidRPr="00A0265E">
        <w:rPr>
          <w:rFonts w:cs="Tahoma"/>
          <w:i/>
          <w:iCs/>
        </w:rPr>
        <w:t>PubMed Central</w:t>
      </w:r>
      <w:r w:rsidRPr="00A0265E">
        <w:rPr>
          <w:rFonts w:cs="Tahoma"/>
        </w:rPr>
        <w:t>, https://doi.org/10.1177/2192568217703085.</w:t>
      </w:r>
    </w:p>
    <w:p w14:paraId="70BF6BE0" w14:textId="77777777" w:rsidR="00A0265E" w:rsidRPr="00A0265E" w:rsidRDefault="00A0265E" w:rsidP="00A0265E">
      <w:pPr>
        <w:pStyle w:val="Bibliography"/>
        <w:rPr>
          <w:rFonts w:cs="Tahoma"/>
        </w:rPr>
      </w:pPr>
      <w:r w:rsidRPr="00A0265E">
        <w:rPr>
          <w:rFonts w:cs="Tahoma"/>
        </w:rPr>
        <w:t xml:space="preserve">Grassner, Lukas, et al. “A New Score Based on the International Standards for Neurological Classification of Spinal Cord Injury for Integrative Evaluation of Changes in Sensorimotor Functions.” </w:t>
      </w:r>
      <w:r w:rsidRPr="00A0265E">
        <w:rPr>
          <w:rFonts w:cs="Tahoma"/>
          <w:i/>
          <w:iCs/>
        </w:rPr>
        <w:t>Journal of Neurotrauma</w:t>
      </w:r>
      <w:r w:rsidRPr="00A0265E">
        <w:rPr>
          <w:rFonts w:cs="Tahoma"/>
        </w:rPr>
        <w:t xml:space="preserve">, vol. 39, no. 9–10, May 2022, pp. 613–26. </w:t>
      </w:r>
      <w:r w:rsidRPr="00A0265E">
        <w:rPr>
          <w:rFonts w:cs="Tahoma"/>
          <w:i/>
          <w:iCs/>
        </w:rPr>
        <w:t>DOI.org (Crossref)</w:t>
      </w:r>
      <w:r w:rsidRPr="00A0265E">
        <w:rPr>
          <w:rFonts w:cs="Tahoma"/>
        </w:rPr>
        <w:t>, https://doi.org/10.1089/neu.2021.0368.</w:t>
      </w:r>
    </w:p>
    <w:p w14:paraId="7A9A5C0B" w14:textId="77777777" w:rsidR="00A0265E" w:rsidRPr="00A0265E" w:rsidRDefault="00A0265E" w:rsidP="00A0265E">
      <w:pPr>
        <w:pStyle w:val="Bibliography"/>
        <w:rPr>
          <w:rFonts w:cs="Tahoma"/>
        </w:rPr>
      </w:pPr>
      <w:r w:rsidRPr="00A0265E">
        <w:rPr>
          <w:rFonts w:cs="Tahoma"/>
        </w:rPr>
        <w:t xml:space="preserve">Jain, Nitin B., et al. “Traumatic Spinal Cord Injury in the United States, 1993–2012.” </w:t>
      </w:r>
      <w:r w:rsidRPr="00A0265E">
        <w:rPr>
          <w:rFonts w:cs="Tahoma"/>
          <w:i/>
          <w:iCs/>
        </w:rPr>
        <w:t>JAMA</w:t>
      </w:r>
      <w:r w:rsidRPr="00A0265E">
        <w:rPr>
          <w:rFonts w:cs="Tahoma"/>
        </w:rPr>
        <w:t xml:space="preserve">, vol. 313, no. 22, June 2015, pp. 2236–43. </w:t>
      </w:r>
      <w:r w:rsidRPr="00A0265E">
        <w:rPr>
          <w:rFonts w:cs="Tahoma"/>
          <w:i/>
          <w:iCs/>
        </w:rPr>
        <w:t>PubMed Central</w:t>
      </w:r>
      <w:r w:rsidRPr="00A0265E">
        <w:rPr>
          <w:rFonts w:cs="Tahoma"/>
        </w:rPr>
        <w:t>, https://doi.org/10.1001/jama.2015.6250.</w:t>
      </w:r>
    </w:p>
    <w:p w14:paraId="0ECA12F3" w14:textId="77777777" w:rsidR="00A0265E" w:rsidRPr="00A0265E" w:rsidRDefault="00A0265E" w:rsidP="00A0265E">
      <w:pPr>
        <w:pStyle w:val="Bibliography"/>
        <w:rPr>
          <w:rFonts w:cs="Tahoma"/>
        </w:rPr>
      </w:pPr>
      <w:r w:rsidRPr="00A0265E">
        <w:rPr>
          <w:rFonts w:cs="Tahoma"/>
        </w:rPr>
        <w:t xml:space="preserve">Kaneva, Anastasiya M., et al. “Plasma Levels of Apolipoprotein-E in Residents of the European North of Russia.” </w:t>
      </w:r>
      <w:r w:rsidRPr="00A0265E">
        <w:rPr>
          <w:rFonts w:cs="Tahoma"/>
          <w:i/>
          <w:iCs/>
        </w:rPr>
        <w:t>Lipids in Health and Disease</w:t>
      </w:r>
      <w:r w:rsidRPr="00A0265E">
        <w:rPr>
          <w:rFonts w:cs="Tahoma"/>
        </w:rPr>
        <w:t xml:space="preserve">, vol. 12, no. 1, Dec. 2013, p. 43. </w:t>
      </w:r>
      <w:r w:rsidRPr="00A0265E">
        <w:rPr>
          <w:rFonts w:cs="Tahoma"/>
          <w:i/>
          <w:iCs/>
        </w:rPr>
        <w:t>DOI.org (Crossref)</w:t>
      </w:r>
      <w:r w:rsidRPr="00A0265E">
        <w:rPr>
          <w:rFonts w:cs="Tahoma"/>
        </w:rPr>
        <w:t>, https://doi.org/10.1186/1476-511X-12-43.</w:t>
      </w:r>
    </w:p>
    <w:p w14:paraId="7945BEFA" w14:textId="77777777" w:rsidR="00A0265E" w:rsidRPr="00A0265E" w:rsidRDefault="00A0265E" w:rsidP="00A0265E">
      <w:pPr>
        <w:pStyle w:val="Bibliography"/>
        <w:rPr>
          <w:rFonts w:cs="Tahoma"/>
        </w:rPr>
      </w:pPr>
      <w:r w:rsidRPr="00A0265E">
        <w:rPr>
          <w:rFonts w:cs="Tahoma"/>
        </w:rPr>
        <w:t xml:space="preserve">Klimaschewski, L., et al. “Regulation of Clusterin Expression Following Spinal Cord Injury.” </w:t>
      </w:r>
      <w:r w:rsidRPr="00A0265E">
        <w:rPr>
          <w:rFonts w:cs="Tahoma"/>
          <w:i/>
          <w:iCs/>
        </w:rPr>
        <w:t>Cell and Tissue Research</w:t>
      </w:r>
      <w:r w:rsidRPr="00A0265E">
        <w:rPr>
          <w:rFonts w:cs="Tahoma"/>
        </w:rPr>
        <w:t xml:space="preserve">, vol. 306, no. 2, Nov. 2001, pp. 209–16. </w:t>
      </w:r>
      <w:r w:rsidRPr="00A0265E">
        <w:rPr>
          <w:rFonts w:cs="Tahoma"/>
          <w:i/>
          <w:iCs/>
        </w:rPr>
        <w:t>DOI.org (Crossref)</w:t>
      </w:r>
      <w:r w:rsidRPr="00A0265E">
        <w:rPr>
          <w:rFonts w:cs="Tahoma"/>
        </w:rPr>
        <w:t>, https://doi.org/10.1007/s004410100431.</w:t>
      </w:r>
    </w:p>
    <w:p w14:paraId="03BC80B3" w14:textId="77777777" w:rsidR="00A0265E" w:rsidRPr="00A0265E" w:rsidRDefault="00A0265E" w:rsidP="00A0265E">
      <w:pPr>
        <w:pStyle w:val="Bibliography"/>
        <w:rPr>
          <w:rFonts w:cs="Tahoma"/>
        </w:rPr>
      </w:pPr>
      <w:r w:rsidRPr="00A0265E">
        <w:rPr>
          <w:rFonts w:cs="Tahoma"/>
        </w:rPr>
        <w:t xml:space="preserve">Konovalov, N. A., et al. “Molecular Biomarkers of Brain and Spinal Cord Astrocytomas.” </w:t>
      </w:r>
      <w:r w:rsidRPr="00A0265E">
        <w:rPr>
          <w:rFonts w:cs="Tahoma"/>
          <w:i/>
          <w:iCs/>
        </w:rPr>
        <w:t>Acta Naturae</w:t>
      </w:r>
      <w:r w:rsidRPr="00A0265E">
        <w:rPr>
          <w:rFonts w:cs="Tahoma"/>
        </w:rPr>
        <w:t xml:space="preserve">, vol. 11, no. 2, 2019, pp. 17–27. </w:t>
      </w:r>
      <w:r w:rsidRPr="00A0265E">
        <w:rPr>
          <w:rFonts w:cs="Tahoma"/>
          <w:i/>
          <w:iCs/>
        </w:rPr>
        <w:t>PubMed Central</w:t>
      </w:r>
      <w:r w:rsidRPr="00A0265E">
        <w:rPr>
          <w:rFonts w:cs="Tahoma"/>
        </w:rPr>
        <w:t>, https://doi.org/10.32607/20758251-2019-11-2-17-27.</w:t>
      </w:r>
    </w:p>
    <w:p w14:paraId="71A1FA83" w14:textId="77777777" w:rsidR="00A0265E" w:rsidRPr="00A0265E" w:rsidRDefault="00A0265E" w:rsidP="00A0265E">
      <w:pPr>
        <w:pStyle w:val="Bibliography"/>
        <w:rPr>
          <w:rFonts w:cs="Tahoma"/>
        </w:rPr>
      </w:pPr>
      <w:r w:rsidRPr="00A0265E">
        <w:rPr>
          <w:rFonts w:cs="Tahoma"/>
        </w:rPr>
        <w:t xml:space="preserve">Kwiecien, Jacek M., et al. “Prolonged Inflammation Leads to Ongoing Damage after Spinal Cord Injury.” </w:t>
      </w:r>
      <w:r w:rsidRPr="00A0265E">
        <w:rPr>
          <w:rFonts w:cs="Tahoma"/>
          <w:i/>
          <w:iCs/>
        </w:rPr>
        <w:t>PLOS ONE</w:t>
      </w:r>
      <w:r w:rsidRPr="00A0265E">
        <w:rPr>
          <w:rFonts w:cs="Tahoma"/>
        </w:rPr>
        <w:t xml:space="preserve">, edited by Antal Nógrádi, vol. 15, no. 3, Mar. 2020, p. e0226584. </w:t>
      </w:r>
      <w:r w:rsidRPr="00A0265E">
        <w:rPr>
          <w:rFonts w:cs="Tahoma"/>
          <w:i/>
          <w:iCs/>
        </w:rPr>
        <w:t>DOI.org (Crossref)</w:t>
      </w:r>
      <w:r w:rsidRPr="00A0265E">
        <w:rPr>
          <w:rFonts w:cs="Tahoma"/>
        </w:rPr>
        <w:t>, https://doi.org/10.1371/journal.pone.0226584.</w:t>
      </w:r>
    </w:p>
    <w:p w14:paraId="6E14693A" w14:textId="77777777" w:rsidR="00A0265E" w:rsidRPr="00A0265E" w:rsidRDefault="00A0265E" w:rsidP="00A0265E">
      <w:pPr>
        <w:pStyle w:val="Bibliography"/>
        <w:rPr>
          <w:rFonts w:cs="Tahoma"/>
        </w:rPr>
      </w:pPr>
      <w:r w:rsidRPr="00A0265E">
        <w:rPr>
          <w:rFonts w:cs="Tahoma"/>
        </w:rPr>
        <w:lastRenderedPageBreak/>
        <w:t xml:space="preserve">Lee, Byung-Jou, and Je Hoon Jeong. “Review: Steroid Use in Patients With Acute Spinal Cord Injury and Guideline Update.” </w:t>
      </w:r>
      <w:r w:rsidRPr="00A0265E">
        <w:rPr>
          <w:rFonts w:cs="Tahoma"/>
          <w:i/>
          <w:iCs/>
        </w:rPr>
        <w:t>Korean Journal of Neurotrauma</w:t>
      </w:r>
      <w:r w:rsidRPr="00A0265E">
        <w:rPr>
          <w:rFonts w:cs="Tahoma"/>
        </w:rPr>
        <w:t xml:space="preserve">, vol. 18, no. 1, 2022, p. 22. </w:t>
      </w:r>
      <w:r w:rsidRPr="00A0265E">
        <w:rPr>
          <w:rFonts w:cs="Tahoma"/>
          <w:i/>
          <w:iCs/>
        </w:rPr>
        <w:t>DOI.org (Crossref)</w:t>
      </w:r>
      <w:r w:rsidRPr="00A0265E">
        <w:rPr>
          <w:rFonts w:cs="Tahoma"/>
        </w:rPr>
        <w:t>, https://doi.org/10.13004/kjnt.2022.18.e21.</w:t>
      </w:r>
    </w:p>
    <w:p w14:paraId="2015B6CE" w14:textId="77777777" w:rsidR="00A0265E" w:rsidRPr="00A0265E" w:rsidRDefault="00A0265E" w:rsidP="00A0265E">
      <w:pPr>
        <w:pStyle w:val="Bibliography"/>
        <w:rPr>
          <w:rFonts w:cs="Tahoma"/>
        </w:rPr>
      </w:pPr>
      <w:r w:rsidRPr="00A0265E">
        <w:rPr>
          <w:rFonts w:cs="Tahoma"/>
        </w:rPr>
        <w:t xml:space="preserve">Li, Xing, et al. “Transplantation of HUC-MSCs Seeded Collagen Scaffolds Reduces Scar Formation and Promotes Functional Recovery in Canines with Chronic Spinal Cord Injury.” </w:t>
      </w:r>
      <w:r w:rsidRPr="00A0265E">
        <w:rPr>
          <w:rFonts w:cs="Tahoma"/>
          <w:i/>
          <w:iCs/>
        </w:rPr>
        <w:t>Scientific Reports</w:t>
      </w:r>
      <w:r w:rsidRPr="00A0265E">
        <w:rPr>
          <w:rFonts w:cs="Tahoma"/>
        </w:rPr>
        <w:t xml:space="preserve">, vol. 7, no. 1, Apr. 2017, p. 43559. </w:t>
      </w:r>
      <w:r w:rsidRPr="00A0265E">
        <w:rPr>
          <w:rFonts w:cs="Tahoma"/>
          <w:i/>
          <w:iCs/>
        </w:rPr>
        <w:t>DOI.org (Crossref)</w:t>
      </w:r>
      <w:r w:rsidRPr="00A0265E">
        <w:rPr>
          <w:rFonts w:cs="Tahoma"/>
        </w:rPr>
        <w:t>, https://doi.org/10.1038/srep43559.</w:t>
      </w:r>
    </w:p>
    <w:p w14:paraId="7C12C37D" w14:textId="77777777" w:rsidR="00A0265E" w:rsidRPr="00A0265E" w:rsidRDefault="00A0265E" w:rsidP="00A0265E">
      <w:pPr>
        <w:pStyle w:val="Bibliography"/>
        <w:rPr>
          <w:rFonts w:cs="Tahoma"/>
        </w:rPr>
      </w:pPr>
      <w:r w:rsidRPr="00A0265E">
        <w:rPr>
          <w:rFonts w:cs="Tahoma"/>
        </w:rPr>
        <w:t xml:space="preserve">Martirosyan, Nikolay L., et al. “Blood Supply and Vascular Reactivity of the Spinal Cord under Normal and Pathological Conditions: A Review.” </w:t>
      </w:r>
      <w:r w:rsidRPr="00A0265E">
        <w:rPr>
          <w:rFonts w:cs="Tahoma"/>
          <w:i/>
          <w:iCs/>
        </w:rPr>
        <w:t>Journal of Neurosurgery: Spine</w:t>
      </w:r>
      <w:r w:rsidRPr="00A0265E">
        <w:rPr>
          <w:rFonts w:cs="Tahoma"/>
        </w:rPr>
        <w:t xml:space="preserve">, vol. 15, no. 3, Sept. 2011, pp. 238–51. </w:t>
      </w:r>
      <w:r w:rsidRPr="00A0265E">
        <w:rPr>
          <w:rFonts w:cs="Tahoma"/>
          <w:i/>
          <w:iCs/>
        </w:rPr>
        <w:t>DOI.org (Crossref)</w:t>
      </w:r>
      <w:r w:rsidRPr="00A0265E">
        <w:rPr>
          <w:rFonts w:cs="Tahoma"/>
        </w:rPr>
        <w:t>, https://doi.org/10.3171/2011.4.SPINE10543.</w:t>
      </w:r>
    </w:p>
    <w:p w14:paraId="76E29DA0" w14:textId="77777777" w:rsidR="00A0265E" w:rsidRPr="00A0265E" w:rsidRDefault="00A0265E" w:rsidP="00A0265E">
      <w:pPr>
        <w:pStyle w:val="Bibliography"/>
        <w:rPr>
          <w:rFonts w:cs="Tahoma"/>
        </w:rPr>
      </w:pPr>
      <w:r w:rsidRPr="00A0265E">
        <w:rPr>
          <w:rFonts w:cs="Tahoma"/>
        </w:rPr>
        <w:t xml:space="preserve">Norenberg, Michael D., et al. “The Pathology of Human Spinal Cord Injury: Defining the Problems.” </w:t>
      </w:r>
      <w:r w:rsidRPr="00A0265E">
        <w:rPr>
          <w:rFonts w:cs="Tahoma"/>
          <w:i/>
          <w:iCs/>
        </w:rPr>
        <w:t>Journal of Neurotrauma</w:t>
      </w:r>
      <w:r w:rsidRPr="00A0265E">
        <w:rPr>
          <w:rFonts w:cs="Tahoma"/>
        </w:rPr>
        <w:t xml:space="preserve">, vol. 21, no. 4, Apr. 2004, pp. 429–40. </w:t>
      </w:r>
      <w:r w:rsidRPr="00A0265E">
        <w:rPr>
          <w:rFonts w:cs="Tahoma"/>
          <w:i/>
          <w:iCs/>
        </w:rPr>
        <w:t>DOI.org (Crossref)</w:t>
      </w:r>
      <w:r w:rsidRPr="00A0265E">
        <w:rPr>
          <w:rFonts w:cs="Tahoma"/>
        </w:rPr>
        <w:t>, https://doi.org/10.1089/089771504323004575.</w:t>
      </w:r>
    </w:p>
    <w:p w14:paraId="6EC5EFD8" w14:textId="77777777" w:rsidR="00A0265E" w:rsidRPr="00A0265E" w:rsidRDefault="00A0265E" w:rsidP="00A0265E">
      <w:pPr>
        <w:pStyle w:val="Bibliography"/>
        <w:rPr>
          <w:rFonts w:cs="Tahoma"/>
        </w:rPr>
      </w:pPr>
      <w:r w:rsidRPr="00A0265E">
        <w:rPr>
          <w:rFonts w:cs="Tahoma"/>
        </w:rPr>
        <w:t xml:space="preserve">Qu, Wenrui, et al. “Polymer-Based Scaffold Strategies for Spinal Cord Repair and Regeneration.” </w:t>
      </w:r>
      <w:r w:rsidRPr="00A0265E">
        <w:rPr>
          <w:rFonts w:cs="Tahoma"/>
          <w:i/>
          <w:iCs/>
        </w:rPr>
        <w:t>Frontiers in Bioengineering and Biotechnology</w:t>
      </w:r>
      <w:r w:rsidRPr="00A0265E">
        <w:rPr>
          <w:rFonts w:cs="Tahoma"/>
        </w:rPr>
        <w:t xml:space="preserve">, vol. 8, Oct. 2020, p. 590549. </w:t>
      </w:r>
      <w:r w:rsidRPr="00A0265E">
        <w:rPr>
          <w:rFonts w:cs="Tahoma"/>
          <w:i/>
          <w:iCs/>
        </w:rPr>
        <w:t>PubMed Central</w:t>
      </w:r>
      <w:r w:rsidRPr="00A0265E">
        <w:rPr>
          <w:rFonts w:cs="Tahoma"/>
        </w:rPr>
        <w:t>, https://doi.org/10.3389/fbioe.2020.590549.</w:t>
      </w:r>
    </w:p>
    <w:p w14:paraId="3A8F20E3" w14:textId="77777777" w:rsidR="00A0265E" w:rsidRPr="00A0265E" w:rsidRDefault="00A0265E" w:rsidP="00A0265E">
      <w:pPr>
        <w:pStyle w:val="Bibliography"/>
        <w:rPr>
          <w:rFonts w:cs="Tahoma"/>
        </w:rPr>
      </w:pPr>
      <w:r w:rsidRPr="00A0265E">
        <w:rPr>
          <w:rFonts w:cs="Tahoma"/>
        </w:rPr>
        <w:t xml:space="preserve">Tang, S. K., et al. “Redirection of Doublecortin-Positive Cell Migration by over-Expression of the Chemokines MCP-1, MIP-1α and GRO-α in the Adult Rat Brain.” </w:t>
      </w:r>
      <w:r w:rsidRPr="00A0265E">
        <w:rPr>
          <w:rFonts w:cs="Tahoma"/>
          <w:i/>
          <w:iCs/>
        </w:rPr>
        <w:t>Neuroscience</w:t>
      </w:r>
      <w:r w:rsidRPr="00A0265E">
        <w:rPr>
          <w:rFonts w:cs="Tahoma"/>
        </w:rPr>
        <w:t xml:space="preserve">, vol. 260, Feb. 2014, pp. 240–48. </w:t>
      </w:r>
      <w:r w:rsidRPr="00A0265E">
        <w:rPr>
          <w:rFonts w:cs="Tahoma"/>
          <w:i/>
          <w:iCs/>
        </w:rPr>
        <w:t>DOI.org (Crossref)</w:t>
      </w:r>
      <w:r w:rsidRPr="00A0265E">
        <w:rPr>
          <w:rFonts w:cs="Tahoma"/>
        </w:rPr>
        <w:t>, https://doi.org/10.1016/j.neuroscience.2013.12.022.</w:t>
      </w:r>
    </w:p>
    <w:p w14:paraId="1FED8234" w14:textId="77777777" w:rsidR="00A0265E" w:rsidRPr="00A0265E" w:rsidRDefault="00A0265E" w:rsidP="00A0265E">
      <w:pPr>
        <w:pStyle w:val="Bibliography"/>
        <w:rPr>
          <w:rFonts w:cs="Tahoma"/>
        </w:rPr>
      </w:pPr>
      <w:r w:rsidRPr="00A0265E">
        <w:rPr>
          <w:rFonts w:cs="Tahoma"/>
        </w:rPr>
        <w:t xml:space="preserve">Valković, Toni, et al. “Plasma Levels of Monocyte Chemotactic Protein-1 Are Associated with Clinical Features and Angiogenesis in Patients with Multiple Myeloma.” </w:t>
      </w:r>
      <w:r w:rsidRPr="00A0265E">
        <w:rPr>
          <w:rFonts w:cs="Tahoma"/>
          <w:i/>
          <w:iCs/>
        </w:rPr>
        <w:t xml:space="preserve">BioMed Research </w:t>
      </w:r>
      <w:r w:rsidRPr="00A0265E">
        <w:rPr>
          <w:rFonts w:cs="Tahoma"/>
          <w:i/>
          <w:iCs/>
        </w:rPr>
        <w:lastRenderedPageBreak/>
        <w:t>International</w:t>
      </w:r>
      <w:r w:rsidRPr="00A0265E">
        <w:rPr>
          <w:rFonts w:cs="Tahoma"/>
        </w:rPr>
        <w:t xml:space="preserve">, vol. 2016, 2016, pp. 1–7. </w:t>
      </w:r>
      <w:r w:rsidRPr="00A0265E">
        <w:rPr>
          <w:rFonts w:cs="Tahoma"/>
          <w:i/>
          <w:iCs/>
        </w:rPr>
        <w:t>DOI.org (Crossref)</w:t>
      </w:r>
      <w:r w:rsidRPr="00A0265E">
        <w:rPr>
          <w:rFonts w:cs="Tahoma"/>
        </w:rPr>
        <w:t>, https://doi.org/10.1155/2016/7870590.</w:t>
      </w:r>
    </w:p>
    <w:p w14:paraId="75A8C148" w14:textId="77777777" w:rsidR="00A0265E" w:rsidRPr="00A0265E" w:rsidRDefault="00A0265E" w:rsidP="00A0265E">
      <w:pPr>
        <w:pStyle w:val="Bibliography"/>
        <w:rPr>
          <w:rFonts w:cs="Tahoma"/>
        </w:rPr>
      </w:pPr>
      <w:r w:rsidRPr="00A0265E">
        <w:rPr>
          <w:rFonts w:cs="Tahoma"/>
        </w:rPr>
        <w:t xml:space="preserve">Wang, Timothy Y., et al. “Management of Acute Traumatic Spinal Cord Injury: A Review of the Literature.” </w:t>
      </w:r>
      <w:r w:rsidRPr="00A0265E">
        <w:rPr>
          <w:rFonts w:cs="Tahoma"/>
          <w:i/>
          <w:iCs/>
        </w:rPr>
        <w:t>Frontiers in Surgery</w:t>
      </w:r>
      <w:r w:rsidRPr="00A0265E">
        <w:rPr>
          <w:rFonts w:cs="Tahoma"/>
        </w:rPr>
        <w:t xml:space="preserve">, vol. 8, Dec. 2021, p. 698736. </w:t>
      </w:r>
      <w:r w:rsidRPr="00A0265E">
        <w:rPr>
          <w:rFonts w:cs="Tahoma"/>
          <w:i/>
          <w:iCs/>
        </w:rPr>
        <w:t>PubMed Central</w:t>
      </w:r>
      <w:r w:rsidRPr="00A0265E">
        <w:rPr>
          <w:rFonts w:cs="Tahoma"/>
        </w:rPr>
        <w:t>, https://doi.org/10.3389/fsurg.2021.698736.</w:t>
      </w:r>
    </w:p>
    <w:p w14:paraId="660BD06E" w14:textId="77777777" w:rsidR="00A0265E" w:rsidRPr="00A0265E" w:rsidRDefault="00A0265E" w:rsidP="00A0265E">
      <w:pPr>
        <w:pStyle w:val="Bibliography"/>
        <w:rPr>
          <w:rFonts w:cs="Tahoma"/>
        </w:rPr>
      </w:pPr>
      <w:r w:rsidRPr="00A0265E">
        <w:rPr>
          <w:rFonts w:cs="Tahoma"/>
        </w:rPr>
        <w:t xml:space="preserve">Wąsik, Norbert, et al. “Clusterin, a New Cerebrospinal Fluid Biomarker in Severe Subarachnoid Hemorrhage: A Pilot Study.” </w:t>
      </w:r>
      <w:r w:rsidRPr="00A0265E">
        <w:rPr>
          <w:rFonts w:cs="Tahoma"/>
          <w:i/>
          <w:iCs/>
        </w:rPr>
        <w:t>World Neurosurgery</w:t>
      </w:r>
      <w:r w:rsidRPr="00A0265E">
        <w:rPr>
          <w:rFonts w:cs="Tahoma"/>
        </w:rPr>
        <w:t xml:space="preserve">, vol. 107, Nov. 2017, pp. 424–28. </w:t>
      </w:r>
      <w:r w:rsidRPr="00A0265E">
        <w:rPr>
          <w:rFonts w:cs="Tahoma"/>
          <w:i/>
          <w:iCs/>
        </w:rPr>
        <w:t>DOI.org (Crossref)</w:t>
      </w:r>
      <w:r w:rsidRPr="00A0265E">
        <w:rPr>
          <w:rFonts w:cs="Tahoma"/>
        </w:rPr>
        <w:t>, https://doi.org/10.1016/j.wneu.2017.08.006.</w:t>
      </w:r>
    </w:p>
    <w:p w14:paraId="6E47EDBD" w14:textId="77777777" w:rsidR="00A0265E" w:rsidRPr="00A0265E" w:rsidRDefault="00A0265E" w:rsidP="00A0265E">
      <w:pPr>
        <w:pStyle w:val="Bibliography"/>
        <w:rPr>
          <w:rFonts w:cs="Tahoma"/>
        </w:rPr>
      </w:pPr>
      <w:r w:rsidRPr="00A0265E">
        <w:rPr>
          <w:rFonts w:cs="Tahoma"/>
        </w:rPr>
        <w:t xml:space="preserve">Yoshitani, Kenji, et al. “Cerebrospinal Fluid Drainage to Prevent Postoperative Spinal Cord Injury in Thoracic Aortic Repair.” </w:t>
      </w:r>
      <w:r w:rsidRPr="00A0265E">
        <w:rPr>
          <w:rFonts w:cs="Tahoma"/>
          <w:i/>
          <w:iCs/>
        </w:rPr>
        <w:t>Journal of Anesthesia</w:t>
      </w:r>
      <w:r w:rsidRPr="00A0265E">
        <w:rPr>
          <w:rFonts w:cs="Tahoma"/>
        </w:rPr>
        <w:t xml:space="preserve">, vol. 35, no. 1, Feb. 2021, pp. 43–50. </w:t>
      </w:r>
      <w:r w:rsidRPr="00A0265E">
        <w:rPr>
          <w:rFonts w:cs="Tahoma"/>
          <w:i/>
          <w:iCs/>
        </w:rPr>
        <w:t>DOI.org (Crossref)</w:t>
      </w:r>
      <w:r w:rsidRPr="00A0265E">
        <w:rPr>
          <w:rFonts w:cs="Tahoma"/>
        </w:rPr>
        <w:t>, https://doi.org/10.1007/s00540-020-02857-w.</w:t>
      </w:r>
    </w:p>
    <w:p w14:paraId="58786D6F" w14:textId="77777777" w:rsidR="00A0265E" w:rsidRPr="00A0265E" w:rsidRDefault="00A0265E" w:rsidP="00A0265E">
      <w:pPr>
        <w:pStyle w:val="Bibliography"/>
        <w:rPr>
          <w:rFonts w:cs="Tahoma"/>
        </w:rPr>
      </w:pPr>
      <w:r w:rsidRPr="00A0265E">
        <w:rPr>
          <w:rFonts w:cs="Tahoma"/>
        </w:rPr>
        <w:t xml:space="preserve">Zou, Hong-jun, et al. “Methylprednisolone Induces Neuro-Protective Effects via the Inhibition of A1 Astrocyte Activation in Traumatic Spinal Cord Injury Mouse Models.” </w:t>
      </w:r>
      <w:r w:rsidRPr="00A0265E">
        <w:rPr>
          <w:rFonts w:cs="Tahoma"/>
          <w:i/>
          <w:iCs/>
        </w:rPr>
        <w:t>Frontiers in Neuroscience</w:t>
      </w:r>
      <w:r w:rsidRPr="00A0265E">
        <w:rPr>
          <w:rFonts w:cs="Tahoma"/>
        </w:rPr>
        <w:t xml:space="preserve">, vol. 15, 2021. </w:t>
      </w:r>
      <w:r w:rsidRPr="00A0265E">
        <w:rPr>
          <w:rFonts w:cs="Tahoma"/>
          <w:i/>
          <w:iCs/>
        </w:rPr>
        <w:t>Frontiers</w:t>
      </w:r>
      <w:r w:rsidRPr="00A0265E">
        <w:rPr>
          <w:rFonts w:cs="Tahoma"/>
        </w:rPr>
        <w:t>, https://www.frontiersin.org/articles/10.3389/fnins.2021.628917.</w:t>
      </w:r>
    </w:p>
    <w:p w14:paraId="7E72509E" w14:textId="65BDE425"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E57B" w14:textId="77777777" w:rsidR="00FC34DE" w:rsidRDefault="00FC34DE" w:rsidP="00B657A0">
      <w:r>
        <w:separator/>
      </w:r>
    </w:p>
  </w:endnote>
  <w:endnote w:type="continuationSeparator" w:id="0">
    <w:p w14:paraId="403E92D1" w14:textId="77777777" w:rsidR="00FC34DE" w:rsidRDefault="00FC34DE" w:rsidP="00B657A0">
      <w:r>
        <w:continuationSeparator/>
      </w:r>
    </w:p>
  </w:endnote>
  <w:endnote w:type="continuationNotice" w:id="1">
    <w:p w14:paraId="18ECF89A" w14:textId="77777777" w:rsidR="00FC34DE" w:rsidRDefault="00FC3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2474" w14:textId="77777777" w:rsidR="00FC34DE" w:rsidRDefault="00FC34DE" w:rsidP="00B657A0">
      <w:r>
        <w:separator/>
      </w:r>
    </w:p>
  </w:footnote>
  <w:footnote w:type="continuationSeparator" w:id="0">
    <w:p w14:paraId="206FB720" w14:textId="77777777" w:rsidR="00FC34DE" w:rsidRDefault="00FC34DE" w:rsidP="00B657A0">
      <w:r>
        <w:continuationSeparator/>
      </w:r>
    </w:p>
  </w:footnote>
  <w:footnote w:type="continuationNotice" w:id="1">
    <w:p w14:paraId="0481E456" w14:textId="77777777" w:rsidR="00FC34DE" w:rsidRDefault="00FC3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864C4"/>
    <w:multiLevelType w:val="hybridMultilevel"/>
    <w:tmpl w:val="6AB07A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1"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5"/>
  </w:num>
  <w:num w:numId="2" w16cid:durableId="591012818">
    <w:abstractNumId w:val="28"/>
  </w:num>
  <w:num w:numId="3" w16cid:durableId="179856923">
    <w:abstractNumId w:val="3"/>
  </w:num>
  <w:num w:numId="4" w16cid:durableId="3915848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9"/>
  </w:num>
  <w:num w:numId="7" w16cid:durableId="2132432314">
    <w:abstractNumId w:val="2"/>
  </w:num>
  <w:num w:numId="8" w16cid:durableId="1193693858">
    <w:abstractNumId w:val="1"/>
  </w:num>
  <w:num w:numId="9" w16cid:durableId="803236281">
    <w:abstractNumId w:val="20"/>
  </w:num>
  <w:num w:numId="10" w16cid:durableId="1214929145">
    <w:abstractNumId w:val="20"/>
  </w:num>
  <w:num w:numId="11" w16cid:durableId="1534925248">
    <w:abstractNumId w:val="22"/>
  </w:num>
  <w:num w:numId="12" w16cid:durableId="1204631859">
    <w:abstractNumId w:val="16"/>
  </w:num>
  <w:num w:numId="13" w16cid:durableId="1999653488">
    <w:abstractNumId w:val="10"/>
  </w:num>
  <w:num w:numId="14" w16cid:durableId="1948655657">
    <w:abstractNumId w:val="31"/>
  </w:num>
  <w:num w:numId="15" w16cid:durableId="1426876100">
    <w:abstractNumId w:val="24"/>
  </w:num>
  <w:num w:numId="16" w16cid:durableId="148448031">
    <w:abstractNumId w:val="12"/>
  </w:num>
  <w:num w:numId="17" w16cid:durableId="432239574">
    <w:abstractNumId w:val="32"/>
  </w:num>
  <w:num w:numId="18" w16cid:durableId="1902785539">
    <w:abstractNumId w:val="8"/>
  </w:num>
  <w:num w:numId="19" w16cid:durableId="2016347357">
    <w:abstractNumId w:val="14"/>
  </w:num>
  <w:num w:numId="20" w16cid:durableId="1604259620">
    <w:abstractNumId w:val="30"/>
  </w:num>
  <w:num w:numId="21" w16cid:durableId="1341661621">
    <w:abstractNumId w:val="29"/>
  </w:num>
  <w:num w:numId="22" w16cid:durableId="788007871">
    <w:abstractNumId w:val="25"/>
  </w:num>
  <w:num w:numId="23" w16cid:durableId="1463157998">
    <w:abstractNumId w:val="18"/>
  </w:num>
  <w:num w:numId="24" w16cid:durableId="1260681482">
    <w:abstractNumId w:val="19"/>
  </w:num>
  <w:num w:numId="25" w16cid:durableId="1969161413">
    <w:abstractNumId w:val="7"/>
  </w:num>
  <w:num w:numId="26" w16cid:durableId="1839885816">
    <w:abstractNumId w:val="4"/>
  </w:num>
  <w:num w:numId="27" w16cid:durableId="1730300100">
    <w:abstractNumId w:val="13"/>
  </w:num>
  <w:num w:numId="28" w16cid:durableId="1711765807">
    <w:abstractNumId w:val="21"/>
  </w:num>
  <w:num w:numId="29" w16cid:durableId="2130008031">
    <w:abstractNumId w:val="26"/>
  </w:num>
  <w:num w:numId="30" w16cid:durableId="1154377883">
    <w:abstractNumId w:val="23"/>
  </w:num>
  <w:num w:numId="31" w16cid:durableId="1266425856">
    <w:abstractNumId w:val="17"/>
  </w:num>
  <w:num w:numId="32" w16cid:durableId="1850872283">
    <w:abstractNumId w:val="11"/>
  </w:num>
  <w:num w:numId="33" w16cid:durableId="687414347">
    <w:abstractNumId w:val="5"/>
  </w:num>
  <w:num w:numId="34" w16cid:durableId="313729409">
    <w:abstractNumId w:val="6"/>
  </w:num>
  <w:num w:numId="35" w16cid:durableId="1250037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68CD"/>
    <w:rsid w:val="00027200"/>
    <w:rsid w:val="00027881"/>
    <w:rsid w:val="0003264A"/>
    <w:rsid w:val="00035E18"/>
    <w:rsid w:val="0003722B"/>
    <w:rsid w:val="00040E46"/>
    <w:rsid w:val="0004712D"/>
    <w:rsid w:val="00050DA8"/>
    <w:rsid w:val="00053B22"/>
    <w:rsid w:val="00054FDF"/>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B5F"/>
    <w:rsid w:val="0013522D"/>
    <w:rsid w:val="00135AFF"/>
    <w:rsid w:val="00142E4C"/>
    <w:rsid w:val="00144B5E"/>
    <w:rsid w:val="0014779A"/>
    <w:rsid w:val="00155B13"/>
    <w:rsid w:val="00155B60"/>
    <w:rsid w:val="0015719A"/>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5A64"/>
    <w:rsid w:val="00186157"/>
    <w:rsid w:val="0018724C"/>
    <w:rsid w:val="001914DC"/>
    <w:rsid w:val="00193686"/>
    <w:rsid w:val="00195531"/>
    <w:rsid w:val="00197A73"/>
    <w:rsid w:val="001A656F"/>
    <w:rsid w:val="001A6A15"/>
    <w:rsid w:val="001B287C"/>
    <w:rsid w:val="001B4B77"/>
    <w:rsid w:val="001C1BA2"/>
    <w:rsid w:val="001C3B9A"/>
    <w:rsid w:val="001C7A67"/>
    <w:rsid w:val="001D05A1"/>
    <w:rsid w:val="001D1254"/>
    <w:rsid w:val="001D134D"/>
    <w:rsid w:val="001D3822"/>
    <w:rsid w:val="001D5A89"/>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4F5F"/>
    <w:rsid w:val="002F7AE7"/>
    <w:rsid w:val="0030079B"/>
    <w:rsid w:val="00302A2C"/>
    <w:rsid w:val="00305298"/>
    <w:rsid w:val="0031358D"/>
    <w:rsid w:val="003141B6"/>
    <w:rsid w:val="0031629E"/>
    <w:rsid w:val="00316957"/>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3E3"/>
    <w:rsid w:val="0043561A"/>
    <w:rsid w:val="00435DB5"/>
    <w:rsid w:val="00440E19"/>
    <w:rsid w:val="004434B5"/>
    <w:rsid w:val="00447F35"/>
    <w:rsid w:val="00453730"/>
    <w:rsid w:val="00455C01"/>
    <w:rsid w:val="00461998"/>
    <w:rsid w:val="0046285F"/>
    <w:rsid w:val="00463D7E"/>
    <w:rsid w:val="004653BB"/>
    <w:rsid w:val="00465CF1"/>
    <w:rsid w:val="0046670F"/>
    <w:rsid w:val="00474F64"/>
    <w:rsid w:val="00477804"/>
    <w:rsid w:val="00481092"/>
    <w:rsid w:val="004835CD"/>
    <w:rsid w:val="00483BCD"/>
    <w:rsid w:val="00490F68"/>
    <w:rsid w:val="004920A8"/>
    <w:rsid w:val="00495AEB"/>
    <w:rsid w:val="004A07BA"/>
    <w:rsid w:val="004A5E98"/>
    <w:rsid w:val="004A73EA"/>
    <w:rsid w:val="004B1671"/>
    <w:rsid w:val="004B411F"/>
    <w:rsid w:val="004C047D"/>
    <w:rsid w:val="004C559F"/>
    <w:rsid w:val="004D288E"/>
    <w:rsid w:val="004D2C44"/>
    <w:rsid w:val="004D45A4"/>
    <w:rsid w:val="004D489F"/>
    <w:rsid w:val="004E5363"/>
    <w:rsid w:val="004E6F9B"/>
    <w:rsid w:val="004E7B46"/>
    <w:rsid w:val="004F4DC9"/>
    <w:rsid w:val="005012FA"/>
    <w:rsid w:val="0050524A"/>
    <w:rsid w:val="005152F5"/>
    <w:rsid w:val="0051604D"/>
    <w:rsid w:val="0051677F"/>
    <w:rsid w:val="00521A6B"/>
    <w:rsid w:val="00523977"/>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99F"/>
    <w:rsid w:val="00631DB9"/>
    <w:rsid w:val="00633DAE"/>
    <w:rsid w:val="00636326"/>
    <w:rsid w:val="00637550"/>
    <w:rsid w:val="00645CFC"/>
    <w:rsid w:val="00654D6D"/>
    <w:rsid w:val="006554C7"/>
    <w:rsid w:val="00661108"/>
    <w:rsid w:val="00663DC6"/>
    <w:rsid w:val="00665250"/>
    <w:rsid w:val="00665811"/>
    <w:rsid w:val="00671488"/>
    <w:rsid w:val="00676BF0"/>
    <w:rsid w:val="00677343"/>
    <w:rsid w:val="00677DC2"/>
    <w:rsid w:val="00682F78"/>
    <w:rsid w:val="006830EF"/>
    <w:rsid w:val="00683BF2"/>
    <w:rsid w:val="0068539E"/>
    <w:rsid w:val="00686867"/>
    <w:rsid w:val="00692C82"/>
    <w:rsid w:val="00694B8F"/>
    <w:rsid w:val="00695F22"/>
    <w:rsid w:val="006A11B0"/>
    <w:rsid w:val="006B3EA5"/>
    <w:rsid w:val="006B46C8"/>
    <w:rsid w:val="006B7A31"/>
    <w:rsid w:val="006C0E35"/>
    <w:rsid w:val="006C1B0D"/>
    <w:rsid w:val="006C65A9"/>
    <w:rsid w:val="006D05FF"/>
    <w:rsid w:val="006D6FA5"/>
    <w:rsid w:val="006D7727"/>
    <w:rsid w:val="006E340F"/>
    <w:rsid w:val="006E6CBE"/>
    <w:rsid w:val="006E7ED4"/>
    <w:rsid w:val="006F17F3"/>
    <w:rsid w:val="006F59A9"/>
    <w:rsid w:val="006F6478"/>
    <w:rsid w:val="006F7A1E"/>
    <w:rsid w:val="0070184A"/>
    <w:rsid w:val="007038F4"/>
    <w:rsid w:val="00704C03"/>
    <w:rsid w:val="00712BC3"/>
    <w:rsid w:val="00712E49"/>
    <w:rsid w:val="007146E7"/>
    <w:rsid w:val="007176BB"/>
    <w:rsid w:val="007204BA"/>
    <w:rsid w:val="007211E2"/>
    <w:rsid w:val="007217F7"/>
    <w:rsid w:val="00721831"/>
    <w:rsid w:val="007228F1"/>
    <w:rsid w:val="0072446E"/>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11CA"/>
    <w:rsid w:val="007A3EC9"/>
    <w:rsid w:val="007B1AC9"/>
    <w:rsid w:val="007B3980"/>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5603"/>
    <w:rsid w:val="008267EC"/>
    <w:rsid w:val="008333C8"/>
    <w:rsid w:val="00833E3B"/>
    <w:rsid w:val="00836330"/>
    <w:rsid w:val="008425D1"/>
    <w:rsid w:val="00843423"/>
    <w:rsid w:val="0084541D"/>
    <w:rsid w:val="0085081A"/>
    <w:rsid w:val="008508C2"/>
    <w:rsid w:val="00854596"/>
    <w:rsid w:val="0085662B"/>
    <w:rsid w:val="008574B6"/>
    <w:rsid w:val="00857FA7"/>
    <w:rsid w:val="00860536"/>
    <w:rsid w:val="00862393"/>
    <w:rsid w:val="00862E2B"/>
    <w:rsid w:val="008712CA"/>
    <w:rsid w:val="0087391D"/>
    <w:rsid w:val="00873957"/>
    <w:rsid w:val="00874EBC"/>
    <w:rsid w:val="00881FB4"/>
    <w:rsid w:val="00884C18"/>
    <w:rsid w:val="00891790"/>
    <w:rsid w:val="00897D1A"/>
    <w:rsid w:val="008A3268"/>
    <w:rsid w:val="008A3B7E"/>
    <w:rsid w:val="008A3BCC"/>
    <w:rsid w:val="008A5292"/>
    <w:rsid w:val="008A5518"/>
    <w:rsid w:val="008B1806"/>
    <w:rsid w:val="008B7517"/>
    <w:rsid w:val="008C71B6"/>
    <w:rsid w:val="008D69E8"/>
    <w:rsid w:val="008E06ED"/>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25F9"/>
    <w:rsid w:val="00994FA8"/>
    <w:rsid w:val="00996F07"/>
    <w:rsid w:val="009A017A"/>
    <w:rsid w:val="009A0C40"/>
    <w:rsid w:val="009A165C"/>
    <w:rsid w:val="009A49F2"/>
    <w:rsid w:val="009A6475"/>
    <w:rsid w:val="009A6B85"/>
    <w:rsid w:val="009B0E73"/>
    <w:rsid w:val="009B1458"/>
    <w:rsid w:val="009B3375"/>
    <w:rsid w:val="009B57C6"/>
    <w:rsid w:val="009B7B5B"/>
    <w:rsid w:val="009C27FA"/>
    <w:rsid w:val="009C2987"/>
    <w:rsid w:val="009C70B5"/>
    <w:rsid w:val="009D13C5"/>
    <w:rsid w:val="009D5022"/>
    <w:rsid w:val="009D6626"/>
    <w:rsid w:val="009D7C9D"/>
    <w:rsid w:val="009E13FB"/>
    <w:rsid w:val="009E18B4"/>
    <w:rsid w:val="009E1C63"/>
    <w:rsid w:val="00A0265E"/>
    <w:rsid w:val="00A026F4"/>
    <w:rsid w:val="00A033F3"/>
    <w:rsid w:val="00A04AD7"/>
    <w:rsid w:val="00A11B58"/>
    <w:rsid w:val="00A12D67"/>
    <w:rsid w:val="00A15BDD"/>
    <w:rsid w:val="00A17305"/>
    <w:rsid w:val="00A24EFB"/>
    <w:rsid w:val="00A34DA6"/>
    <w:rsid w:val="00A44CDC"/>
    <w:rsid w:val="00A4664A"/>
    <w:rsid w:val="00A530EB"/>
    <w:rsid w:val="00A5422A"/>
    <w:rsid w:val="00A63BB5"/>
    <w:rsid w:val="00A654DD"/>
    <w:rsid w:val="00A661AF"/>
    <w:rsid w:val="00A6627B"/>
    <w:rsid w:val="00A7509B"/>
    <w:rsid w:val="00A754AB"/>
    <w:rsid w:val="00A76AC1"/>
    <w:rsid w:val="00A7775B"/>
    <w:rsid w:val="00A91261"/>
    <w:rsid w:val="00A97A81"/>
    <w:rsid w:val="00AA119B"/>
    <w:rsid w:val="00AA202B"/>
    <w:rsid w:val="00AA2548"/>
    <w:rsid w:val="00AA3564"/>
    <w:rsid w:val="00AA415C"/>
    <w:rsid w:val="00AA6BE1"/>
    <w:rsid w:val="00AA7B38"/>
    <w:rsid w:val="00AB0DA3"/>
    <w:rsid w:val="00AB3639"/>
    <w:rsid w:val="00AB586D"/>
    <w:rsid w:val="00AB5B69"/>
    <w:rsid w:val="00AC32EA"/>
    <w:rsid w:val="00AC6117"/>
    <w:rsid w:val="00AD1558"/>
    <w:rsid w:val="00AD39C5"/>
    <w:rsid w:val="00AE4D50"/>
    <w:rsid w:val="00AE4E75"/>
    <w:rsid w:val="00AE7B54"/>
    <w:rsid w:val="00AF0151"/>
    <w:rsid w:val="00AF0E09"/>
    <w:rsid w:val="00AF0FD1"/>
    <w:rsid w:val="00B027F5"/>
    <w:rsid w:val="00B0544F"/>
    <w:rsid w:val="00B07540"/>
    <w:rsid w:val="00B0788C"/>
    <w:rsid w:val="00B10B19"/>
    <w:rsid w:val="00B12241"/>
    <w:rsid w:val="00B12D09"/>
    <w:rsid w:val="00B1488B"/>
    <w:rsid w:val="00B23D1D"/>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40D2B"/>
    <w:rsid w:val="00C527D0"/>
    <w:rsid w:val="00C52842"/>
    <w:rsid w:val="00C55B3B"/>
    <w:rsid w:val="00C57E35"/>
    <w:rsid w:val="00C63533"/>
    <w:rsid w:val="00C6401F"/>
    <w:rsid w:val="00C64F83"/>
    <w:rsid w:val="00C67505"/>
    <w:rsid w:val="00C70AD3"/>
    <w:rsid w:val="00C7195A"/>
    <w:rsid w:val="00C73273"/>
    <w:rsid w:val="00C741E2"/>
    <w:rsid w:val="00C757E0"/>
    <w:rsid w:val="00C76ED0"/>
    <w:rsid w:val="00C809CD"/>
    <w:rsid w:val="00C84C52"/>
    <w:rsid w:val="00C86645"/>
    <w:rsid w:val="00C86EC9"/>
    <w:rsid w:val="00C8765D"/>
    <w:rsid w:val="00C9133F"/>
    <w:rsid w:val="00C91504"/>
    <w:rsid w:val="00C915BE"/>
    <w:rsid w:val="00C94AF5"/>
    <w:rsid w:val="00C9645A"/>
    <w:rsid w:val="00CA07CB"/>
    <w:rsid w:val="00CA27AD"/>
    <w:rsid w:val="00CA2BB1"/>
    <w:rsid w:val="00CA6DE5"/>
    <w:rsid w:val="00CA7B90"/>
    <w:rsid w:val="00CA7CCE"/>
    <w:rsid w:val="00CC4C75"/>
    <w:rsid w:val="00CC516A"/>
    <w:rsid w:val="00CD6B7B"/>
    <w:rsid w:val="00CE1935"/>
    <w:rsid w:val="00CE19A8"/>
    <w:rsid w:val="00CE4E80"/>
    <w:rsid w:val="00CE7BF8"/>
    <w:rsid w:val="00CF00C6"/>
    <w:rsid w:val="00CF3906"/>
    <w:rsid w:val="00CF479E"/>
    <w:rsid w:val="00D01095"/>
    <w:rsid w:val="00D062D5"/>
    <w:rsid w:val="00D1051A"/>
    <w:rsid w:val="00D135B7"/>
    <w:rsid w:val="00D13F90"/>
    <w:rsid w:val="00D162A1"/>
    <w:rsid w:val="00D2614C"/>
    <w:rsid w:val="00D33E93"/>
    <w:rsid w:val="00D351F1"/>
    <w:rsid w:val="00D35CE5"/>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2BBD"/>
    <w:rsid w:val="00D962D0"/>
    <w:rsid w:val="00D97EE6"/>
    <w:rsid w:val="00DA1735"/>
    <w:rsid w:val="00DA1E60"/>
    <w:rsid w:val="00DA2185"/>
    <w:rsid w:val="00DA5E05"/>
    <w:rsid w:val="00DB0621"/>
    <w:rsid w:val="00DB3B67"/>
    <w:rsid w:val="00DB5664"/>
    <w:rsid w:val="00DC054F"/>
    <w:rsid w:val="00DC4173"/>
    <w:rsid w:val="00DD05AB"/>
    <w:rsid w:val="00DD0642"/>
    <w:rsid w:val="00DD15DF"/>
    <w:rsid w:val="00DD1AA7"/>
    <w:rsid w:val="00DD2DB1"/>
    <w:rsid w:val="00DD3ED7"/>
    <w:rsid w:val="00DD4975"/>
    <w:rsid w:val="00DD5EA3"/>
    <w:rsid w:val="00DD5EA9"/>
    <w:rsid w:val="00DD7760"/>
    <w:rsid w:val="00DD7A4A"/>
    <w:rsid w:val="00DE28EB"/>
    <w:rsid w:val="00DE2D2F"/>
    <w:rsid w:val="00DF11B6"/>
    <w:rsid w:val="00DF1464"/>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597E"/>
    <w:rsid w:val="00E85F8C"/>
    <w:rsid w:val="00E91DBE"/>
    <w:rsid w:val="00E925DF"/>
    <w:rsid w:val="00E94693"/>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710BC"/>
    <w:rsid w:val="00F727D6"/>
    <w:rsid w:val="00F8258D"/>
    <w:rsid w:val="00F876F3"/>
    <w:rsid w:val="00F906E9"/>
    <w:rsid w:val="00F90B65"/>
    <w:rsid w:val="00F940BC"/>
    <w:rsid w:val="00F95EB6"/>
    <w:rsid w:val="00FA181F"/>
    <w:rsid w:val="00FB00AB"/>
    <w:rsid w:val="00FB251D"/>
    <w:rsid w:val="00FB2E7F"/>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61</TotalTime>
  <Pages>18</Pages>
  <Words>15853</Words>
  <Characters>90367</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106008</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30</cp:revision>
  <cp:lastPrinted>2022-10-25T01:32:00Z</cp:lastPrinted>
  <dcterms:created xsi:type="dcterms:W3CDTF">2022-10-25T01:32:00Z</dcterms:created>
  <dcterms:modified xsi:type="dcterms:W3CDTF">2022-10-25T20:35:00Z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