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41BC1507"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8C149C">
        <w:rPr>
          <w:b/>
          <w:bCs/>
          <w:color w:val="0072CE" w:themeColor="text2"/>
          <w:sz w:val="36"/>
          <w:szCs w:val="36"/>
        </w:rPr>
        <w:t>S</w:t>
      </w:r>
      <w:r w:rsidRPr="00CA4464">
        <w:rPr>
          <w:b/>
          <w:bCs/>
          <w:color w:val="0072CE" w:themeColor="text2"/>
          <w:sz w:val="36"/>
          <w:szCs w:val="36"/>
        </w:rPr>
        <w:t xml:space="preserve">pinal </w:t>
      </w:r>
      <w:r w:rsidR="008C149C">
        <w:rPr>
          <w:b/>
          <w:bCs/>
          <w:color w:val="0072CE" w:themeColor="text2"/>
          <w:sz w:val="36"/>
          <w:szCs w:val="36"/>
        </w:rPr>
        <w:t>C</w:t>
      </w:r>
      <w:r w:rsidRPr="00CA4464">
        <w:rPr>
          <w:b/>
          <w:bCs/>
          <w:color w:val="0072CE" w:themeColor="text2"/>
          <w:sz w:val="36"/>
          <w:szCs w:val="36"/>
        </w:rPr>
        <w:t>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66578B1" w14:textId="1A989E24" w:rsidR="0041098F" w:rsidRDefault="00FF43A9" w:rsidP="00D3324B">
      <w:pPr>
        <w:pStyle w:val="JHEPBody"/>
        <w:spacing w:line="480" w:lineRule="auto"/>
        <w:ind w:left="360"/>
        <w:rPr>
          <w:bCs/>
          <w:sz w:val="22"/>
        </w:rPr>
        <w:sectPr w:rsidR="0041098F" w:rsidSect="007146E7">
          <w:pgSz w:w="12240" w:h="15840"/>
          <w:pgMar w:top="1728" w:right="1080" w:bottom="720" w:left="1080" w:header="720" w:footer="720" w:gutter="0"/>
          <w:cols w:space="720"/>
          <w:docGrid w:linePitch="360"/>
        </w:sectPr>
      </w:pPr>
      <w:r>
        <w:rPr>
          <w:sz w:val="22"/>
          <w:lang w:bidi="en-US"/>
        </w:rPr>
        <w:t>So far</w:t>
      </w:r>
      <w:r w:rsidR="00097EF3">
        <w:rPr>
          <w:sz w:val="22"/>
          <w:lang w:bidi="en-US"/>
        </w:rPr>
        <w:t>, t</w:t>
      </w:r>
      <w:r w:rsidR="008155FD">
        <w:rPr>
          <w:sz w:val="22"/>
          <w:lang w:bidi="en-US"/>
        </w:rPr>
        <w:t>here is not an FDA approved therapy to intervene directly in the spinal cord following SCI and repair it.</w:t>
      </w:r>
    </w:p>
    <w:p w14:paraId="1ED33F37" w14:textId="245358C9" w:rsidR="00274369" w:rsidRDefault="00274369" w:rsidP="00274369">
      <w:pPr>
        <w:pStyle w:val="Heading2"/>
      </w:pPr>
      <w:r>
        <w:lastRenderedPageBreak/>
        <w:t xml:space="preserve">D – Solution Description </w:t>
      </w:r>
    </w:p>
    <w:p w14:paraId="61596977" w14:textId="77777777" w:rsidR="00056DB8" w:rsidRPr="00056DB8" w:rsidRDefault="00056DB8" w:rsidP="00056DB8"/>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3043456A" w:rsidR="005B4CF2" w:rsidRPr="006C4359" w:rsidRDefault="005B4CF2" w:rsidP="00144B5E">
            <w:pPr>
              <w:pStyle w:val="JHEPBody"/>
              <w:numPr>
                <w:ilvl w:val="0"/>
                <w:numId w:val="34"/>
              </w:numPr>
              <w:rPr>
                <w:bCs/>
                <w:sz w:val="22"/>
                <w:lang w:bidi="en-US"/>
              </w:rPr>
            </w:pPr>
            <w:r w:rsidRPr="006C4359">
              <w:rPr>
                <w:bCs/>
                <w:sz w:val="22"/>
                <w:lang w:bidi="en-US"/>
              </w:rPr>
              <w:t>MCP-</w:t>
            </w:r>
            <w:r w:rsidR="00056DB8" w:rsidRPr="006C4359">
              <w:rPr>
                <w:bCs/>
                <w:sz w:val="22"/>
                <w:lang w:bidi="en-US"/>
              </w:rPr>
              <w:t>1: [</w:t>
            </w:r>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6E76E0D6" w:rsidR="00606C1B" w:rsidRPr="006C4359" w:rsidRDefault="00A73CAD" w:rsidP="00606C1B">
            <w:pPr>
              <w:pStyle w:val="JHEPBody"/>
              <w:rPr>
                <w:bCs/>
                <w:sz w:val="22"/>
                <w:lang w:bidi="en-US"/>
              </w:rPr>
            </w:pPr>
            <w:r w:rsidRPr="006C4359">
              <w:rPr>
                <w:bCs/>
                <w:sz w:val="22"/>
                <w:lang w:bidi="en-US"/>
              </w:rPr>
              <w:fldChar w:fldCharType="begin"/>
            </w:r>
            <w:r w:rsidR="00B74FD0">
              <w:rPr>
                <w:bCs/>
                <w:sz w:val="22"/>
                <w:lang w:bidi="en-US"/>
              </w:rPr>
              <w:instrText xml:space="preserve"> ADDIN ZOTERO_ITEM CSL_CITATION {"citationID":"OOBPxf4O","properties":{"formattedCitation":"(Rivera et al.)","plainCitation":"(Rivera et al.)","noteIndex":0},"citationItems":[{"id":"guawG5db/WhpFbLNp","uris":["http://zotero.org/users/7286058/items/8Y7ZC3GS"],"itemData":{"id":4700,"type":"article-journal","abstract":"The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r w:rsidR="007E6B9D" w:rsidRPr="00773149" w14:paraId="13BCE0B8" w14:textId="77777777" w:rsidTr="007146E7">
        <w:trPr>
          <w:trHeight w:val="1319"/>
        </w:trPr>
        <w:tc>
          <w:tcPr>
            <w:tcW w:w="2212" w:type="pct"/>
          </w:tcPr>
          <w:p w14:paraId="403FDB76" w14:textId="77777777" w:rsidR="007E6B9D" w:rsidRPr="006C4359" w:rsidRDefault="007E6B9D" w:rsidP="007E6B9D">
            <w:pPr>
              <w:pStyle w:val="JHEPBody"/>
              <w:rPr>
                <w:b/>
                <w:bCs/>
                <w:sz w:val="22"/>
                <w:lang w:bidi="en-US"/>
              </w:rPr>
            </w:pPr>
            <w:r>
              <w:rPr>
                <w:b/>
                <w:sz w:val="22"/>
                <w:lang w:bidi="en-US"/>
              </w:rPr>
              <w:t>Basso Beattie and Bresnahan (BBB) score</w:t>
            </w:r>
          </w:p>
          <w:p w14:paraId="39E696F5" w14:textId="504DF66E" w:rsidR="007E6B9D" w:rsidRPr="00F1604C" w:rsidRDefault="007E6B9D" w:rsidP="00F1604C">
            <w:pPr>
              <w:pStyle w:val="JHEPBody"/>
              <w:rPr>
                <w:rFonts w:cs="Tahoma"/>
                <w:sz w:val="22"/>
              </w:rPr>
            </w:pPr>
            <w:r>
              <w:rPr>
                <w:bCs/>
                <w:sz w:val="22"/>
                <w:lang w:bidi="en-US"/>
              </w:rPr>
              <w:t>This score is used to assess motor functions and recovery in rats</w:t>
            </w:r>
            <w:r w:rsidR="00F1604C">
              <w:rPr>
                <w:bCs/>
                <w:sz w:val="22"/>
                <w:lang w:bidi="en-US"/>
              </w:rPr>
              <w:t xml:space="preserve">. </w:t>
            </w:r>
            <w:r w:rsidR="00F1604C" w:rsidRPr="00F1604C">
              <w:rPr>
                <w:rFonts w:cs="Tahoma"/>
                <w:color w:val="212121"/>
                <w:sz w:val="22"/>
                <w:shd w:val="clear" w:color="auto" w:fill="FFFFFF"/>
              </w:rPr>
              <w:t>International Standards for Neurological Classification of Spinal Cord Injury</w:t>
            </w:r>
            <w:r w:rsidR="00F1604C">
              <w:rPr>
                <w:rFonts w:cs="Tahoma"/>
                <w:color w:val="212121"/>
                <w:sz w:val="22"/>
                <w:shd w:val="clear" w:color="auto" w:fill="FFFFFF"/>
              </w:rPr>
              <w:t xml:space="preserve"> (I</w:t>
            </w:r>
            <w:r w:rsidR="0054019F">
              <w:rPr>
                <w:rFonts w:cs="Tahoma"/>
                <w:color w:val="212121"/>
                <w:sz w:val="22"/>
                <w:shd w:val="clear" w:color="auto" w:fill="FFFFFF"/>
              </w:rPr>
              <w:t>S</w:t>
            </w:r>
            <w:r w:rsidR="00F1604C">
              <w:rPr>
                <w:rFonts w:cs="Tahoma"/>
                <w:color w:val="212121"/>
                <w:sz w:val="22"/>
                <w:shd w:val="clear" w:color="auto" w:fill="FFFFFF"/>
              </w:rPr>
              <w:t>NCSC) includes different scores for patients.</w:t>
            </w:r>
          </w:p>
        </w:tc>
        <w:tc>
          <w:tcPr>
            <w:tcW w:w="940" w:type="pct"/>
          </w:tcPr>
          <w:p w14:paraId="5E3A12D0" w14:textId="76BA8985" w:rsidR="007E6B9D" w:rsidRPr="005C610E" w:rsidRDefault="007E6B9D" w:rsidP="007E6B9D">
            <w:pPr>
              <w:pStyle w:val="JHEPBody"/>
              <w:numPr>
                <w:ilvl w:val="0"/>
                <w:numId w:val="20"/>
              </w:numPr>
              <w:jc w:val="center"/>
              <w:rPr>
                <w:bCs/>
                <w:sz w:val="22"/>
                <w:lang w:bidi="en-US"/>
              </w:rPr>
            </w:pPr>
            <w:r>
              <w:rPr>
                <w:bCs/>
                <w:sz w:val="22"/>
                <w:lang w:bidi="en-US"/>
              </w:rPr>
              <w:t>number</w:t>
            </w:r>
          </w:p>
        </w:tc>
        <w:tc>
          <w:tcPr>
            <w:tcW w:w="1022" w:type="pct"/>
          </w:tcPr>
          <w:p w14:paraId="74F09F49" w14:textId="6D3AB9A9" w:rsidR="007E6B9D" w:rsidRPr="005C610E" w:rsidRDefault="007E6B9D" w:rsidP="007E6B9D">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E1B98AC" w14:textId="00F17C76" w:rsidR="007E6B9D" w:rsidRPr="005C610E" w:rsidRDefault="007E6B9D" w:rsidP="007E6B9D">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1269CDA2" w14:textId="39C87FBC" w:rsidR="00240673"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556474A5"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cav</w:t>
      </w:r>
      <w:r w:rsidR="00EA5B7D">
        <w:rPr>
          <w:sz w:val="22"/>
        </w:rPr>
        <w:t>i</w:t>
      </w:r>
      <w:r w:rsidR="00B47245">
        <w:rPr>
          <w:sz w:val="22"/>
        </w:rPr>
        <w:t>ta</w:t>
      </w:r>
      <w:r w:rsidR="00D36552" w:rsidRPr="00153359">
        <w:rPr>
          <w:sz w:val="22"/>
        </w:rPr>
        <w:t xml:space="preserve">tion,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r w:rsidR="00B47245" w:rsidRPr="00153359">
        <w:rPr>
          <w:sz w:val="22"/>
        </w:rPr>
        <w:t>cav</w:t>
      </w:r>
      <w:r w:rsidR="00B47245">
        <w:rPr>
          <w:sz w:val="22"/>
        </w:rPr>
        <w:t>ita</w:t>
      </w:r>
      <w:r w:rsidR="00B47245" w:rsidRPr="00153359">
        <w:rPr>
          <w:sz w:val="22"/>
        </w:rPr>
        <w:t>tion</w:t>
      </w:r>
      <w:r w:rsidR="00B47245">
        <w:rPr>
          <w:sz w:val="22"/>
        </w:rPr>
        <w:t xml:space="preserve"> </w:t>
      </w:r>
      <w:r w:rsidR="00DA0A49">
        <w:rPr>
          <w:sz w:val="22"/>
        </w:rPr>
        <w:t>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2A9812BE" w:rsidR="008229F3" w:rsidRPr="00B43499" w:rsidRDefault="008229F3" w:rsidP="00B43499">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w:t>
      </w:r>
      <w:r w:rsidR="00ED4192" w:rsidRPr="00B43499">
        <w:rPr>
          <w:sz w:val="22"/>
          <w:lang w:bidi="en-US"/>
        </w:rPr>
        <w:t xml:space="preserve">linked </w:t>
      </w:r>
      <w:r w:rsidRPr="00B43499">
        <w:rPr>
          <w:sz w:val="22"/>
          <w:lang w:bidi="en-US"/>
        </w:rPr>
        <w:t xml:space="preserve">to molecular weight (MW) however a high molecular polymer weight might be </w:t>
      </w:r>
      <w:r w:rsidR="00ED4192" w:rsidRPr="00B43499">
        <w:rPr>
          <w:sz w:val="22"/>
          <w:lang w:bidi="en-US"/>
        </w:rPr>
        <w:t>correlated</w:t>
      </w:r>
      <w:r w:rsidRPr="00B43499">
        <w:rPr>
          <w:sz w:val="22"/>
          <w:lang w:bidi="en-US"/>
        </w:rPr>
        <w:t xml:space="preserve">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w:t>
      </w:r>
      <w:r w:rsidR="00B43499" w:rsidRPr="00B43499">
        <w:rPr>
          <w:sz w:val="22"/>
        </w:rPr>
        <w:t xml:space="preserve">consists in an inner and outer scaffolds </w:t>
      </w:r>
      <w:r w:rsidR="00B43499" w:rsidRPr="0048052E">
        <w:rPr>
          <w:sz w:val="22"/>
        </w:rPr>
        <w:t xml:space="preserve">made </w:t>
      </w:r>
      <w:r w:rsidR="00186D46">
        <w:rPr>
          <w:sz w:val="22"/>
        </w:rPr>
        <w:t xml:space="preserve">from a blend of PLGA </w:t>
      </w:r>
      <w:r w:rsidR="00B43499" w:rsidRPr="0048052E">
        <w:rPr>
          <w:sz w:val="22"/>
        </w:rPr>
        <w:t>(</w:t>
      </w:r>
      <w:r w:rsidR="00DF763D">
        <w:rPr>
          <w:sz w:val="22"/>
        </w:rPr>
        <w:t>75%</w:t>
      </w:r>
      <w:r w:rsidR="00186D46">
        <w:rPr>
          <w:sz w:val="22"/>
        </w:rPr>
        <w:t xml:space="preserve">, </w:t>
      </w:r>
      <w:r w:rsidR="00DF763D">
        <w:rPr>
          <w:sz w:val="22"/>
        </w:rPr>
        <w:t xml:space="preserve">MW </w:t>
      </w:r>
      <w:r w:rsidR="00DF763D">
        <w:rPr>
          <w:sz w:val="22"/>
        </w:rPr>
        <w:sym w:font="Symbol" w:char="F0BB"/>
      </w:r>
      <w:r w:rsidR="00DF763D">
        <w:rPr>
          <w:sz w:val="22"/>
        </w:rPr>
        <w:t xml:space="preserve"> 40,000</w:t>
      </w:r>
      <w:r w:rsidR="00186D46">
        <w:rPr>
          <w:sz w:val="22"/>
        </w:rPr>
        <w:t>)</w:t>
      </w:r>
      <w:r w:rsidR="00DF763D">
        <w:rPr>
          <w:sz w:val="22"/>
        </w:rPr>
        <w:t>, an</w:t>
      </w:r>
      <w:r w:rsidR="00186D46">
        <w:rPr>
          <w:sz w:val="22"/>
        </w:rPr>
        <w:t>d</w:t>
      </w:r>
      <w:r w:rsidR="00DF763D">
        <w:rPr>
          <w:sz w:val="22"/>
        </w:rPr>
        <w:t xml:space="preserve"> a copolymer</w:t>
      </w:r>
      <w:r w:rsidR="00186D46">
        <w:rPr>
          <w:sz w:val="22"/>
        </w:rPr>
        <w:t xml:space="preserve"> (</w:t>
      </w:r>
      <w:r w:rsidR="00DF763D">
        <w:rPr>
          <w:sz w:val="22"/>
        </w:rPr>
        <w:t>25%</w:t>
      </w:r>
      <w:r w:rsidR="00186D46">
        <w:rPr>
          <w:sz w:val="22"/>
        </w:rPr>
        <w:t xml:space="preserve">, </w:t>
      </w:r>
      <w:r w:rsidR="00DF763D">
        <w:rPr>
          <w:sz w:val="22"/>
        </w:rPr>
        <w:t>PLGA</w:t>
      </w:r>
      <w:r w:rsidR="00186D46">
        <w:rPr>
          <w:sz w:val="22"/>
        </w:rPr>
        <w:t xml:space="preserve"> block </w:t>
      </w:r>
      <w:r w:rsidR="00DF763D">
        <w:rPr>
          <w:sz w:val="22"/>
        </w:rPr>
        <w:t xml:space="preserve">MW </w:t>
      </w:r>
      <w:r w:rsidR="00DF763D">
        <w:rPr>
          <w:sz w:val="22"/>
        </w:rPr>
        <w:sym w:font="Symbol" w:char="F0BB"/>
      </w:r>
      <w:r w:rsidR="00DF763D">
        <w:rPr>
          <w:sz w:val="22"/>
        </w:rPr>
        <w:t xml:space="preserve"> 30,000, </w:t>
      </w:r>
      <w:proofErr w:type="spellStart"/>
      <w:r w:rsidR="00DF763D">
        <w:rPr>
          <w:sz w:val="22"/>
        </w:rPr>
        <w:t>polylysine</w:t>
      </w:r>
      <w:proofErr w:type="spellEnd"/>
      <w:r w:rsidR="00DF763D">
        <w:rPr>
          <w:sz w:val="22"/>
        </w:rPr>
        <w:t xml:space="preserve"> </w:t>
      </w:r>
      <w:r w:rsidR="00186D46">
        <w:rPr>
          <w:sz w:val="22"/>
        </w:rPr>
        <w:t xml:space="preserve">block </w:t>
      </w:r>
      <w:r w:rsidR="00DF763D">
        <w:rPr>
          <w:sz w:val="22"/>
        </w:rPr>
        <w:sym w:font="Symbol" w:char="F0BB"/>
      </w:r>
      <w:r w:rsidR="00DF763D">
        <w:rPr>
          <w:sz w:val="22"/>
        </w:rPr>
        <w:t xml:space="preserve"> MW 2,000)</w:t>
      </w:r>
      <w:r w:rsidR="00B43499">
        <w:rPr>
          <w:sz w:val="22"/>
        </w:rPr>
        <w:t>;</w:t>
      </w:r>
      <w:r w:rsidR="00B43499" w:rsidRPr="0048052E">
        <w:rPr>
          <w:sz w:val="22"/>
        </w:rPr>
        <w:t xml:space="preserve"> FDA approved</w:t>
      </w:r>
      <w:r w:rsidRPr="00B43499">
        <w:rPr>
          <w:sz w:val="22"/>
        </w:rPr>
        <w:t xml:space="preserve">; which </w:t>
      </w:r>
      <w:r w:rsidR="009710C8" w:rsidRPr="00B43499">
        <w:rPr>
          <w:sz w:val="22"/>
        </w:rPr>
        <w:t xml:space="preserve">resorb completely </w:t>
      </w:r>
      <w:r w:rsidR="00CD4AF3" w:rsidRPr="00B43499">
        <w:rPr>
          <w:sz w:val="22"/>
        </w:rPr>
        <w:t xml:space="preserve">over </w:t>
      </w:r>
      <w:r w:rsidR="00B43499">
        <w:rPr>
          <w:sz w:val="22"/>
        </w:rPr>
        <w:t>30</w:t>
      </w:r>
      <w:r w:rsidR="00CD4AF3" w:rsidRPr="00B43499">
        <w:rPr>
          <w:sz w:val="22"/>
        </w:rPr>
        <w:t>-</w:t>
      </w:r>
      <w:r w:rsidR="00B43499">
        <w:rPr>
          <w:sz w:val="22"/>
        </w:rPr>
        <w:t>60</w:t>
      </w:r>
      <w:r w:rsidR="00CD4AF3" w:rsidRPr="00B43499">
        <w:rPr>
          <w:sz w:val="22"/>
        </w:rPr>
        <w:t xml:space="preserve"> </w:t>
      </w:r>
      <w:r w:rsidR="00B43499">
        <w:rPr>
          <w:sz w:val="22"/>
        </w:rPr>
        <w:t>days</w:t>
      </w:r>
      <w:r w:rsidR="00AB1FEC" w:rsidRPr="00B43499">
        <w:rPr>
          <w:sz w:val="22"/>
        </w:rPr>
        <w:t xml:space="preserve"> </w:t>
      </w:r>
      <w:r w:rsidRPr="00B43499">
        <w:rPr>
          <w:sz w:val="22"/>
        </w:rPr>
        <w:t>by simple hydrolysis to water and excreted via the kidney</w:t>
      </w:r>
      <w:r w:rsidR="00166D6F" w:rsidRPr="00B43499">
        <w:rPr>
          <w:sz w:val="22"/>
        </w:rPr>
        <w:t xml:space="preserve"> </w:t>
      </w:r>
      <w:r w:rsidR="00722747" w:rsidRPr="00B43499">
        <w:rPr>
          <w:sz w:val="22"/>
        </w:rPr>
        <w:fldChar w:fldCharType="begin"/>
      </w:r>
      <w:r w:rsidR="00722747"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sidRPr="00B43499">
        <w:rPr>
          <w:sz w:val="22"/>
        </w:rPr>
        <w:fldChar w:fldCharType="separate"/>
      </w:r>
      <w:r w:rsidR="00722747" w:rsidRPr="00B43499">
        <w:rPr>
          <w:noProof/>
          <w:sz w:val="22"/>
        </w:rPr>
        <w:t>(Guest et al.)</w:t>
      </w:r>
      <w:r w:rsidR="00722747" w:rsidRPr="00B43499">
        <w:rPr>
          <w:sz w:val="22"/>
        </w:rPr>
        <w:fldChar w:fldCharType="end"/>
      </w:r>
      <w:r w:rsidRPr="00B43499">
        <w:rPr>
          <w:sz w:val="22"/>
        </w:rPr>
        <w:t>.</w:t>
      </w:r>
    </w:p>
    <w:p w14:paraId="6CF2EBF6" w14:textId="54AF39D1" w:rsidR="00CC4C75" w:rsidRDefault="00D440FD" w:rsidP="00A0265E">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F9442A">
        <w:rPr>
          <w:sz w:val="22"/>
        </w:rPr>
        <w:t xml:space="preserve">microgrooves can have different </w:t>
      </w:r>
      <w:r w:rsidR="008236B8">
        <w:rPr>
          <w:sz w:val="22"/>
        </w:rPr>
        <w:t>diameters</w:t>
      </w:r>
      <w:r w:rsidR="00F9442A">
        <w:rPr>
          <w:sz w:val="22"/>
        </w:rPr>
        <w:t xml:space="preserve"> (0.5</w:t>
      </w:r>
      <w:r w:rsidR="0054019F">
        <w:rPr>
          <w:sz w:val="22"/>
        </w:rPr>
        <w:sym w:font="Symbol" w:char="F06D"/>
      </w:r>
      <w:r w:rsidR="00F9442A">
        <w:rPr>
          <w:sz w:val="22"/>
        </w:rPr>
        <w:t>m and 4</w:t>
      </w:r>
      <w:r w:rsidR="0054019F">
        <w:rPr>
          <w:sz w:val="22"/>
        </w:rPr>
        <w:sym w:font="Symbol" w:char="F06D"/>
      </w:r>
      <w:r w:rsidR="0054019F">
        <w:rPr>
          <w:sz w:val="22"/>
        </w:rPr>
        <w:t>m</w:t>
      </w:r>
      <w:r w:rsidR="00F9442A">
        <w:rPr>
          <w:sz w:val="22"/>
        </w:rPr>
        <w:t>) and depths</w:t>
      </w:r>
      <w:r w:rsidR="008236B8">
        <w:rPr>
          <w:sz w:val="22"/>
        </w:rPr>
        <w:t xml:space="preserve">; </w:t>
      </w:r>
      <w:r w:rsidR="00F9442A">
        <w:rPr>
          <w:sz w:val="22"/>
        </w:rPr>
        <w:t>and m</w:t>
      </w:r>
      <w:r w:rsidR="008236B8">
        <w:rPr>
          <w:sz w:val="22"/>
        </w:rPr>
        <w:t>ay be</w:t>
      </w:r>
      <w:r w:rsidR="00F9442A">
        <w:rPr>
          <w:sz w:val="22"/>
        </w:rPr>
        <w:t xml:space="preserve"> be seeded with human neuronal stem cells such as OPC1s</w:t>
      </w:r>
      <w:r w:rsidR="00E251CE" w:rsidRPr="00395F2E">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w:t>
      </w:r>
      <w:r w:rsidR="00784E85">
        <w:rPr>
          <w:sz w:val="22"/>
        </w:rPr>
        <w:t xml:space="preserve">By generating these </w:t>
      </w:r>
      <w:r w:rsidR="006815DE">
        <w:rPr>
          <w:sz w:val="22"/>
        </w:rPr>
        <w:t>biological</w:t>
      </w:r>
      <w:r w:rsidR="00784E85">
        <w:rPr>
          <w:sz w:val="22"/>
        </w:rPr>
        <w:t xml:space="preserve"> factors,</w:t>
      </w:r>
      <w:r w:rsidR="00784E85" w:rsidRPr="00395F2E">
        <w:rPr>
          <w:sz w:val="22"/>
        </w:rPr>
        <w:t xml:space="preserve"> </w:t>
      </w:r>
      <w:r w:rsidR="00784E85">
        <w:rPr>
          <w:sz w:val="22"/>
        </w:rPr>
        <w:t>t</w:t>
      </w:r>
      <w:r w:rsidR="008333C8" w:rsidRPr="00395F2E">
        <w:rPr>
          <w:sz w:val="22"/>
        </w:rPr>
        <w:t>he OPC</w:t>
      </w:r>
      <w:r w:rsidR="004172C7">
        <w:rPr>
          <w:sz w:val="22"/>
        </w:rPr>
        <w:t>1</w:t>
      </w:r>
      <w:r w:rsidR="008333C8" w:rsidRPr="00395F2E">
        <w:rPr>
          <w:sz w:val="22"/>
        </w:rPr>
        <w:t>s within the scaffold</w:t>
      </w:r>
      <w:r w:rsidR="006815DE">
        <w:rPr>
          <w:sz w:val="22"/>
        </w:rPr>
        <w:t>;</w:t>
      </w:r>
      <w:r w:rsidR="008333C8" w:rsidRPr="00395F2E">
        <w:rPr>
          <w:sz w:val="22"/>
        </w:rPr>
        <w:t xml:space="preserve"> amplify the scaffold positive neural effect</w:t>
      </w:r>
      <w:r w:rsidR="00784E85">
        <w:rPr>
          <w:sz w:val="22"/>
        </w:rPr>
        <w:t xml:space="preserve"> an</w:t>
      </w:r>
      <w:r w:rsidR="006815DE">
        <w:rPr>
          <w:sz w:val="22"/>
        </w:rPr>
        <w:t xml:space="preserve">d </w:t>
      </w:r>
      <w:r w:rsidR="008333C8" w:rsidRPr="00395F2E">
        <w:rPr>
          <w:sz w:val="22"/>
        </w:rPr>
        <w:t>promot</w:t>
      </w:r>
      <w:r w:rsidR="00EF3118">
        <w:rPr>
          <w:sz w:val="22"/>
        </w:rPr>
        <w:t>e</w:t>
      </w:r>
      <w:r w:rsidR="008333C8" w:rsidRPr="00395F2E">
        <w:rPr>
          <w:sz w:val="22"/>
        </w:rPr>
        <w:t xml:space="preserve">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12638B3E"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00B02BB7">
        <w:rPr>
          <w:b/>
          <w:bCs/>
          <w:sz w:val="22"/>
        </w:rPr>
        <w:t xml:space="preserve"> (human Alu)</w:t>
      </w:r>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w:t>
      </w:r>
      <w:r w:rsidR="00A13758">
        <w:rPr>
          <w:sz w:val="22"/>
        </w:rPr>
        <w:t xml:space="preserve"> in animal models injected with OPC1s</w:t>
      </w:r>
      <w:r w:rsidR="001E093D">
        <w:rPr>
          <w:sz w:val="22"/>
        </w:rPr>
        <w:t xml:space="preserve">,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554566">
        <w:rPr>
          <w:sz w:val="22"/>
        </w:rPr>
        <w:t>provide us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03EC9F97" w:rsidR="00DF5CF8" w:rsidRPr="007E6B9D" w:rsidRDefault="00B14BE0" w:rsidP="00DB0FE0">
      <w:pPr>
        <w:pStyle w:val="JHEPBody"/>
        <w:numPr>
          <w:ilvl w:val="0"/>
          <w:numId w:val="33"/>
        </w:numPr>
        <w:spacing w:line="480" w:lineRule="auto"/>
        <w:rPr>
          <w:bCs/>
          <w:sz w:val="20"/>
          <w:szCs w:val="20"/>
          <w:lang w:bidi="en-US"/>
        </w:rPr>
      </w:pPr>
      <w:r w:rsidRPr="00A0265E">
        <w:rPr>
          <w:rFonts w:cs="Tahoma"/>
          <w:b/>
          <w:sz w:val="22"/>
          <w:lang w:bidi="en-US"/>
        </w:rPr>
        <w:t>Tumorigenicity</w:t>
      </w:r>
      <w:r w:rsidR="007D496C">
        <w:rPr>
          <w:rFonts w:cs="Tahoma"/>
          <w:b/>
          <w:sz w:val="22"/>
          <w:lang w:bidi="en-US"/>
        </w:rPr>
        <w:t xml:space="preserve"> (and </w:t>
      </w:r>
      <w:r w:rsidR="006B330C">
        <w:rPr>
          <w:rFonts w:cs="Tahoma"/>
          <w:b/>
          <w:sz w:val="22"/>
          <w:lang w:bidi="en-US"/>
        </w:rPr>
        <w:t>Toxicity</w:t>
      </w:r>
      <w:r w:rsidR="007D496C">
        <w:rPr>
          <w:rFonts w:cs="Tahoma"/>
          <w:b/>
          <w:sz w:val="22"/>
          <w:lang w:bidi="en-US"/>
        </w:rPr>
        <w:t>)</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5B5B56">
        <w:rPr>
          <w:rFonts w:cs="Tahoma"/>
          <w:bCs/>
          <w:sz w:val="22"/>
          <w:lang w:bidi="en-US"/>
        </w:rPr>
        <w:t xml:space="preserve">In animal models, necropsy, histological examination of spinal cord and brain tissues were conducted to identify any potential teratoma or ectopic tissue formation related to OPC1. </w:t>
      </w:r>
      <w:r w:rsidR="00A570C5">
        <w:rPr>
          <w:rFonts w:cs="Tahoma"/>
          <w:bCs/>
          <w:sz w:val="22"/>
          <w:lang w:bidi="en-US"/>
        </w:rPr>
        <w:t>On patients, clinical</w:t>
      </w:r>
      <w:r w:rsidR="007A1B24">
        <w:rPr>
          <w:rFonts w:cs="Tahoma"/>
          <w:bCs/>
          <w:sz w:val="22"/>
          <w:lang w:bidi="en-US"/>
        </w:rPr>
        <w:t xml:space="preserve"> assessment of OPC1</w:t>
      </w:r>
      <w:r w:rsidR="0089076E">
        <w:rPr>
          <w:rFonts w:cs="Tahoma"/>
          <w:bCs/>
          <w:sz w:val="22"/>
          <w:lang w:bidi="en-US"/>
        </w:rPr>
        <w:t>s</w:t>
      </w:r>
      <w:r w:rsidR="007A1B24">
        <w:rPr>
          <w:rFonts w:cs="Tahoma"/>
          <w:bCs/>
          <w:sz w:val="22"/>
          <w:lang w:bidi="en-US"/>
        </w:rPr>
        <w:t xml:space="preserve"> </w:t>
      </w:r>
      <w:r w:rsidR="00A570C5">
        <w:rPr>
          <w:rFonts w:cs="Tahoma"/>
          <w:bCs/>
          <w:sz w:val="22"/>
          <w:lang w:bidi="en-US"/>
        </w:rPr>
        <w:t>were also</w:t>
      </w:r>
      <w:r w:rsidR="007A1B24">
        <w:rPr>
          <w:rFonts w:cs="Tahoma"/>
          <w:bCs/>
          <w:sz w:val="22"/>
          <w:lang w:bidi="en-US"/>
        </w:rPr>
        <w:t xml:space="preserve"> performed concluding that these cells do not induce changes in hematology, coagulation, </w:t>
      </w:r>
      <w:r w:rsidR="005C610E">
        <w:rPr>
          <w:rFonts w:cs="Tahoma"/>
          <w:bCs/>
          <w:sz w:val="22"/>
          <w:lang w:bidi="en-US"/>
        </w:rPr>
        <w:t>urinalysis</w:t>
      </w:r>
      <w:r w:rsidR="009D1422">
        <w:rPr>
          <w:rFonts w:cs="Tahoma"/>
          <w:bCs/>
          <w:sz w:val="22"/>
          <w:lang w:bidi="en-US"/>
        </w:rPr>
        <w:t>, and does not cause physiological instability</w:t>
      </w:r>
      <w:r w:rsidR="007A1B24">
        <w:rPr>
          <w:rFonts w:cs="Tahoma"/>
          <w:bCs/>
          <w:sz w:val="22"/>
          <w:lang w:bidi="en-US"/>
        </w:rPr>
        <w:t xml:space="preserve"> or </w:t>
      </w:r>
      <w:r w:rsidR="006A4905">
        <w:rPr>
          <w:rFonts w:cs="Tahoma"/>
          <w:bCs/>
          <w:sz w:val="22"/>
          <w:lang w:bidi="en-US"/>
        </w:rPr>
        <w:t xml:space="preserve">neurological pain </w:t>
      </w:r>
      <w:r w:rsidR="007A1B24">
        <w:rPr>
          <w:rFonts w:cs="Tahoma"/>
          <w:bCs/>
          <w:sz w:val="22"/>
          <w:lang w:bidi="en-US"/>
        </w:rPr>
        <w:t>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27B32319" w14:textId="0B609B3E" w:rsidR="007E6B9D" w:rsidRPr="007E6B9D" w:rsidRDefault="007E6B9D" w:rsidP="007E6B9D">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The neural-spinal scaffold promotes survival</w:t>
      </w:r>
      <w:r w:rsidR="0014082A">
        <w:rPr>
          <w:sz w:val="22"/>
        </w:rPr>
        <w:t xml:space="preserve">, </w:t>
      </w:r>
      <w:r>
        <w:rPr>
          <w:sz w:val="22"/>
        </w:rPr>
        <w:t xml:space="preserve">axonal growth and locomotor recovery </w:t>
      </w:r>
      <w:r>
        <w:rPr>
          <w:sz w:val="22"/>
        </w:rPr>
        <w:fldChar w:fldCharType="begin"/>
      </w:r>
      <w:r>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Pr>
          <w:noProof/>
          <w:sz w:val="22"/>
        </w:rPr>
        <w:t>(Teng et al.)</w:t>
      </w:r>
      <w:r>
        <w:rPr>
          <w:sz w:val="22"/>
        </w:rPr>
        <w:fldChar w:fldCharType="end"/>
      </w:r>
      <w:r>
        <w:rPr>
          <w:sz w:val="22"/>
        </w:rPr>
        <w:t xml:space="preserve">. </w:t>
      </w:r>
      <w:r w:rsidR="0014082A">
        <w:rPr>
          <w:sz w:val="22"/>
        </w:rPr>
        <w:t>In addition, a</w:t>
      </w:r>
      <w:r>
        <w:rPr>
          <w:sz w:val="22"/>
        </w:rPr>
        <w:t>nimals or patients treated with OPC1</w:t>
      </w:r>
      <w:r w:rsidR="002C17C5">
        <w:rPr>
          <w:sz w:val="22"/>
        </w:rPr>
        <w:t>s</w:t>
      </w:r>
      <w:r w:rsidR="00B91E35">
        <w:rPr>
          <w:sz w:val="22"/>
        </w:rPr>
        <w:t>,</w:t>
      </w:r>
      <w:r>
        <w:rPr>
          <w:sz w:val="22"/>
        </w:rPr>
        <w:t xml:space="preserve">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lastRenderedPageBreak/>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078DC967" w14:textId="77777777" w:rsidR="00043D87" w:rsidRDefault="006C65A9" w:rsidP="00043D87">
      <w:pPr>
        <w:pStyle w:val="Bibliography"/>
        <w:numPr>
          <w:ilvl w:val="0"/>
          <w:numId w:val="42"/>
        </w:numPr>
        <w:spacing w:line="240" w:lineRule="auto"/>
        <w:ind w:left="360"/>
        <w:rPr>
          <w:rFonts w:cs="Tahoma"/>
        </w:rPr>
      </w:pPr>
      <w:r>
        <w:fldChar w:fldCharType="begin"/>
      </w:r>
      <w:r w:rsidR="00B74FD0">
        <w:instrText xml:space="preserve"> ADDIN ZOTERO_BIBL {"uncited":[],"omitted":[],"custom":[]} CSL_BIBLIOGRAPHY </w:instrText>
      </w:r>
      <w:r>
        <w:fldChar w:fldCharType="separate"/>
      </w:r>
      <w:r w:rsidR="00B74FD0" w:rsidRPr="00B74FD0">
        <w:rPr>
          <w:rFonts w:cs="Tahoma"/>
        </w:rPr>
        <w:t xml:space="preserve">Badner, Anna, et al. “Spinal Cord Injuries: How Could Cell Therapy Help?” </w:t>
      </w:r>
      <w:r w:rsidR="00B74FD0" w:rsidRPr="00B74FD0">
        <w:rPr>
          <w:rFonts w:cs="Tahoma"/>
          <w:i/>
          <w:iCs/>
        </w:rPr>
        <w:t>Expert Opinion on Biological Therapy</w:t>
      </w:r>
      <w:r w:rsidR="00B74FD0" w:rsidRPr="00B74FD0">
        <w:rPr>
          <w:rFonts w:cs="Tahoma"/>
        </w:rPr>
        <w:t xml:space="preserve">, vol. 17, no. 5, May 2017, pp. 529–41. </w:t>
      </w:r>
      <w:r w:rsidR="00B74FD0" w:rsidRPr="00B74FD0">
        <w:rPr>
          <w:rFonts w:cs="Tahoma"/>
          <w:i/>
          <w:iCs/>
        </w:rPr>
        <w:t>DOI.org (Crossref)</w:t>
      </w:r>
      <w:r w:rsidR="00B74FD0" w:rsidRPr="00B74FD0">
        <w:rPr>
          <w:rFonts w:cs="Tahoma"/>
        </w:rPr>
        <w:t>, https://doi.org/10.1080/14712598.2017.1308481.</w:t>
      </w:r>
    </w:p>
    <w:p w14:paraId="635119A2" w14:textId="064C9336" w:rsidR="00043D87" w:rsidRPr="00043D87" w:rsidRDefault="00043D87" w:rsidP="00043D87">
      <w:pPr>
        <w:pStyle w:val="Bibliography"/>
        <w:numPr>
          <w:ilvl w:val="0"/>
          <w:numId w:val="42"/>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33502690"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34D35024"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7E409502" w14:textId="2E9A7D93" w:rsidR="00043D87" w:rsidRDefault="00043D87" w:rsidP="00043D87">
      <w:pPr>
        <w:pStyle w:val="Bibliography"/>
        <w:numPr>
          <w:ilvl w:val="0"/>
          <w:numId w:val="42"/>
        </w:numPr>
        <w:spacing w:line="240" w:lineRule="auto"/>
        <w:ind w:left="360"/>
      </w:pPr>
      <w:r w:rsidRPr="00B23D1D">
        <w:t>Crawford ES, Crawford JL, Safi HJ, Coselli JS: Redo operations for recurrent aneurysmal disease of the ascending aorta and transverse aortic arch. Ann Thorac Surg 40:439–455, 1985</w:t>
      </w:r>
    </w:p>
    <w:p w14:paraId="77D03B7A" w14:textId="758C016F" w:rsidR="00043D87" w:rsidRPr="00043D87" w:rsidRDefault="00043D87" w:rsidP="00043D87">
      <w:pPr>
        <w:pStyle w:val="Bibliography"/>
        <w:numPr>
          <w:ilvl w:val="0"/>
          <w:numId w:val="42"/>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63E72A33"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lastRenderedPageBreak/>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64ACCA8"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6E9A129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331D17EF" w14:textId="77777777" w:rsidR="00A44EC6" w:rsidRDefault="00B74FD0" w:rsidP="00A44EC6">
      <w:pPr>
        <w:pStyle w:val="Bibliography"/>
        <w:numPr>
          <w:ilvl w:val="0"/>
          <w:numId w:val="42"/>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65D05050" w14:textId="77777777" w:rsidR="00A44EC6" w:rsidRDefault="00B74FD0" w:rsidP="00A44EC6">
      <w:pPr>
        <w:pStyle w:val="Bibliography"/>
        <w:numPr>
          <w:ilvl w:val="0"/>
          <w:numId w:val="42"/>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CD59386" w14:textId="61B487F3" w:rsidR="00A44EC6" w:rsidRPr="00A44EC6" w:rsidRDefault="00A44EC6" w:rsidP="00A44EC6">
      <w:pPr>
        <w:pStyle w:val="Bibliography"/>
        <w:numPr>
          <w:ilvl w:val="0"/>
          <w:numId w:val="42"/>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F2409CA"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3AE0F007" w14:textId="4E3DAD09" w:rsidR="00087E82" w:rsidRPr="00087E82" w:rsidRDefault="00087E82" w:rsidP="00087E82">
      <w:pPr>
        <w:pStyle w:val="Bibliography"/>
        <w:numPr>
          <w:ilvl w:val="0"/>
          <w:numId w:val="42"/>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73825A92"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790EFBE5"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1A2E6958" w14:textId="24375044" w:rsidR="00043D87" w:rsidRPr="00043D87" w:rsidRDefault="00043D87" w:rsidP="00043D87">
      <w:pPr>
        <w:pStyle w:val="Bibliography"/>
        <w:numPr>
          <w:ilvl w:val="0"/>
          <w:numId w:val="42"/>
        </w:numPr>
        <w:spacing w:line="240" w:lineRule="auto"/>
        <w:ind w:left="360"/>
        <w:rPr>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724BA852"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5F0C4B5A" w14:textId="77777777" w:rsidR="00087E82" w:rsidRDefault="00043D87" w:rsidP="00087E82">
      <w:pPr>
        <w:pStyle w:val="Bibliography"/>
        <w:numPr>
          <w:ilvl w:val="0"/>
          <w:numId w:val="42"/>
        </w:numPr>
        <w:spacing w:line="240" w:lineRule="auto"/>
        <w:ind w:left="360"/>
        <w:rPr>
          <w:rFonts w:cs="Tahoma"/>
        </w:rPr>
      </w:pPr>
      <w:r w:rsidRPr="00043D87">
        <w:rPr>
          <w:rFonts w:cs="Tahoma"/>
        </w:rPr>
        <w:t>lifeexpectancy.org</w:t>
      </w:r>
    </w:p>
    <w:p w14:paraId="502DA1DC" w14:textId="491989C2" w:rsidR="00087E82" w:rsidRPr="00087E82" w:rsidRDefault="00087E82" w:rsidP="00087E82">
      <w:pPr>
        <w:pStyle w:val="Bibliography"/>
        <w:numPr>
          <w:ilvl w:val="0"/>
          <w:numId w:val="42"/>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4BFA491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44AC1EAE"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w:t>
      </w:r>
      <w:r w:rsidRPr="00B74FD0">
        <w:rPr>
          <w:rFonts w:cs="Tahoma"/>
        </w:rPr>
        <w:lastRenderedPageBreak/>
        <w:t xml:space="preserve">15, no. 3, Sept. 2011, pp. 238–51. </w:t>
      </w:r>
      <w:r w:rsidRPr="00B74FD0">
        <w:rPr>
          <w:rFonts w:cs="Tahoma"/>
          <w:i/>
          <w:iCs/>
        </w:rPr>
        <w:t>DOI.org (Crossref)</w:t>
      </w:r>
      <w:r w:rsidRPr="00B74FD0">
        <w:rPr>
          <w:rFonts w:cs="Tahoma"/>
        </w:rPr>
        <w:t>, https://doi.org/10.3171/2011.4.SPINE10543.</w:t>
      </w:r>
    </w:p>
    <w:p w14:paraId="61D38116" w14:textId="7196E3C0" w:rsidR="00043D87" w:rsidRPr="00043D87" w:rsidRDefault="00043D87" w:rsidP="00043D87">
      <w:pPr>
        <w:pStyle w:val="Bibliography"/>
        <w:numPr>
          <w:ilvl w:val="0"/>
          <w:numId w:val="42"/>
        </w:numPr>
        <w:spacing w:line="240" w:lineRule="auto"/>
        <w:ind w:left="360"/>
        <w:rPr>
          <w:rFonts w:cs="Tahoma"/>
        </w:rPr>
      </w:pPr>
      <w:r w:rsidRPr="00043D87">
        <w:rPr>
          <w:rFonts w:eastAsiaTheme="majorEastAsia" w:cs="Tahoma"/>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5C89279E"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1802F690"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1FDD1542" w14:textId="0584A938" w:rsidR="00043D87" w:rsidRPr="00043D87" w:rsidRDefault="00043D87" w:rsidP="00043D87">
      <w:pPr>
        <w:pStyle w:val="Bibliography"/>
        <w:numPr>
          <w:ilvl w:val="0"/>
          <w:numId w:val="42"/>
        </w:numPr>
        <w:spacing w:line="240" w:lineRule="auto"/>
        <w:ind w:left="360"/>
        <w:rPr>
          <w:rFonts w:cs="Tahoma"/>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66B17664"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4117B9C9"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66C26627"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11D6394E" w14:textId="21E3F12F" w:rsidR="00043D87" w:rsidRPr="00043D87" w:rsidRDefault="00043D87" w:rsidP="00043D87">
      <w:pPr>
        <w:pStyle w:val="Bibliography"/>
        <w:numPr>
          <w:ilvl w:val="0"/>
          <w:numId w:val="42"/>
        </w:numPr>
        <w:spacing w:line="240" w:lineRule="auto"/>
        <w:ind w:left="360"/>
        <w:rPr>
          <w:rFonts w:cs="Tahoma"/>
        </w:rPr>
      </w:pPr>
      <w:r w:rsidRPr="00EB5BA2">
        <w:t>Robertazzi RR, Cunningham JN Jr: Intraoperative adjuncts of spinal cord protection. Semin Thorac Cardiovasc Surg 10: 29–34, 1998</w:t>
      </w:r>
    </w:p>
    <w:p w14:paraId="776F87F1" w14:textId="63BE42E9" w:rsidR="00B74FD0" w:rsidRPr="00B74FD0" w:rsidRDefault="00B74FD0" w:rsidP="00B74FD0">
      <w:pPr>
        <w:pStyle w:val="Bibliography"/>
        <w:numPr>
          <w:ilvl w:val="0"/>
          <w:numId w:val="42"/>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3AB15D1B" w14:textId="77777777" w:rsidR="00B74FD0" w:rsidRPr="0057577E" w:rsidRDefault="00B74FD0" w:rsidP="00B74FD0">
      <w:pPr>
        <w:pStyle w:val="Bibliography"/>
        <w:numPr>
          <w:ilvl w:val="0"/>
          <w:numId w:val="42"/>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67B7D623"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49A42C2" w14:textId="4889C0D7" w:rsidR="00043D87" w:rsidRPr="00043D87" w:rsidRDefault="00043D87" w:rsidP="00043D87">
      <w:pPr>
        <w:pStyle w:val="Bibliography"/>
        <w:numPr>
          <w:ilvl w:val="0"/>
          <w:numId w:val="42"/>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1B31D7A6"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44350918"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5A14A587" w14:textId="0EED647F" w:rsidR="00087E82" w:rsidRPr="00087E82" w:rsidRDefault="00087E82" w:rsidP="00087E82">
      <w:pPr>
        <w:pStyle w:val="Bibliography"/>
        <w:numPr>
          <w:ilvl w:val="0"/>
          <w:numId w:val="42"/>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1ECD05CD"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A645454"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lastRenderedPageBreak/>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3603DF9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4DA5DC8E"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6F0B039B"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14965137"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65B660D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7E72509E" w14:textId="78C2569C" w:rsidR="00040E46" w:rsidRPr="00040E46" w:rsidRDefault="006C65A9" w:rsidP="00B74FD0">
      <w:pPr>
        <w:ind w:left="-7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2F72" w14:textId="77777777" w:rsidR="00A17158" w:rsidRDefault="00A17158" w:rsidP="00B657A0">
      <w:r>
        <w:separator/>
      </w:r>
    </w:p>
  </w:endnote>
  <w:endnote w:type="continuationSeparator" w:id="0">
    <w:p w14:paraId="39A91BD7" w14:textId="77777777" w:rsidR="00A17158" w:rsidRDefault="00A17158" w:rsidP="00B657A0">
      <w:r>
        <w:continuationSeparator/>
      </w:r>
    </w:p>
  </w:endnote>
  <w:endnote w:type="continuationNotice" w:id="1">
    <w:p w14:paraId="6B1CA001" w14:textId="77777777" w:rsidR="00A17158" w:rsidRDefault="00A17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BCF7" w14:textId="77777777" w:rsidR="00A17158" w:rsidRDefault="00A17158" w:rsidP="00B657A0">
      <w:r>
        <w:separator/>
      </w:r>
    </w:p>
  </w:footnote>
  <w:footnote w:type="continuationSeparator" w:id="0">
    <w:p w14:paraId="2D446E37" w14:textId="77777777" w:rsidR="00A17158" w:rsidRDefault="00A17158" w:rsidP="00B657A0">
      <w:r>
        <w:continuationSeparator/>
      </w:r>
    </w:p>
  </w:footnote>
  <w:footnote w:type="continuationNotice" w:id="1">
    <w:p w14:paraId="3358982C" w14:textId="77777777" w:rsidR="00A17158" w:rsidRDefault="00A17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4E5FD1"/>
    <w:multiLevelType w:val="hybridMultilevel"/>
    <w:tmpl w:val="4916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0"/>
  </w:num>
  <w:num w:numId="2" w16cid:durableId="591012818">
    <w:abstractNumId w:val="33"/>
  </w:num>
  <w:num w:numId="3" w16cid:durableId="179856923">
    <w:abstractNumId w:val="3"/>
  </w:num>
  <w:num w:numId="4" w16cid:durableId="3915848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3"/>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1"/>
  </w:num>
  <w:num w:numId="13" w16cid:durableId="1999653488">
    <w:abstractNumId w:val="14"/>
  </w:num>
  <w:num w:numId="14" w16cid:durableId="1948655657">
    <w:abstractNumId w:val="38"/>
  </w:num>
  <w:num w:numId="15" w16cid:durableId="1426876100">
    <w:abstractNumId w:val="29"/>
  </w:num>
  <w:num w:numId="16" w16cid:durableId="148448031">
    <w:abstractNumId w:val="16"/>
  </w:num>
  <w:num w:numId="17" w16cid:durableId="432239574">
    <w:abstractNumId w:val="39"/>
  </w:num>
  <w:num w:numId="18" w16cid:durableId="1902785539">
    <w:abstractNumId w:val="12"/>
  </w:num>
  <w:num w:numId="19" w16cid:durableId="2016347357">
    <w:abstractNumId w:val="19"/>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10"/>
  </w:num>
  <w:num w:numId="26" w16cid:durableId="1839885816">
    <w:abstractNumId w:val="6"/>
  </w:num>
  <w:num w:numId="27" w16cid:durableId="1730300100">
    <w:abstractNumId w:val="18"/>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5"/>
  </w:num>
  <w:num w:numId="33" w16cid:durableId="687414347">
    <w:abstractNumId w:val="7"/>
  </w:num>
  <w:num w:numId="34" w16cid:durableId="313729409">
    <w:abstractNumId w:val="9"/>
  </w:num>
  <w:num w:numId="35" w16cid:durableId="125003735">
    <w:abstractNumId w:val="32"/>
  </w:num>
  <w:num w:numId="36" w16cid:durableId="1622567168">
    <w:abstractNumId w:val="34"/>
  </w:num>
  <w:num w:numId="37" w16cid:durableId="556285773">
    <w:abstractNumId w:val="17"/>
  </w:num>
  <w:num w:numId="38" w16cid:durableId="1016425218">
    <w:abstractNumId w:val="35"/>
  </w:num>
  <w:num w:numId="39" w16cid:durableId="1404329616">
    <w:abstractNumId w:val="4"/>
  </w:num>
  <w:num w:numId="40" w16cid:durableId="40641541">
    <w:abstractNumId w:val="8"/>
  </w:num>
  <w:num w:numId="41" w16cid:durableId="790633047">
    <w:abstractNumId w:val="11"/>
  </w:num>
  <w:num w:numId="42" w16cid:durableId="794056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09B1"/>
    <w:rsid w:val="0002235C"/>
    <w:rsid w:val="000268CD"/>
    <w:rsid w:val="00027200"/>
    <w:rsid w:val="00027881"/>
    <w:rsid w:val="00030F88"/>
    <w:rsid w:val="0003264A"/>
    <w:rsid w:val="00035E18"/>
    <w:rsid w:val="0003722B"/>
    <w:rsid w:val="00040E46"/>
    <w:rsid w:val="00043D87"/>
    <w:rsid w:val="0004712D"/>
    <w:rsid w:val="00050DA8"/>
    <w:rsid w:val="00052D38"/>
    <w:rsid w:val="00053B22"/>
    <w:rsid w:val="00054FDF"/>
    <w:rsid w:val="00055522"/>
    <w:rsid w:val="00056DB8"/>
    <w:rsid w:val="00057001"/>
    <w:rsid w:val="00057654"/>
    <w:rsid w:val="00061762"/>
    <w:rsid w:val="0006224F"/>
    <w:rsid w:val="00070C64"/>
    <w:rsid w:val="00071E26"/>
    <w:rsid w:val="000806C2"/>
    <w:rsid w:val="00082C06"/>
    <w:rsid w:val="00084334"/>
    <w:rsid w:val="000868E4"/>
    <w:rsid w:val="00087E82"/>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082A"/>
    <w:rsid w:val="00142E4C"/>
    <w:rsid w:val="00144B5E"/>
    <w:rsid w:val="00144CFB"/>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3563"/>
    <w:rsid w:val="00185A64"/>
    <w:rsid w:val="00186157"/>
    <w:rsid w:val="00186D46"/>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7C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172C7"/>
    <w:rsid w:val="004228B6"/>
    <w:rsid w:val="00426977"/>
    <w:rsid w:val="004323E3"/>
    <w:rsid w:val="0043376A"/>
    <w:rsid w:val="0043561A"/>
    <w:rsid w:val="00435DB5"/>
    <w:rsid w:val="004372FD"/>
    <w:rsid w:val="0043784F"/>
    <w:rsid w:val="00440E19"/>
    <w:rsid w:val="004434B5"/>
    <w:rsid w:val="00447F35"/>
    <w:rsid w:val="004506D7"/>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418C"/>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019F"/>
    <w:rsid w:val="00541D64"/>
    <w:rsid w:val="005448CC"/>
    <w:rsid w:val="0054521B"/>
    <w:rsid w:val="00551058"/>
    <w:rsid w:val="00551497"/>
    <w:rsid w:val="00554566"/>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5B56"/>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15DE"/>
    <w:rsid w:val="00682F78"/>
    <w:rsid w:val="006830EF"/>
    <w:rsid w:val="00683BF2"/>
    <w:rsid w:val="00684663"/>
    <w:rsid w:val="0068539E"/>
    <w:rsid w:val="00686867"/>
    <w:rsid w:val="00692C82"/>
    <w:rsid w:val="00694B8F"/>
    <w:rsid w:val="00695F22"/>
    <w:rsid w:val="006A11B0"/>
    <w:rsid w:val="006A4905"/>
    <w:rsid w:val="006A505E"/>
    <w:rsid w:val="006B330C"/>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84E85"/>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496C"/>
    <w:rsid w:val="007D53EB"/>
    <w:rsid w:val="007D5CC5"/>
    <w:rsid w:val="007D7210"/>
    <w:rsid w:val="007D759E"/>
    <w:rsid w:val="007E342D"/>
    <w:rsid w:val="007E35A3"/>
    <w:rsid w:val="007E4C72"/>
    <w:rsid w:val="007E6B9D"/>
    <w:rsid w:val="007E7E4D"/>
    <w:rsid w:val="007F3249"/>
    <w:rsid w:val="007F36E1"/>
    <w:rsid w:val="007F6BD5"/>
    <w:rsid w:val="007F7D1C"/>
    <w:rsid w:val="00806525"/>
    <w:rsid w:val="00807EC5"/>
    <w:rsid w:val="00811526"/>
    <w:rsid w:val="008155FD"/>
    <w:rsid w:val="00817BCB"/>
    <w:rsid w:val="008229F3"/>
    <w:rsid w:val="008236B8"/>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37F8"/>
    <w:rsid w:val="00884C18"/>
    <w:rsid w:val="0089076E"/>
    <w:rsid w:val="00891790"/>
    <w:rsid w:val="00897D1A"/>
    <w:rsid w:val="008A19BF"/>
    <w:rsid w:val="008A3268"/>
    <w:rsid w:val="008A3B7E"/>
    <w:rsid w:val="008A3BCC"/>
    <w:rsid w:val="008A5292"/>
    <w:rsid w:val="008A5518"/>
    <w:rsid w:val="008B10AE"/>
    <w:rsid w:val="008B1806"/>
    <w:rsid w:val="008B7517"/>
    <w:rsid w:val="008C149C"/>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76AEB"/>
    <w:rsid w:val="00976CD2"/>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1422"/>
    <w:rsid w:val="009D5022"/>
    <w:rsid w:val="009D6626"/>
    <w:rsid w:val="009D7C9D"/>
    <w:rsid w:val="009E13FB"/>
    <w:rsid w:val="009E18B4"/>
    <w:rsid w:val="009E1C63"/>
    <w:rsid w:val="009E776C"/>
    <w:rsid w:val="00A0265E"/>
    <w:rsid w:val="00A026F4"/>
    <w:rsid w:val="00A033F3"/>
    <w:rsid w:val="00A04AD7"/>
    <w:rsid w:val="00A11B58"/>
    <w:rsid w:val="00A12D67"/>
    <w:rsid w:val="00A13758"/>
    <w:rsid w:val="00A15BDD"/>
    <w:rsid w:val="00A16EC8"/>
    <w:rsid w:val="00A17158"/>
    <w:rsid w:val="00A17305"/>
    <w:rsid w:val="00A24EFB"/>
    <w:rsid w:val="00A34DA6"/>
    <w:rsid w:val="00A44CDC"/>
    <w:rsid w:val="00A44EC6"/>
    <w:rsid w:val="00A4664A"/>
    <w:rsid w:val="00A530EB"/>
    <w:rsid w:val="00A5422A"/>
    <w:rsid w:val="00A570C5"/>
    <w:rsid w:val="00A57DB1"/>
    <w:rsid w:val="00A63117"/>
    <w:rsid w:val="00A63BB5"/>
    <w:rsid w:val="00A654DD"/>
    <w:rsid w:val="00A65B02"/>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2BB7"/>
    <w:rsid w:val="00B0544F"/>
    <w:rsid w:val="00B07540"/>
    <w:rsid w:val="00B0788C"/>
    <w:rsid w:val="00B10B19"/>
    <w:rsid w:val="00B11926"/>
    <w:rsid w:val="00B12241"/>
    <w:rsid w:val="00B12D09"/>
    <w:rsid w:val="00B1488B"/>
    <w:rsid w:val="00B14BE0"/>
    <w:rsid w:val="00B23D1D"/>
    <w:rsid w:val="00B26C43"/>
    <w:rsid w:val="00B3096C"/>
    <w:rsid w:val="00B30A1C"/>
    <w:rsid w:val="00B30E39"/>
    <w:rsid w:val="00B32730"/>
    <w:rsid w:val="00B33494"/>
    <w:rsid w:val="00B34F52"/>
    <w:rsid w:val="00B350C7"/>
    <w:rsid w:val="00B4237E"/>
    <w:rsid w:val="00B43499"/>
    <w:rsid w:val="00B43888"/>
    <w:rsid w:val="00B456EA"/>
    <w:rsid w:val="00B4678E"/>
    <w:rsid w:val="00B47245"/>
    <w:rsid w:val="00B51CAB"/>
    <w:rsid w:val="00B63A1C"/>
    <w:rsid w:val="00B657A0"/>
    <w:rsid w:val="00B6644C"/>
    <w:rsid w:val="00B71413"/>
    <w:rsid w:val="00B721B3"/>
    <w:rsid w:val="00B747B5"/>
    <w:rsid w:val="00B74FD0"/>
    <w:rsid w:val="00B756D6"/>
    <w:rsid w:val="00B76433"/>
    <w:rsid w:val="00B76D73"/>
    <w:rsid w:val="00B83268"/>
    <w:rsid w:val="00B91E35"/>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2498"/>
    <w:rsid w:val="00CF3906"/>
    <w:rsid w:val="00CF479E"/>
    <w:rsid w:val="00CF4936"/>
    <w:rsid w:val="00D01095"/>
    <w:rsid w:val="00D062D5"/>
    <w:rsid w:val="00D1051A"/>
    <w:rsid w:val="00D13406"/>
    <w:rsid w:val="00D135B7"/>
    <w:rsid w:val="00D13F90"/>
    <w:rsid w:val="00D162A1"/>
    <w:rsid w:val="00D2614C"/>
    <w:rsid w:val="00D3324B"/>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0FE0"/>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008D"/>
    <w:rsid w:val="00DE28EB"/>
    <w:rsid w:val="00DE2D2F"/>
    <w:rsid w:val="00DF11B6"/>
    <w:rsid w:val="00DF1464"/>
    <w:rsid w:val="00DF5CF8"/>
    <w:rsid w:val="00DF6DFA"/>
    <w:rsid w:val="00DF71F0"/>
    <w:rsid w:val="00DF763D"/>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280"/>
    <w:rsid w:val="00E35B7B"/>
    <w:rsid w:val="00E42006"/>
    <w:rsid w:val="00E42B96"/>
    <w:rsid w:val="00E43B01"/>
    <w:rsid w:val="00E502A5"/>
    <w:rsid w:val="00E5132F"/>
    <w:rsid w:val="00E5578B"/>
    <w:rsid w:val="00E61926"/>
    <w:rsid w:val="00E65504"/>
    <w:rsid w:val="00E70797"/>
    <w:rsid w:val="00E71D45"/>
    <w:rsid w:val="00E76600"/>
    <w:rsid w:val="00E771A1"/>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A5B7D"/>
    <w:rsid w:val="00EB44C2"/>
    <w:rsid w:val="00EB5BA2"/>
    <w:rsid w:val="00EB5ECE"/>
    <w:rsid w:val="00EC3E0C"/>
    <w:rsid w:val="00EC4B4D"/>
    <w:rsid w:val="00EC4C7F"/>
    <w:rsid w:val="00EC5E50"/>
    <w:rsid w:val="00ED4192"/>
    <w:rsid w:val="00ED63AB"/>
    <w:rsid w:val="00EE033B"/>
    <w:rsid w:val="00EE0771"/>
    <w:rsid w:val="00EE3203"/>
    <w:rsid w:val="00EF1726"/>
    <w:rsid w:val="00EF18F3"/>
    <w:rsid w:val="00EF3118"/>
    <w:rsid w:val="00EF7C38"/>
    <w:rsid w:val="00F10F8E"/>
    <w:rsid w:val="00F1522E"/>
    <w:rsid w:val="00F1604C"/>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442A"/>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43A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15</Pages>
  <Words>20612</Words>
  <Characters>117490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137827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7</cp:revision>
  <cp:lastPrinted>2022-11-08T22:59:00Z</cp:lastPrinted>
  <dcterms:created xsi:type="dcterms:W3CDTF">2022-11-08T22:59:00Z</dcterms:created>
  <dcterms:modified xsi:type="dcterms:W3CDTF">2022-11-10T17:29:00Z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id="guawG5db"/&gt;&lt;style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