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DC00DD9" w14:textId="1DEF2ADE" w:rsidR="008155FD" w:rsidRPr="009A341D" w:rsidRDefault="00FF43A9" w:rsidP="008155FD">
      <w:pPr>
        <w:pStyle w:val="JHEPBody"/>
        <w:spacing w:line="480" w:lineRule="auto"/>
        <w:rPr>
          <w:bCs/>
          <w:sz w:val="22"/>
        </w:rPr>
      </w:pPr>
      <w:r>
        <w:rPr>
          <w:sz w:val="22"/>
          <w:lang w:bidi="en-US"/>
        </w:rPr>
        <w:t>So far</w:t>
      </w:r>
      <w:r w:rsidR="00097EF3">
        <w:rPr>
          <w:sz w:val="22"/>
          <w:lang w:bidi="en-US"/>
        </w:rPr>
        <w:t>, t</w:t>
      </w:r>
      <w:r w:rsidR="008155FD">
        <w:rPr>
          <w:sz w:val="22"/>
          <w:lang w:bidi="en-US"/>
        </w:rPr>
        <w:t>here is not an FDA approved therapy to intervene directly in the spinal cord following SCI and repair it.</w:t>
      </w:r>
    </w:p>
    <w:p w14:paraId="28234FFB" w14:textId="77777777" w:rsidR="008155FD" w:rsidRPr="00FA1DDA" w:rsidRDefault="008155FD" w:rsidP="008155FD">
      <w:pPr>
        <w:pStyle w:val="JHEPBody"/>
        <w:spacing w:line="480" w:lineRule="auto"/>
        <w:ind w:left="360"/>
        <w:rPr>
          <w:bCs/>
          <w:sz w:val="22"/>
        </w:rPr>
      </w:pPr>
    </w:p>
    <w:p w14:paraId="4CCBF159" w14:textId="46F6C410" w:rsidR="00FA1DDA" w:rsidRDefault="00FA1DDA" w:rsidP="00FA1DDA">
      <w:pPr>
        <w:pStyle w:val="JHEPBody"/>
        <w:spacing w:line="480" w:lineRule="auto"/>
        <w:rPr>
          <w:sz w:val="22"/>
          <w:lang w:bidi="en-US"/>
        </w:rPr>
      </w:pPr>
    </w:p>
    <w:p w14:paraId="03CC86C3" w14:textId="77777777" w:rsidR="00FA1DDA" w:rsidRPr="009A341D" w:rsidRDefault="00FA1DDA" w:rsidP="00FA1DDA">
      <w:pPr>
        <w:pStyle w:val="JHEPBody"/>
        <w:spacing w:line="480" w:lineRule="auto"/>
        <w:rPr>
          <w:bCs/>
          <w:sz w:val="22"/>
        </w:rPr>
      </w:pPr>
    </w:p>
    <w:p w14:paraId="666578B1" w14:textId="3B0B083B" w:rsidR="0041098F" w:rsidRDefault="0041098F" w:rsidP="0041098F">
      <w:pPr>
        <w:pStyle w:val="JHEPBody"/>
        <w:spacing w:line="480" w:lineRule="auto"/>
        <w:rPr>
          <w:bCs/>
          <w:sz w:val="22"/>
        </w:rPr>
        <w:sectPr w:rsidR="0041098F" w:rsidSect="007146E7">
          <w:pgSz w:w="12240" w:h="15840"/>
          <w:pgMar w:top="1728" w:right="1080" w:bottom="720" w:left="1080" w:header="720" w:footer="720" w:gutter="0"/>
          <w:cols w:space="720"/>
          <w:docGrid w:linePitch="360"/>
        </w:sectPr>
      </w:pP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6E76E0D6" w:rsidR="00606C1B" w:rsidRPr="006C4359" w:rsidRDefault="00A73CAD" w:rsidP="00606C1B">
            <w:pPr>
              <w:pStyle w:val="JHEPBody"/>
              <w:rPr>
                <w:bCs/>
                <w:sz w:val="22"/>
                <w:lang w:bidi="en-US"/>
              </w:rPr>
            </w:pPr>
            <w:r w:rsidRPr="006C4359">
              <w:rPr>
                <w:bCs/>
                <w:sz w:val="22"/>
                <w:lang w:bidi="en-US"/>
              </w:rPr>
              <w:fldChar w:fldCharType="begin"/>
            </w:r>
            <w:r w:rsidR="00B74FD0">
              <w:rPr>
                <w:bCs/>
                <w:sz w:val="22"/>
                <w:lang w:bidi="en-US"/>
              </w:rPr>
              <w:instrText xml:space="preserve"> ADDIN ZOTERO_ITEM CSL_CITATION {"citationID":"OOBPxf4O","properties":{"formattedCitation":"(Rivera et al.)","plainCitation":"(Rivera et al.)","noteIndex":0},"citationItems":[{"id":"guawG5db/WhpFbLNp","uris":["http://zotero.org/users/7286058/items/8Y7ZC3GS"],"itemData":{"id":4700,"type":"article-journal","abstract":"The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F798079"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43262BEA" w:rsidR="008229F3" w:rsidRPr="00B43499" w:rsidRDefault="008229F3" w:rsidP="00B43499">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w:t>
      </w:r>
      <w:r w:rsidR="00ED4192" w:rsidRPr="00B43499">
        <w:rPr>
          <w:sz w:val="22"/>
          <w:lang w:bidi="en-US"/>
        </w:rPr>
        <w:t xml:space="preserve">linked </w:t>
      </w:r>
      <w:r w:rsidRPr="00B43499">
        <w:rPr>
          <w:sz w:val="22"/>
          <w:lang w:bidi="en-US"/>
        </w:rPr>
        <w:t xml:space="preserve">to molecular weight (MW) however a high molecular polymer weight might be </w:t>
      </w:r>
      <w:r w:rsidR="00ED4192" w:rsidRPr="00B43499">
        <w:rPr>
          <w:sz w:val="22"/>
          <w:lang w:bidi="en-US"/>
        </w:rPr>
        <w:t>correlated</w:t>
      </w:r>
      <w:r w:rsidRPr="00B43499">
        <w:rPr>
          <w:sz w:val="22"/>
          <w:lang w:bidi="en-US"/>
        </w:rPr>
        <w:t xml:space="preserve">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w:t>
      </w:r>
      <w:r w:rsidR="00B43499" w:rsidRPr="00B43499">
        <w:rPr>
          <w:sz w:val="22"/>
        </w:rPr>
        <w:t xml:space="preserve">consists in an inner and outer scaffolds </w:t>
      </w:r>
      <w:r w:rsidR="00B43499" w:rsidRPr="0048052E">
        <w:rPr>
          <w:sz w:val="22"/>
        </w:rPr>
        <w:t>made of bioabsorbable polyglycoli</w:t>
      </w:r>
      <w:r w:rsidR="00B43499">
        <w:rPr>
          <w:sz w:val="22"/>
        </w:rPr>
        <w:t>c polymer</w:t>
      </w:r>
      <w:r w:rsidR="00B43499" w:rsidRPr="0048052E">
        <w:rPr>
          <w:sz w:val="22"/>
        </w:rPr>
        <w:t xml:space="preserve"> (P</w:t>
      </w:r>
      <w:r w:rsidR="00B43499">
        <w:rPr>
          <w:sz w:val="22"/>
        </w:rPr>
        <w:t>L</w:t>
      </w:r>
      <w:r w:rsidR="00B43499" w:rsidRPr="0048052E">
        <w:rPr>
          <w:sz w:val="22"/>
        </w:rPr>
        <w:t>GA</w:t>
      </w:r>
      <w:r w:rsidR="00B43499">
        <w:rPr>
          <w:sz w:val="22"/>
        </w:rPr>
        <w:t>-PLL</w:t>
      </w:r>
      <w:r w:rsidR="00B43499" w:rsidRPr="0048052E">
        <w:rPr>
          <w:sz w:val="22"/>
        </w:rPr>
        <w:t>)</w:t>
      </w:r>
      <w:r w:rsidR="00B43499">
        <w:rPr>
          <w:sz w:val="22"/>
        </w:rPr>
        <w:t>;</w:t>
      </w:r>
      <w:r w:rsidR="00B43499" w:rsidRPr="0048052E">
        <w:rPr>
          <w:sz w:val="22"/>
        </w:rPr>
        <w:t xml:space="preserve"> FDA approved polymers</w:t>
      </w:r>
      <w:r w:rsidRPr="00B43499">
        <w:rPr>
          <w:sz w:val="22"/>
        </w:rPr>
        <w:t xml:space="preserve">; which </w:t>
      </w:r>
      <w:r w:rsidR="009710C8" w:rsidRPr="00B43499">
        <w:rPr>
          <w:sz w:val="22"/>
        </w:rPr>
        <w:t>resorb</w:t>
      </w:r>
      <w:r w:rsidR="004506D7" w:rsidRPr="00B43499">
        <w:rPr>
          <w:sz w:val="22"/>
        </w:rPr>
        <w:t>s</w:t>
      </w:r>
      <w:r w:rsidR="009710C8" w:rsidRPr="00B43499">
        <w:rPr>
          <w:sz w:val="22"/>
        </w:rPr>
        <w:t xml:space="preserve"> completely </w:t>
      </w:r>
      <w:r w:rsidR="00CD4AF3" w:rsidRPr="00B43499">
        <w:rPr>
          <w:sz w:val="22"/>
        </w:rPr>
        <w:t xml:space="preserve">over </w:t>
      </w:r>
      <w:r w:rsidR="00B43499">
        <w:rPr>
          <w:sz w:val="22"/>
        </w:rPr>
        <w:t>30</w:t>
      </w:r>
      <w:r w:rsidR="00CD4AF3" w:rsidRPr="00B43499">
        <w:rPr>
          <w:sz w:val="22"/>
        </w:rPr>
        <w:t>-</w:t>
      </w:r>
      <w:r w:rsidR="00B43499">
        <w:rPr>
          <w:sz w:val="22"/>
        </w:rPr>
        <w:t>60</w:t>
      </w:r>
      <w:r w:rsidR="00CD4AF3" w:rsidRPr="00B43499">
        <w:rPr>
          <w:sz w:val="22"/>
        </w:rPr>
        <w:t xml:space="preserve"> </w:t>
      </w:r>
      <w:r w:rsidR="00B43499">
        <w:rPr>
          <w:sz w:val="22"/>
        </w:rPr>
        <w:t>days</w:t>
      </w:r>
      <w:r w:rsidR="00AB1FEC" w:rsidRPr="00B43499">
        <w:rPr>
          <w:sz w:val="22"/>
        </w:rPr>
        <w:t xml:space="preserve"> </w:t>
      </w:r>
      <w:r w:rsidRPr="00B43499">
        <w:rPr>
          <w:sz w:val="22"/>
        </w:rPr>
        <w:t>by simple hydrolysis to water and excreted via the kidney</w:t>
      </w:r>
      <w:r w:rsidR="00166D6F" w:rsidRPr="00B43499">
        <w:rPr>
          <w:sz w:val="22"/>
        </w:rPr>
        <w:t xml:space="preserve"> </w:t>
      </w:r>
      <w:r w:rsidR="00722747" w:rsidRPr="00B43499">
        <w:rPr>
          <w:sz w:val="22"/>
        </w:rPr>
        <w:fldChar w:fldCharType="begin"/>
      </w:r>
      <w:r w:rsidR="00722747"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sidRPr="00B43499">
        <w:rPr>
          <w:sz w:val="22"/>
        </w:rPr>
        <w:fldChar w:fldCharType="separate"/>
      </w:r>
      <w:r w:rsidR="00722747" w:rsidRPr="00B43499">
        <w:rPr>
          <w:noProof/>
          <w:sz w:val="22"/>
        </w:rPr>
        <w:t>(Guest et al.)</w:t>
      </w:r>
      <w:r w:rsidR="00722747" w:rsidRPr="00B43499">
        <w:rPr>
          <w:sz w:val="22"/>
        </w:rPr>
        <w:fldChar w:fldCharType="end"/>
      </w:r>
      <w:r w:rsidRPr="00B43499">
        <w:rPr>
          <w:sz w:val="22"/>
        </w:rPr>
        <w:t>.</w:t>
      </w:r>
    </w:p>
    <w:p w14:paraId="6CF2EBF6" w14:textId="76A04DC7"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F9442A">
        <w:rPr>
          <w:sz w:val="22"/>
        </w:rPr>
        <w:t xml:space="preserve">microgrooves can have different </w:t>
      </w:r>
      <w:r w:rsidR="008236B8">
        <w:rPr>
          <w:sz w:val="22"/>
        </w:rPr>
        <w:t>diameters</w:t>
      </w:r>
      <w:r w:rsidR="00F9442A">
        <w:rPr>
          <w:sz w:val="22"/>
        </w:rPr>
        <w:t xml:space="preserve"> (0.5.mu.m. and 4.mu.m) and depths</w:t>
      </w:r>
      <w:r w:rsidR="008236B8">
        <w:rPr>
          <w:sz w:val="22"/>
        </w:rPr>
        <w:t xml:space="preserve">; </w:t>
      </w:r>
      <w:r w:rsidR="00F9442A">
        <w:rPr>
          <w:sz w:val="22"/>
        </w:rPr>
        <w:t>and m</w:t>
      </w:r>
      <w:r w:rsidR="008236B8">
        <w:rPr>
          <w:sz w:val="22"/>
        </w:rPr>
        <w:t>ay be</w:t>
      </w:r>
      <w:r w:rsidR="00F9442A">
        <w:rPr>
          <w:sz w:val="22"/>
        </w:rPr>
        <w:t xml:space="preserve"> be seeded with growth factors and human neuronal stem cells such as OPC1s</w:t>
      </w:r>
      <w:r w:rsidR="00976AEB">
        <w:rPr>
          <w:sz w:val="22"/>
        </w:rPr>
        <w:t>,</w:t>
      </w:r>
      <w:r w:rsidR="00F9442A">
        <w:rPr>
          <w:sz w:val="22"/>
        </w:rPr>
        <w:t xml:space="preserve"> to </w:t>
      </w:r>
      <w:r w:rsidR="009B726B">
        <w:rPr>
          <w:sz w:val="22"/>
        </w:rPr>
        <w:t>promote</w:t>
      </w:r>
      <w:r w:rsidR="0048052E">
        <w:rPr>
          <w:sz w:val="22"/>
        </w:rPr>
        <w:t xml:space="preserve"> </w:t>
      </w:r>
      <w:r w:rsidR="00E251CE" w:rsidRPr="00395F2E">
        <w:rPr>
          <w:sz w:val="22"/>
        </w:rPr>
        <w:t xml:space="preserve">interaction between neural stem cells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The OPC</w:t>
      </w:r>
      <w:r w:rsidR="004172C7">
        <w:rPr>
          <w:sz w:val="22"/>
        </w:rPr>
        <w:t>1</w:t>
      </w:r>
      <w:r w:rsidR="008333C8" w:rsidRPr="00395F2E">
        <w:rPr>
          <w:sz w:val="22"/>
        </w:rPr>
        <w:t>s within the scaffold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6611665B"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00B02BB7">
        <w:rPr>
          <w:b/>
          <w:bCs/>
          <w:sz w:val="22"/>
        </w:rPr>
        <w:t xml:space="preserve"> (human Alu)</w:t>
      </w:r>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w:t>
      </w:r>
      <w:r w:rsidR="00A13758">
        <w:rPr>
          <w:sz w:val="22"/>
        </w:rPr>
        <w:t xml:space="preserve"> in animal models injected with OPC1s</w:t>
      </w:r>
      <w:r w:rsidR="001E093D">
        <w:rPr>
          <w:sz w:val="22"/>
        </w:rPr>
        <w:t xml:space="preserve">,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4D06A5C0" w14:textId="2FD4F5C9" w:rsidR="00DF5CF8" w:rsidRPr="00DB0FE0" w:rsidRDefault="00B14BE0" w:rsidP="00DB0FE0">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sidR="007D496C">
        <w:rPr>
          <w:rFonts w:cs="Tahoma"/>
          <w:b/>
          <w:sz w:val="22"/>
          <w:lang w:bidi="en-US"/>
        </w:rPr>
        <w:t xml:space="preserve"> (and </w:t>
      </w:r>
      <w:r w:rsidR="006B330C">
        <w:rPr>
          <w:rFonts w:cs="Tahoma"/>
          <w:b/>
          <w:sz w:val="22"/>
          <w:lang w:bidi="en-US"/>
        </w:rPr>
        <w:t>Toxicity</w:t>
      </w:r>
      <w:r w:rsidR="007D496C">
        <w:rPr>
          <w:rFonts w:cs="Tahoma"/>
          <w:b/>
          <w:sz w:val="22"/>
          <w:lang w:bidi="en-US"/>
        </w:rPr>
        <w:t>)</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5B5B56">
        <w:rPr>
          <w:rFonts w:cs="Tahoma"/>
          <w:bCs/>
          <w:sz w:val="22"/>
          <w:lang w:bidi="en-US"/>
        </w:rPr>
        <w:t xml:space="preserve">In animal models, necropsy, histological examination of spinal cord and brain tissues were conducted to identify any potential teratoma or ectopic tissue formation related to OPC1. </w:t>
      </w:r>
      <w:r w:rsidR="00A570C5">
        <w:rPr>
          <w:rFonts w:cs="Tahoma"/>
          <w:bCs/>
          <w:sz w:val="22"/>
          <w:lang w:bidi="en-US"/>
        </w:rPr>
        <w:t>On patients, clinical</w:t>
      </w:r>
      <w:r w:rsidR="007A1B24">
        <w:rPr>
          <w:rFonts w:cs="Tahoma"/>
          <w:bCs/>
          <w:sz w:val="22"/>
          <w:lang w:bidi="en-US"/>
        </w:rPr>
        <w:t xml:space="preserve"> assessment of OPC1</w:t>
      </w:r>
      <w:r w:rsidR="0089076E">
        <w:rPr>
          <w:rFonts w:cs="Tahoma"/>
          <w:bCs/>
          <w:sz w:val="22"/>
          <w:lang w:bidi="en-US"/>
        </w:rPr>
        <w:t>s</w:t>
      </w:r>
      <w:r w:rsidR="007A1B24">
        <w:rPr>
          <w:rFonts w:cs="Tahoma"/>
          <w:bCs/>
          <w:sz w:val="22"/>
          <w:lang w:bidi="en-US"/>
        </w:rPr>
        <w:t xml:space="preserve"> </w:t>
      </w:r>
      <w:r w:rsidR="00A570C5">
        <w:rPr>
          <w:rFonts w:cs="Tahoma"/>
          <w:bCs/>
          <w:sz w:val="22"/>
          <w:lang w:bidi="en-US"/>
        </w:rPr>
        <w:t>were also</w:t>
      </w:r>
      <w:r w:rsidR="007A1B24">
        <w:rPr>
          <w:rFonts w:cs="Tahoma"/>
          <w:bCs/>
          <w:sz w:val="22"/>
          <w:lang w:bidi="en-US"/>
        </w:rPr>
        <w:t xml:space="preserve"> performed concluding that these cells do not induce changes in hematology, coagulation, </w:t>
      </w:r>
      <w:r w:rsidR="005C610E">
        <w:rPr>
          <w:rFonts w:cs="Tahoma"/>
          <w:bCs/>
          <w:sz w:val="22"/>
          <w:lang w:bidi="en-US"/>
        </w:rPr>
        <w:t>urinalysis</w:t>
      </w:r>
      <w:r w:rsidR="009D1422">
        <w:rPr>
          <w:rFonts w:cs="Tahoma"/>
          <w:bCs/>
          <w:sz w:val="22"/>
          <w:lang w:bidi="en-US"/>
        </w:rPr>
        <w:t>, and does not cause physiological instability</w:t>
      </w:r>
      <w:r w:rsidR="007A1B24">
        <w:rPr>
          <w:rFonts w:cs="Tahoma"/>
          <w:bCs/>
          <w:sz w:val="22"/>
          <w:lang w:bidi="en-US"/>
        </w:rPr>
        <w:t xml:space="preserve"> or </w:t>
      </w:r>
      <w:r w:rsidR="006A4905">
        <w:rPr>
          <w:rFonts w:cs="Tahoma"/>
          <w:bCs/>
          <w:sz w:val="22"/>
          <w:lang w:bidi="en-US"/>
        </w:rPr>
        <w:t xml:space="preserve">neurological pain </w:t>
      </w:r>
      <w:r w:rsidR="007A1B24">
        <w:rPr>
          <w:rFonts w:cs="Tahoma"/>
          <w:bCs/>
          <w:sz w:val="22"/>
          <w:lang w:bidi="en-US"/>
        </w:rPr>
        <w:t>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lastRenderedPageBreak/>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078DC967" w14:textId="77777777" w:rsidR="00043D87" w:rsidRDefault="006C65A9" w:rsidP="00043D87">
      <w:pPr>
        <w:pStyle w:val="Bibliography"/>
        <w:numPr>
          <w:ilvl w:val="0"/>
          <w:numId w:val="42"/>
        </w:numPr>
        <w:spacing w:line="240" w:lineRule="auto"/>
        <w:ind w:left="360"/>
        <w:rPr>
          <w:rFonts w:cs="Tahoma"/>
        </w:rPr>
      </w:pPr>
      <w:r>
        <w:fldChar w:fldCharType="begin"/>
      </w:r>
      <w:r w:rsidR="00B74FD0">
        <w:instrText xml:space="preserve"> ADDIN ZOTERO_BIBL {"uncited":[],"omitted":[],"custom":[]} CSL_BIBLIOGRAPHY </w:instrText>
      </w:r>
      <w:r>
        <w:fldChar w:fldCharType="separate"/>
      </w:r>
      <w:proofErr w:type="spellStart"/>
      <w:r w:rsidR="00B74FD0" w:rsidRPr="00B74FD0">
        <w:rPr>
          <w:rFonts w:cs="Tahoma"/>
        </w:rPr>
        <w:t>Badner</w:t>
      </w:r>
      <w:proofErr w:type="spellEnd"/>
      <w:r w:rsidR="00B74FD0" w:rsidRPr="00B74FD0">
        <w:rPr>
          <w:rFonts w:cs="Tahoma"/>
        </w:rPr>
        <w:t xml:space="preserve">, Anna, et al. “Spinal Cord Injuries: How Could Cell Therapy Help?” </w:t>
      </w:r>
      <w:r w:rsidR="00B74FD0" w:rsidRPr="00B74FD0">
        <w:rPr>
          <w:rFonts w:cs="Tahoma"/>
          <w:i/>
          <w:iCs/>
        </w:rPr>
        <w:t>Expert Opinion on Biological Therapy</w:t>
      </w:r>
      <w:r w:rsidR="00B74FD0" w:rsidRPr="00B74FD0">
        <w:rPr>
          <w:rFonts w:cs="Tahoma"/>
        </w:rPr>
        <w:t xml:space="preserve">, vol. 17, no. 5, May 2017, pp. 529–41. </w:t>
      </w:r>
      <w:r w:rsidR="00B74FD0" w:rsidRPr="00B74FD0">
        <w:rPr>
          <w:rFonts w:cs="Tahoma"/>
          <w:i/>
          <w:iCs/>
        </w:rPr>
        <w:t>DOI.org (</w:t>
      </w:r>
      <w:proofErr w:type="spellStart"/>
      <w:r w:rsidR="00B74FD0" w:rsidRPr="00B74FD0">
        <w:rPr>
          <w:rFonts w:cs="Tahoma"/>
          <w:i/>
          <w:iCs/>
        </w:rPr>
        <w:t>Crossref</w:t>
      </w:r>
      <w:proofErr w:type="spellEnd"/>
      <w:r w:rsidR="00B74FD0" w:rsidRPr="00B74FD0">
        <w:rPr>
          <w:rFonts w:cs="Tahoma"/>
          <w:i/>
          <w:iCs/>
        </w:rPr>
        <w:t>)</w:t>
      </w:r>
      <w:r w:rsidR="00B74FD0" w:rsidRPr="00B74FD0">
        <w:rPr>
          <w:rFonts w:cs="Tahoma"/>
        </w:rPr>
        <w:t>, https://doi.org/10.1080/14712598.2017.1308481.</w:t>
      </w:r>
    </w:p>
    <w:p w14:paraId="635119A2" w14:textId="064C9336" w:rsidR="00043D87" w:rsidRPr="00043D87" w:rsidRDefault="00043D87" w:rsidP="00043D87">
      <w:pPr>
        <w:pStyle w:val="Bibliography"/>
        <w:numPr>
          <w:ilvl w:val="0"/>
          <w:numId w:val="42"/>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33502690"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Chen, </w:t>
      </w:r>
      <w:proofErr w:type="spellStart"/>
      <w:r w:rsidRPr="00B74FD0">
        <w:rPr>
          <w:rFonts w:cs="Tahoma"/>
        </w:rPr>
        <w:t>Wugui</w:t>
      </w:r>
      <w:proofErr w:type="spellEnd"/>
      <w:r w:rsidRPr="00B74FD0">
        <w:rPr>
          <w:rFonts w:cs="Tahoma"/>
        </w:rPr>
        <w:t>, et al. “</w:t>
      </w:r>
      <w:proofErr w:type="spellStart"/>
      <w:r w:rsidRPr="00B74FD0">
        <w:rPr>
          <w:rFonts w:cs="Tahoma"/>
        </w:rPr>
        <w:t>NeuroRegen</w:t>
      </w:r>
      <w:proofErr w:type="spellEnd"/>
      <w:r w:rsidRPr="00B74FD0">
        <w:rPr>
          <w:rFonts w:cs="Tahoma"/>
        </w:rPr>
        <w:t xml:space="preserve">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https://doi.org/10.1177/0963689720950637.</w:t>
      </w:r>
    </w:p>
    <w:p w14:paraId="34D35024"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Cheng, </w:t>
      </w:r>
      <w:proofErr w:type="spellStart"/>
      <w:r w:rsidRPr="00B74FD0">
        <w:rPr>
          <w:rFonts w:cs="Tahoma"/>
        </w:rPr>
        <w:t>Xiaoxin</w:t>
      </w:r>
      <w:proofErr w:type="spellEnd"/>
      <w:r w:rsidRPr="00B74FD0">
        <w:rPr>
          <w:rFonts w:cs="Tahoma"/>
        </w:rPr>
        <w:t xml:space="preserve">,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https://doi.org/10.1016/j.expneurol.2017.10.014.</w:t>
      </w:r>
    </w:p>
    <w:p w14:paraId="7E409502" w14:textId="2E9A7D93" w:rsidR="00043D87" w:rsidRDefault="00043D87" w:rsidP="00043D87">
      <w:pPr>
        <w:pStyle w:val="Bibliography"/>
        <w:numPr>
          <w:ilvl w:val="0"/>
          <w:numId w:val="42"/>
        </w:numPr>
        <w:spacing w:line="240" w:lineRule="auto"/>
        <w:ind w:left="360"/>
      </w:pPr>
      <w:r w:rsidRPr="00B23D1D">
        <w:lastRenderedPageBreak/>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77D03B7A" w14:textId="758C016F" w:rsidR="00043D87" w:rsidRPr="00043D87" w:rsidRDefault="00043D87" w:rsidP="00043D87">
      <w:pPr>
        <w:pStyle w:val="Bibliography"/>
        <w:numPr>
          <w:ilvl w:val="0"/>
          <w:numId w:val="42"/>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63E72A33"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Desai, </w:t>
      </w:r>
      <w:proofErr w:type="spellStart"/>
      <w:r w:rsidRPr="00B74FD0">
        <w:rPr>
          <w:rFonts w:cs="Tahoma"/>
        </w:rPr>
        <w:t>Jyaysi</w:t>
      </w:r>
      <w:proofErr w:type="spellEnd"/>
      <w:r w:rsidRPr="00B74FD0">
        <w:rPr>
          <w:rFonts w:cs="Tahoma"/>
        </w:rPr>
        <w:t xml:space="preserve">,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https://doi.org/10.1016/j.molmed.2017.06.005.</w:t>
      </w:r>
    </w:p>
    <w:p w14:paraId="364ACCA8" w14:textId="77777777" w:rsidR="00B74FD0" w:rsidRPr="00B74FD0" w:rsidRDefault="00B74FD0" w:rsidP="00B74FD0">
      <w:pPr>
        <w:pStyle w:val="Bibliography"/>
        <w:numPr>
          <w:ilvl w:val="0"/>
          <w:numId w:val="42"/>
        </w:numPr>
        <w:spacing w:line="240" w:lineRule="auto"/>
        <w:ind w:left="360"/>
        <w:rPr>
          <w:rFonts w:cs="Tahoma"/>
        </w:rPr>
      </w:pPr>
      <w:proofErr w:type="spellStart"/>
      <w:r w:rsidRPr="00B74FD0">
        <w:rPr>
          <w:rFonts w:cs="Tahoma"/>
        </w:rPr>
        <w:t>Dobkin</w:t>
      </w:r>
      <w:proofErr w:type="spellEnd"/>
      <w:r w:rsidRPr="00B74FD0">
        <w:rPr>
          <w:rFonts w:cs="Tahoma"/>
        </w:rPr>
        <w:t xml:space="preserve">,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6E9A129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331D17EF" w14:textId="77777777" w:rsidR="00A44EC6" w:rsidRDefault="00B74FD0" w:rsidP="00A44EC6">
      <w:pPr>
        <w:pStyle w:val="Bibliography"/>
        <w:numPr>
          <w:ilvl w:val="0"/>
          <w:numId w:val="42"/>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65D05050" w14:textId="77777777" w:rsidR="00A44EC6" w:rsidRDefault="00B74FD0" w:rsidP="00A44EC6">
      <w:pPr>
        <w:pStyle w:val="Bibliography"/>
        <w:numPr>
          <w:ilvl w:val="0"/>
          <w:numId w:val="42"/>
        </w:numPr>
        <w:spacing w:line="240" w:lineRule="auto"/>
        <w:ind w:left="360"/>
        <w:rPr>
          <w:rFonts w:cs="Tahoma"/>
        </w:rPr>
      </w:pPr>
      <w:proofErr w:type="spellStart"/>
      <w:r w:rsidRPr="00A44EC6">
        <w:rPr>
          <w:rFonts w:cs="Tahoma"/>
        </w:rPr>
        <w:t>Fehlings</w:t>
      </w:r>
      <w:proofErr w:type="spellEnd"/>
      <w:r w:rsidRPr="00A44EC6">
        <w:rPr>
          <w:rFonts w:cs="Tahoma"/>
        </w:rPr>
        <w:t xml:space="preserve">, Michael G., et al. “A Clinical Practice Guideline for the Management of Patients </w:t>
      </w:r>
      <w:proofErr w:type="gramStart"/>
      <w:r w:rsidRPr="00A44EC6">
        <w:rPr>
          <w:rFonts w:cs="Tahoma"/>
        </w:rPr>
        <w:t>With</w:t>
      </w:r>
      <w:proofErr w:type="gramEnd"/>
      <w:r w:rsidRPr="00A44EC6">
        <w:rPr>
          <w:rFonts w:cs="Tahoma"/>
        </w:rPr>
        <w:t xml:space="preserve">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CD59386" w14:textId="61B487F3" w:rsidR="00A44EC6" w:rsidRPr="00A44EC6" w:rsidRDefault="00A44EC6" w:rsidP="00A44EC6">
      <w:pPr>
        <w:pStyle w:val="Bibliography"/>
        <w:numPr>
          <w:ilvl w:val="0"/>
          <w:numId w:val="42"/>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F2409CA"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https://doi.org/10.1016/j.biomaterials.2018.09.025.</w:t>
      </w:r>
    </w:p>
    <w:p w14:paraId="3AE0F007" w14:textId="4E3DAD09" w:rsidR="00087E82" w:rsidRPr="00087E82" w:rsidRDefault="00087E82" w:rsidP="00087E82">
      <w:pPr>
        <w:pStyle w:val="Bibliography"/>
        <w:numPr>
          <w:ilvl w:val="0"/>
          <w:numId w:val="42"/>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73825A92"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790EFBE5" w14:textId="77777777" w:rsidR="00043D87" w:rsidRDefault="00B74FD0" w:rsidP="00043D87">
      <w:pPr>
        <w:pStyle w:val="Bibliography"/>
        <w:numPr>
          <w:ilvl w:val="0"/>
          <w:numId w:val="42"/>
        </w:numPr>
        <w:spacing w:line="240" w:lineRule="auto"/>
        <w:ind w:left="360"/>
        <w:rPr>
          <w:rFonts w:cs="Tahoma"/>
        </w:rPr>
      </w:pPr>
      <w:proofErr w:type="spellStart"/>
      <w:r w:rsidRPr="00B74FD0">
        <w:rPr>
          <w:rFonts w:cs="Tahoma"/>
        </w:rPr>
        <w:t>Kaneva</w:t>
      </w:r>
      <w:proofErr w:type="spellEnd"/>
      <w:r w:rsidRPr="00B74FD0">
        <w:rPr>
          <w:rFonts w:cs="Tahoma"/>
        </w:rPr>
        <w:t xml:space="preserve">,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https://doi.org/10.1186/1476-511X-12-43.</w:t>
      </w:r>
    </w:p>
    <w:p w14:paraId="1A2E6958" w14:textId="24375044" w:rsidR="00043D87" w:rsidRPr="00043D87" w:rsidRDefault="00043D87" w:rsidP="00043D87">
      <w:pPr>
        <w:pStyle w:val="Bibliography"/>
        <w:numPr>
          <w:ilvl w:val="0"/>
          <w:numId w:val="42"/>
        </w:numPr>
        <w:spacing w:line="240" w:lineRule="auto"/>
        <w:ind w:left="360"/>
        <w:rPr>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724BA852" w14:textId="77777777" w:rsidR="00043D87" w:rsidRDefault="00B74FD0" w:rsidP="00043D87">
      <w:pPr>
        <w:pStyle w:val="Bibliography"/>
        <w:numPr>
          <w:ilvl w:val="0"/>
          <w:numId w:val="42"/>
        </w:numPr>
        <w:spacing w:line="240" w:lineRule="auto"/>
        <w:ind w:left="360"/>
        <w:rPr>
          <w:rFonts w:cs="Tahoma"/>
        </w:rPr>
      </w:pPr>
      <w:r w:rsidRPr="00B74FD0">
        <w:rPr>
          <w:rFonts w:cs="Tahoma"/>
        </w:rPr>
        <w:t>Lee, Byung-</w:t>
      </w:r>
      <w:proofErr w:type="spellStart"/>
      <w:r w:rsidRPr="00B74FD0">
        <w:rPr>
          <w:rFonts w:cs="Tahoma"/>
        </w:rPr>
        <w:t>Jou</w:t>
      </w:r>
      <w:proofErr w:type="spellEnd"/>
      <w:r w:rsidRPr="00B74FD0">
        <w:rPr>
          <w:rFonts w:cs="Tahoma"/>
        </w:rPr>
        <w:t xml:space="preserve">, and Je </w:t>
      </w:r>
      <w:proofErr w:type="spellStart"/>
      <w:r w:rsidRPr="00B74FD0">
        <w:rPr>
          <w:rFonts w:cs="Tahoma"/>
        </w:rPr>
        <w:t>Hoon</w:t>
      </w:r>
      <w:proofErr w:type="spellEnd"/>
      <w:r w:rsidRPr="00B74FD0">
        <w:rPr>
          <w:rFonts w:cs="Tahoma"/>
        </w:rPr>
        <w:t xml:space="preserve"> </w:t>
      </w:r>
      <w:proofErr w:type="spellStart"/>
      <w:r w:rsidRPr="00B74FD0">
        <w:rPr>
          <w:rFonts w:cs="Tahoma"/>
        </w:rPr>
        <w:t>Jeong</w:t>
      </w:r>
      <w:proofErr w:type="spellEnd"/>
      <w:r w:rsidRPr="00B74FD0">
        <w:rPr>
          <w:rFonts w:cs="Tahoma"/>
        </w:rPr>
        <w:t xml:space="preserve">. “Review: Steroid Use in Patients </w:t>
      </w:r>
      <w:proofErr w:type="gramStart"/>
      <w:r w:rsidRPr="00B74FD0">
        <w:rPr>
          <w:rFonts w:cs="Tahoma"/>
        </w:rPr>
        <w:t>With</w:t>
      </w:r>
      <w:proofErr w:type="gramEnd"/>
      <w:r w:rsidRPr="00B74FD0">
        <w:rPr>
          <w:rFonts w:cs="Tahoma"/>
        </w:rPr>
        <w:t xml:space="preserve">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https://doi.org/10.13004/kjnt.2022.18.e21.</w:t>
      </w:r>
    </w:p>
    <w:p w14:paraId="5F0C4B5A" w14:textId="77777777" w:rsidR="00087E82" w:rsidRDefault="00043D87" w:rsidP="00087E82">
      <w:pPr>
        <w:pStyle w:val="Bibliography"/>
        <w:numPr>
          <w:ilvl w:val="0"/>
          <w:numId w:val="42"/>
        </w:numPr>
        <w:spacing w:line="240" w:lineRule="auto"/>
        <w:ind w:left="360"/>
        <w:rPr>
          <w:rFonts w:cs="Tahoma"/>
        </w:rPr>
      </w:pPr>
      <w:r w:rsidRPr="00043D87">
        <w:rPr>
          <w:rFonts w:cs="Tahoma"/>
        </w:rPr>
        <w:t>lifeexpectancy.org</w:t>
      </w:r>
    </w:p>
    <w:p w14:paraId="502DA1DC" w14:textId="491989C2" w:rsidR="00087E82" w:rsidRPr="00087E82" w:rsidRDefault="00087E82" w:rsidP="00087E82">
      <w:pPr>
        <w:pStyle w:val="Bibliography"/>
        <w:numPr>
          <w:ilvl w:val="0"/>
          <w:numId w:val="42"/>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4BFA491C"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 xml:space="preserve">Stem Cells Translational </w:t>
      </w:r>
      <w:r w:rsidRPr="00B74FD0">
        <w:rPr>
          <w:rFonts w:cs="Tahoma"/>
          <w:i/>
          <w:iCs/>
        </w:rPr>
        <w:lastRenderedPageBreak/>
        <w:t>Medicine</w:t>
      </w:r>
      <w:r w:rsidRPr="00B74FD0">
        <w:rPr>
          <w:rFonts w:cs="Tahoma"/>
        </w:rPr>
        <w:t xml:space="preserve">, vol. 6, no. 10, Oct. 2017, pp. 1917–29.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https://doi.org/10.1002/sctm.17-0065.</w:t>
      </w:r>
    </w:p>
    <w:p w14:paraId="44AC1EAE"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https://doi.org/10.3171/2011.4.SPINE10543.</w:t>
      </w:r>
    </w:p>
    <w:p w14:paraId="61D38116" w14:textId="7196E3C0" w:rsidR="00043D87" w:rsidRPr="00043D87" w:rsidRDefault="00043D87" w:rsidP="00043D87">
      <w:pPr>
        <w:pStyle w:val="Bibliography"/>
        <w:numPr>
          <w:ilvl w:val="0"/>
          <w:numId w:val="42"/>
        </w:numPr>
        <w:spacing w:line="240" w:lineRule="auto"/>
        <w:ind w:left="360"/>
        <w:rPr>
          <w:rFonts w:cs="Tahoma"/>
        </w:rPr>
      </w:pPr>
      <w:r w:rsidRPr="00043D87">
        <w:rPr>
          <w:rFonts w:eastAsiaTheme="majorEastAsia" w:cs="Tahoma"/>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5C89279E" w14:textId="77777777" w:rsidR="00B74FD0" w:rsidRPr="00B74FD0" w:rsidRDefault="00B74FD0" w:rsidP="00B74FD0">
      <w:pPr>
        <w:pStyle w:val="Bibliography"/>
        <w:numPr>
          <w:ilvl w:val="0"/>
          <w:numId w:val="42"/>
        </w:numPr>
        <w:spacing w:line="240" w:lineRule="auto"/>
        <w:ind w:left="360"/>
        <w:rPr>
          <w:rFonts w:cs="Tahoma"/>
        </w:rPr>
      </w:pPr>
      <w:proofErr w:type="spellStart"/>
      <w:r w:rsidRPr="00B74FD0">
        <w:rPr>
          <w:rFonts w:cs="Tahoma"/>
        </w:rPr>
        <w:t>Norenberg</w:t>
      </w:r>
      <w:proofErr w:type="spellEnd"/>
      <w:r w:rsidRPr="00B74FD0">
        <w:rPr>
          <w:rFonts w:cs="Tahoma"/>
        </w:rPr>
        <w:t xml:space="preserve">,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https://doi.org/10.1089/089771504323004575.</w:t>
      </w:r>
    </w:p>
    <w:p w14:paraId="1802F690"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https://doi.org/10.2217/rme.15.57.</w:t>
      </w:r>
    </w:p>
    <w:p w14:paraId="1FDD1542" w14:textId="0584A938" w:rsidR="00043D87" w:rsidRPr="00043D87" w:rsidRDefault="00043D87" w:rsidP="00043D87">
      <w:pPr>
        <w:pStyle w:val="Bibliography"/>
        <w:numPr>
          <w:ilvl w:val="0"/>
          <w:numId w:val="42"/>
        </w:numPr>
        <w:spacing w:line="240" w:lineRule="auto"/>
        <w:ind w:left="360"/>
        <w:rPr>
          <w:rFonts w:cs="Tahoma"/>
        </w:rPr>
      </w:pPr>
      <w:proofErr w:type="spellStart"/>
      <w:r w:rsidRPr="00043D87">
        <w:rPr>
          <w:rFonts w:cs="Tahoma"/>
          <w:color w:val="212121"/>
          <w:shd w:val="clear" w:color="auto" w:fill="FFFFFF"/>
        </w:rPr>
        <w:t>Ocejo</w:t>
      </w:r>
      <w:proofErr w:type="spellEnd"/>
      <w:r w:rsidRPr="00043D87">
        <w:rPr>
          <w:rFonts w:cs="Tahoma"/>
          <w:color w:val="212121"/>
          <w:shd w:val="clear" w:color="auto" w:fill="FFFFFF"/>
        </w:rPr>
        <w:t>, Antonio. and Ricardo Correa. “Methylprednisolone.” </w:t>
      </w:r>
      <w:proofErr w:type="spellStart"/>
      <w:r w:rsidRPr="00043D87">
        <w:rPr>
          <w:rFonts w:cs="Tahoma"/>
          <w:i/>
          <w:iCs/>
          <w:color w:val="212121"/>
          <w:shd w:val="clear" w:color="auto" w:fill="FFFFFF"/>
        </w:rPr>
        <w:t>StatPearls</w:t>
      </w:r>
      <w:proofErr w:type="spellEnd"/>
      <w:r w:rsidRPr="00043D87">
        <w:rPr>
          <w:rFonts w:cs="Tahoma"/>
          <w:color w:val="212121"/>
          <w:shd w:val="clear" w:color="auto" w:fill="FFFFFF"/>
        </w:rPr>
        <w:t xml:space="preserve">, </w:t>
      </w:r>
      <w:proofErr w:type="spellStart"/>
      <w:r w:rsidRPr="00043D87">
        <w:rPr>
          <w:rFonts w:cs="Tahoma"/>
          <w:color w:val="212121"/>
          <w:shd w:val="clear" w:color="auto" w:fill="FFFFFF"/>
        </w:rPr>
        <w:t>StatPearls</w:t>
      </w:r>
      <w:proofErr w:type="spellEnd"/>
      <w:r w:rsidRPr="00043D87">
        <w:rPr>
          <w:rFonts w:cs="Tahoma"/>
          <w:color w:val="212121"/>
          <w:shd w:val="clear" w:color="auto" w:fill="FFFFFF"/>
        </w:rPr>
        <w:t xml:space="preserve"> Publishing, 22 May 2022.</w:t>
      </w:r>
    </w:p>
    <w:p w14:paraId="66B17664"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Qu, </w:t>
      </w:r>
      <w:proofErr w:type="spellStart"/>
      <w:r w:rsidRPr="00B74FD0">
        <w:rPr>
          <w:rFonts w:cs="Tahoma"/>
        </w:rPr>
        <w:t>Wenrui</w:t>
      </w:r>
      <w:proofErr w:type="spellEnd"/>
      <w:r w:rsidRPr="00B74FD0">
        <w:rPr>
          <w:rFonts w:cs="Tahoma"/>
        </w:rPr>
        <w:t xml:space="preserve">,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4117B9C9"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https://doi.org/10.3390/polym13071105.</w:t>
      </w:r>
    </w:p>
    <w:p w14:paraId="66C26627"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11D6394E" w14:textId="21E3F12F" w:rsidR="00043D87" w:rsidRPr="00043D87" w:rsidRDefault="00043D87" w:rsidP="00043D87">
      <w:pPr>
        <w:pStyle w:val="Bibliography"/>
        <w:numPr>
          <w:ilvl w:val="0"/>
          <w:numId w:val="42"/>
        </w:numPr>
        <w:spacing w:line="240" w:lineRule="auto"/>
        <w:ind w:left="360"/>
        <w:rPr>
          <w:rFonts w:cs="Tahoma"/>
        </w:rPr>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776F87F1" w14:textId="63BE42E9" w:rsidR="00B74FD0" w:rsidRPr="00B74FD0" w:rsidRDefault="00B74FD0" w:rsidP="00B74FD0">
      <w:pPr>
        <w:pStyle w:val="Bibliography"/>
        <w:numPr>
          <w:ilvl w:val="0"/>
          <w:numId w:val="42"/>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3AB15D1B" w14:textId="77777777" w:rsidR="00B74FD0" w:rsidRPr="0057577E" w:rsidRDefault="00B74FD0" w:rsidP="00B74FD0">
      <w:pPr>
        <w:pStyle w:val="Bibliography"/>
        <w:numPr>
          <w:ilvl w:val="0"/>
          <w:numId w:val="42"/>
        </w:numPr>
        <w:spacing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67B7D623" w14:textId="77777777" w:rsidR="00043D87" w:rsidRDefault="00B74FD0" w:rsidP="00043D87">
      <w:pPr>
        <w:pStyle w:val="Bibliography"/>
        <w:numPr>
          <w:ilvl w:val="0"/>
          <w:numId w:val="42"/>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https://doi.org/10.1016/B978-0-12-809923-0.00014-X.</w:t>
      </w:r>
    </w:p>
    <w:p w14:paraId="549A42C2" w14:textId="4889C0D7" w:rsidR="00043D87" w:rsidRPr="00043D87" w:rsidRDefault="00043D87" w:rsidP="00043D87">
      <w:pPr>
        <w:pStyle w:val="Bibliography"/>
        <w:numPr>
          <w:ilvl w:val="0"/>
          <w:numId w:val="42"/>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1B31D7A6"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https://doi.org/10.1016/j.neuroscience.2013.12.022.</w:t>
      </w:r>
    </w:p>
    <w:p w14:paraId="44350918" w14:textId="77777777" w:rsidR="00087E82" w:rsidRDefault="00B74FD0" w:rsidP="00087E82">
      <w:pPr>
        <w:pStyle w:val="Bibliography"/>
        <w:numPr>
          <w:ilvl w:val="0"/>
          <w:numId w:val="42"/>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https://doi.org/10.1073/pnas.052678899.</w:t>
      </w:r>
    </w:p>
    <w:p w14:paraId="5A14A587" w14:textId="0EED647F" w:rsidR="00087E82" w:rsidRPr="00087E82" w:rsidRDefault="00087E82" w:rsidP="00087E82">
      <w:pPr>
        <w:pStyle w:val="Bibliography"/>
        <w:numPr>
          <w:ilvl w:val="0"/>
          <w:numId w:val="42"/>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1ECD05CD"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lastRenderedPageBreak/>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A645454" w14:textId="77777777" w:rsidR="00B74FD0" w:rsidRPr="00B74FD0" w:rsidRDefault="00B74FD0" w:rsidP="00B74FD0">
      <w:pPr>
        <w:pStyle w:val="Bibliography"/>
        <w:numPr>
          <w:ilvl w:val="0"/>
          <w:numId w:val="42"/>
        </w:numPr>
        <w:spacing w:line="240" w:lineRule="auto"/>
        <w:ind w:left="360"/>
        <w:rPr>
          <w:rFonts w:cs="Tahoma"/>
        </w:rPr>
      </w:pPr>
      <w:proofErr w:type="spellStart"/>
      <w:r w:rsidRPr="00B74FD0">
        <w:rPr>
          <w:rFonts w:cs="Tahoma"/>
        </w:rPr>
        <w:t>Valković</w:t>
      </w:r>
      <w:proofErr w:type="spellEnd"/>
      <w:r w:rsidRPr="00B74FD0">
        <w:rPr>
          <w:rFonts w:cs="Tahoma"/>
        </w:rPr>
        <w:t xml:space="preserve">,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https://doi.org/10.1155/2016/7870590.</w:t>
      </w:r>
    </w:p>
    <w:p w14:paraId="3603DF9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4DA5DC8E" w14:textId="77777777" w:rsidR="00B74FD0" w:rsidRPr="00B74FD0" w:rsidRDefault="00B74FD0" w:rsidP="00B74FD0">
      <w:pPr>
        <w:pStyle w:val="Bibliography"/>
        <w:numPr>
          <w:ilvl w:val="0"/>
          <w:numId w:val="42"/>
        </w:numPr>
        <w:spacing w:line="240" w:lineRule="auto"/>
        <w:ind w:left="360"/>
        <w:rPr>
          <w:rFonts w:cs="Tahoma"/>
        </w:rPr>
      </w:pPr>
      <w:proofErr w:type="spellStart"/>
      <w:r w:rsidRPr="00B74FD0">
        <w:rPr>
          <w:rFonts w:cs="Tahoma"/>
        </w:rPr>
        <w:t>Wąsik</w:t>
      </w:r>
      <w:proofErr w:type="spellEnd"/>
      <w:r w:rsidRPr="00B74FD0">
        <w:rPr>
          <w:rFonts w:cs="Tahoma"/>
        </w:rPr>
        <w:t>, Norbert, et al. “</w:t>
      </w:r>
      <w:proofErr w:type="spellStart"/>
      <w:r w:rsidRPr="00B74FD0">
        <w:rPr>
          <w:rFonts w:cs="Tahoma"/>
        </w:rPr>
        <w:t>Clusterin</w:t>
      </w:r>
      <w:proofErr w:type="spellEnd"/>
      <w:r w:rsidRPr="00B74FD0">
        <w:rPr>
          <w:rFonts w:cs="Tahoma"/>
        </w:rPr>
        <w:t xml:space="preserve">,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https://doi.org/10.1016/j.wneu.2017.08.006.</w:t>
      </w:r>
    </w:p>
    <w:p w14:paraId="6F0B039B"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https://doi.org/10.1016/j.expneurol.2009.03.037.</w:t>
      </w:r>
    </w:p>
    <w:p w14:paraId="14965137" w14:textId="77777777" w:rsidR="00B74FD0" w:rsidRPr="00B74FD0" w:rsidRDefault="00B74FD0" w:rsidP="00B74FD0">
      <w:pPr>
        <w:pStyle w:val="Bibliography"/>
        <w:numPr>
          <w:ilvl w:val="0"/>
          <w:numId w:val="42"/>
        </w:numPr>
        <w:spacing w:line="240" w:lineRule="auto"/>
        <w:ind w:left="360"/>
        <w:rPr>
          <w:rFonts w:cs="Tahoma"/>
        </w:rPr>
      </w:pPr>
      <w:proofErr w:type="spellStart"/>
      <w:r w:rsidRPr="00B74FD0">
        <w:rPr>
          <w:rFonts w:cs="Tahoma"/>
        </w:rPr>
        <w:t>Yoshitani</w:t>
      </w:r>
      <w:proofErr w:type="spellEnd"/>
      <w:r w:rsidRPr="00B74FD0">
        <w:rPr>
          <w:rFonts w:cs="Tahoma"/>
        </w:rPr>
        <w:t xml:space="preserve">,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w:t>
      </w:r>
      <w:proofErr w:type="spellStart"/>
      <w:r w:rsidRPr="00B74FD0">
        <w:rPr>
          <w:rFonts w:cs="Tahoma"/>
          <w:i/>
          <w:iCs/>
        </w:rPr>
        <w:t>Crossref</w:t>
      </w:r>
      <w:proofErr w:type="spellEnd"/>
      <w:r w:rsidRPr="00B74FD0">
        <w:rPr>
          <w:rFonts w:cs="Tahoma"/>
          <w:i/>
          <w:iCs/>
        </w:rPr>
        <w:t>)</w:t>
      </w:r>
      <w:r w:rsidRPr="00B74FD0">
        <w:rPr>
          <w:rFonts w:cs="Tahoma"/>
        </w:rPr>
        <w:t>, https://doi.org/10.1007/s00540-020-02857-w.</w:t>
      </w:r>
    </w:p>
    <w:p w14:paraId="65B660DA" w14:textId="77777777" w:rsidR="00B74FD0" w:rsidRPr="00B74FD0" w:rsidRDefault="00B74FD0" w:rsidP="00B74FD0">
      <w:pPr>
        <w:pStyle w:val="Bibliography"/>
        <w:numPr>
          <w:ilvl w:val="0"/>
          <w:numId w:val="42"/>
        </w:numPr>
        <w:spacing w:line="240" w:lineRule="auto"/>
        <w:ind w:left="360"/>
        <w:rPr>
          <w:rFonts w:cs="Tahoma"/>
        </w:rPr>
      </w:pPr>
      <w:r w:rsidRPr="00B74FD0">
        <w:rPr>
          <w:rFonts w:cs="Tahoma"/>
        </w:rPr>
        <w:t>Zou, Hong-</w:t>
      </w:r>
      <w:proofErr w:type="spellStart"/>
      <w:r w:rsidRPr="00B74FD0">
        <w:rPr>
          <w:rFonts w:cs="Tahoma"/>
        </w:rPr>
        <w:t>jun</w:t>
      </w:r>
      <w:proofErr w:type="spellEnd"/>
      <w:r w:rsidRPr="00B74FD0">
        <w:rPr>
          <w:rFonts w:cs="Tahoma"/>
        </w:rPr>
        <w:t xml:space="preserve">,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7E72509E" w14:textId="78C2569C" w:rsidR="00040E46" w:rsidRPr="00040E46" w:rsidRDefault="006C65A9" w:rsidP="00B74FD0">
      <w:pPr>
        <w:ind w:left="-7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843C5" w14:textId="77777777" w:rsidR="00B3096C" w:rsidRDefault="00B3096C" w:rsidP="00B657A0">
      <w:r>
        <w:separator/>
      </w:r>
    </w:p>
  </w:endnote>
  <w:endnote w:type="continuationSeparator" w:id="0">
    <w:p w14:paraId="3FF733CB" w14:textId="77777777" w:rsidR="00B3096C" w:rsidRDefault="00B3096C" w:rsidP="00B657A0">
      <w:r>
        <w:continuationSeparator/>
      </w:r>
    </w:p>
  </w:endnote>
  <w:endnote w:type="continuationNotice" w:id="1">
    <w:p w14:paraId="2E75558B" w14:textId="77777777" w:rsidR="00B3096C" w:rsidRDefault="00B30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78B4" w14:textId="77777777" w:rsidR="00B3096C" w:rsidRDefault="00B3096C" w:rsidP="00B657A0">
      <w:r>
        <w:separator/>
      </w:r>
    </w:p>
  </w:footnote>
  <w:footnote w:type="continuationSeparator" w:id="0">
    <w:p w14:paraId="6CBBD4B8" w14:textId="77777777" w:rsidR="00B3096C" w:rsidRDefault="00B3096C" w:rsidP="00B657A0">
      <w:r>
        <w:continuationSeparator/>
      </w:r>
    </w:p>
  </w:footnote>
  <w:footnote w:type="continuationNotice" w:id="1">
    <w:p w14:paraId="35E355CD" w14:textId="77777777" w:rsidR="00B3096C" w:rsidRDefault="00B30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4E5FD1"/>
    <w:multiLevelType w:val="hybridMultilevel"/>
    <w:tmpl w:val="4916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8"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0"/>
  </w:num>
  <w:num w:numId="2" w16cid:durableId="591012818">
    <w:abstractNumId w:val="33"/>
  </w:num>
  <w:num w:numId="3" w16cid:durableId="179856923">
    <w:abstractNumId w:val="3"/>
  </w:num>
  <w:num w:numId="4" w16cid:durableId="3915848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3"/>
  </w:num>
  <w:num w:numId="7" w16cid:durableId="2132432314">
    <w:abstractNumId w:val="2"/>
  </w:num>
  <w:num w:numId="8" w16cid:durableId="1193693858">
    <w:abstractNumId w:val="1"/>
  </w:num>
  <w:num w:numId="9" w16cid:durableId="803236281">
    <w:abstractNumId w:val="25"/>
  </w:num>
  <w:num w:numId="10" w16cid:durableId="1214929145">
    <w:abstractNumId w:val="25"/>
  </w:num>
  <w:num w:numId="11" w16cid:durableId="1534925248">
    <w:abstractNumId w:val="27"/>
  </w:num>
  <w:num w:numId="12" w16cid:durableId="1204631859">
    <w:abstractNumId w:val="21"/>
  </w:num>
  <w:num w:numId="13" w16cid:durableId="1999653488">
    <w:abstractNumId w:val="14"/>
  </w:num>
  <w:num w:numId="14" w16cid:durableId="1948655657">
    <w:abstractNumId w:val="38"/>
  </w:num>
  <w:num w:numId="15" w16cid:durableId="1426876100">
    <w:abstractNumId w:val="29"/>
  </w:num>
  <w:num w:numId="16" w16cid:durableId="148448031">
    <w:abstractNumId w:val="16"/>
  </w:num>
  <w:num w:numId="17" w16cid:durableId="432239574">
    <w:abstractNumId w:val="39"/>
  </w:num>
  <w:num w:numId="18" w16cid:durableId="1902785539">
    <w:abstractNumId w:val="12"/>
  </w:num>
  <w:num w:numId="19" w16cid:durableId="2016347357">
    <w:abstractNumId w:val="19"/>
  </w:num>
  <w:num w:numId="20" w16cid:durableId="1604259620">
    <w:abstractNumId w:val="37"/>
  </w:num>
  <w:num w:numId="21" w16cid:durableId="1341661621">
    <w:abstractNumId w:val="36"/>
  </w:num>
  <w:num w:numId="22" w16cid:durableId="788007871">
    <w:abstractNumId w:val="30"/>
  </w:num>
  <w:num w:numId="23" w16cid:durableId="1463157998">
    <w:abstractNumId w:val="23"/>
  </w:num>
  <w:num w:numId="24" w16cid:durableId="1260681482">
    <w:abstractNumId w:val="24"/>
  </w:num>
  <w:num w:numId="25" w16cid:durableId="1969161413">
    <w:abstractNumId w:val="10"/>
  </w:num>
  <w:num w:numId="26" w16cid:durableId="1839885816">
    <w:abstractNumId w:val="6"/>
  </w:num>
  <w:num w:numId="27" w16cid:durableId="1730300100">
    <w:abstractNumId w:val="18"/>
  </w:num>
  <w:num w:numId="28" w16cid:durableId="1711765807">
    <w:abstractNumId w:val="26"/>
  </w:num>
  <w:num w:numId="29" w16cid:durableId="2130008031">
    <w:abstractNumId w:val="31"/>
  </w:num>
  <w:num w:numId="30" w16cid:durableId="1154377883">
    <w:abstractNumId w:val="28"/>
  </w:num>
  <w:num w:numId="31" w16cid:durableId="1266425856">
    <w:abstractNumId w:val="22"/>
  </w:num>
  <w:num w:numId="32" w16cid:durableId="1850872283">
    <w:abstractNumId w:val="15"/>
  </w:num>
  <w:num w:numId="33" w16cid:durableId="687414347">
    <w:abstractNumId w:val="7"/>
  </w:num>
  <w:num w:numId="34" w16cid:durableId="313729409">
    <w:abstractNumId w:val="9"/>
  </w:num>
  <w:num w:numId="35" w16cid:durableId="125003735">
    <w:abstractNumId w:val="32"/>
  </w:num>
  <w:num w:numId="36" w16cid:durableId="1622567168">
    <w:abstractNumId w:val="34"/>
  </w:num>
  <w:num w:numId="37" w16cid:durableId="556285773">
    <w:abstractNumId w:val="17"/>
  </w:num>
  <w:num w:numId="38" w16cid:durableId="1016425218">
    <w:abstractNumId w:val="35"/>
  </w:num>
  <w:num w:numId="39" w16cid:durableId="1404329616">
    <w:abstractNumId w:val="4"/>
  </w:num>
  <w:num w:numId="40" w16cid:durableId="40641541">
    <w:abstractNumId w:val="8"/>
  </w:num>
  <w:num w:numId="41" w16cid:durableId="790633047">
    <w:abstractNumId w:val="11"/>
  </w:num>
  <w:num w:numId="42" w16cid:durableId="794056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09B1"/>
    <w:rsid w:val="0002235C"/>
    <w:rsid w:val="000268CD"/>
    <w:rsid w:val="00027200"/>
    <w:rsid w:val="00027881"/>
    <w:rsid w:val="00030F88"/>
    <w:rsid w:val="0003264A"/>
    <w:rsid w:val="00035E18"/>
    <w:rsid w:val="0003722B"/>
    <w:rsid w:val="00040E46"/>
    <w:rsid w:val="00043D87"/>
    <w:rsid w:val="0004712D"/>
    <w:rsid w:val="00050DA8"/>
    <w:rsid w:val="00052D38"/>
    <w:rsid w:val="00053B22"/>
    <w:rsid w:val="00054FDF"/>
    <w:rsid w:val="00055522"/>
    <w:rsid w:val="00057001"/>
    <w:rsid w:val="00057654"/>
    <w:rsid w:val="00061762"/>
    <w:rsid w:val="0006224F"/>
    <w:rsid w:val="00070C64"/>
    <w:rsid w:val="00071E26"/>
    <w:rsid w:val="000806C2"/>
    <w:rsid w:val="00082C06"/>
    <w:rsid w:val="00084334"/>
    <w:rsid w:val="000868E4"/>
    <w:rsid w:val="00087E82"/>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4CFB"/>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172C7"/>
    <w:rsid w:val="004228B6"/>
    <w:rsid w:val="00426977"/>
    <w:rsid w:val="004323E3"/>
    <w:rsid w:val="0043376A"/>
    <w:rsid w:val="0043561A"/>
    <w:rsid w:val="00435DB5"/>
    <w:rsid w:val="004372FD"/>
    <w:rsid w:val="0043784F"/>
    <w:rsid w:val="00440E19"/>
    <w:rsid w:val="004434B5"/>
    <w:rsid w:val="00447F35"/>
    <w:rsid w:val="004506D7"/>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4521B"/>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5B56"/>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2F78"/>
    <w:rsid w:val="006830EF"/>
    <w:rsid w:val="00683BF2"/>
    <w:rsid w:val="0068539E"/>
    <w:rsid w:val="00686867"/>
    <w:rsid w:val="00692C82"/>
    <w:rsid w:val="00694B8F"/>
    <w:rsid w:val="00695F22"/>
    <w:rsid w:val="006A11B0"/>
    <w:rsid w:val="006A4905"/>
    <w:rsid w:val="006A505E"/>
    <w:rsid w:val="006B330C"/>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496C"/>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55FD"/>
    <w:rsid w:val="00817BCB"/>
    <w:rsid w:val="008229F3"/>
    <w:rsid w:val="008236B8"/>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37F8"/>
    <w:rsid w:val="00884C18"/>
    <w:rsid w:val="0089076E"/>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76AEB"/>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1422"/>
    <w:rsid w:val="009D5022"/>
    <w:rsid w:val="009D6626"/>
    <w:rsid w:val="009D7C9D"/>
    <w:rsid w:val="009E13FB"/>
    <w:rsid w:val="009E18B4"/>
    <w:rsid w:val="009E1C63"/>
    <w:rsid w:val="009E776C"/>
    <w:rsid w:val="00A0265E"/>
    <w:rsid w:val="00A026F4"/>
    <w:rsid w:val="00A033F3"/>
    <w:rsid w:val="00A04AD7"/>
    <w:rsid w:val="00A11B58"/>
    <w:rsid w:val="00A12D67"/>
    <w:rsid w:val="00A13758"/>
    <w:rsid w:val="00A15BDD"/>
    <w:rsid w:val="00A16EC8"/>
    <w:rsid w:val="00A17305"/>
    <w:rsid w:val="00A24EFB"/>
    <w:rsid w:val="00A34DA6"/>
    <w:rsid w:val="00A44CDC"/>
    <w:rsid w:val="00A44EC6"/>
    <w:rsid w:val="00A4664A"/>
    <w:rsid w:val="00A530EB"/>
    <w:rsid w:val="00A5422A"/>
    <w:rsid w:val="00A570C5"/>
    <w:rsid w:val="00A57DB1"/>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2BB7"/>
    <w:rsid w:val="00B0544F"/>
    <w:rsid w:val="00B07540"/>
    <w:rsid w:val="00B0788C"/>
    <w:rsid w:val="00B10B19"/>
    <w:rsid w:val="00B11926"/>
    <w:rsid w:val="00B12241"/>
    <w:rsid w:val="00B12D09"/>
    <w:rsid w:val="00B1488B"/>
    <w:rsid w:val="00B14BE0"/>
    <w:rsid w:val="00B23D1D"/>
    <w:rsid w:val="00B26C43"/>
    <w:rsid w:val="00B3096C"/>
    <w:rsid w:val="00B30A1C"/>
    <w:rsid w:val="00B30E39"/>
    <w:rsid w:val="00B32730"/>
    <w:rsid w:val="00B33494"/>
    <w:rsid w:val="00B34F52"/>
    <w:rsid w:val="00B350C7"/>
    <w:rsid w:val="00B4237E"/>
    <w:rsid w:val="00B43499"/>
    <w:rsid w:val="00B43888"/>
    <w:rsid w:val="00B456EA"/>
    <w:rsid w:val="00B4678E"/>
    <w:rsid w:val="00B51CAB"/>
    <w:rsid w:val="00B63A1C"/>
    <w:rsid w:val="00B657A0"/>
    <w:rsid w:val="00B6644C"/>
    <w:rsid w:val="00B71413"/>
    <w:rsid w:val="00B721B3"/>
    <w:rsid w:val="00B747B5"/>
    <w:rsid w:val="00B74FD0"/>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0FE0"/>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008D"/>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4192"/>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442A"/>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43A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10</TotalTime>
  <Pages>15</Pages>
  <Words>20592</Words>
  <Characters>117378</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137695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7</cp:revision>
  <cp:lastPrinted>2022-11-05T13:52:00Z</cp:lastPrinted>
  <dcterms:created xsi:type="dcterms:W3CDTF">2022-11-05T13:52:00Z</dcterms:created>
  <dcterms:modified xsi:type="dcterms:W3CDTF">2022-11-05T14:03:00Z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zotero-version="6.0.16"&gt;&lt;session id="guawG5db"/&gt;&lt;style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