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04987" w14:textId="77777777" w:rsidR="000D314C" w:rsidRDefault="000D314C" w:rsidP="000D314C">
      <w:pPr>
        <w:pStyle w:val="NormalWeb"/>
      </w:pPr>
      <w:r>
        <w:rPr>
          <w:rFonts w:ascii="Tahoma" w:hAnsi="Tahoma" w:cs="Tahoma"/>
          <w:b/>
          <w:bCs/>
          <w:color w:val="002B70"/>
          <w:sz w:val="36"/>
          <w:szCs w:val="36"/>
        </w:rPr>
        <w:t xml:space="preserve">Assignment 9: Cell Trafficking and Molecular Transport </w:t>
      </w:r>
    </w:p>
    <w:p w14:paraId="7851A7F7" w14:textId="77777777" w:rsidR="000D314C" w:rsidRDefault="000D314C" w:rsidP="000D314C">
      <w:pPr>
        <w:pStyle w:val="NormalWeb"/>
      </w:pPr>
      <w:r>
        <w:rPr>
          <w:rFonts w:ascii="Tahoma" w:hAnsi="Tahoma" w:cs="Tahoma"/>
          <w:b/>
          <w:bCs/>
          <w:sz w:val="28"/>
          <w:szCs w:val="28"/>
        </w:rPr>
        <w:t xml:space="preserve">Cell and Tissue Engineering </w:t>
      </w:r>
    </w:p>
    <w:p w14:paraId="6FA5AC88" w14:textId="77777777" w:rsidR="000D314C" w:rsidRDefault="000D314C" w:rsidP="000D314C">
      <w:pPr>
        <w:pStyle w:val="NormalWeb"/>
      </w:pPr>
      <w:r>
        <w:rPr>
          <w:rFonts w:ascii="Tahoma" w:hAnsi="Tahoma" w:cs="Tahoma"/>
          <w:b/>
          <w:bCs/>
          <w:color w:val="004982"/>
          <w:sz w:val="28"/>
          <w:szCs w:val="28"/>
        </w:rPr>
        <w:t xml:space="preserve">Problems </w:t>
      </w:r>
    </w:p>
    <w:p w14:paraId="41D8DCB6" w14:textId="133E34E8" w:rsidR="000D314C" w:rsidRDefault="000D314C" w:rsidP="000D314C">
      <w:pPr>
        <w:pStyle w:val="NormalWeb"/>
        <w:numPr>
          <w:ilvl w:val="0"/>
          <w:numId w:val="42"/>
        </w:numPr>
        <w:rPr>
          <w:rFonts w:ascii="Tahoma" w:hAnsi="Tahoma" w:cs="Tahoma"/>
        </w:rPr>
      </w:pPr>
      <w:r>
        <w:rPr>
          <w:rFonts w:ascii="Tahoma" w:hAnsi="Tahoma" w:cs="Tahoma"/>
        </w:rPr>
        <w:t>Understanding and analyzing molecular transport mechanism is necessary when designing basic cell culture experiments and perfusion of biomaterials using a bioreactor. Oxygen delivery to cells in culture can by modeled using Fick’s Law. Transport of oxygen from the gas phase (P</w:t>
      </w:r>
      <w:r>
        <w:rPr>
          <w:rFonts w:ascii="Tahoma" w:hAnsi="Tahoma" w:cs="Tahoma"/>
          <w:position w:val="-2"/>
          <w:sz w:val="16"/>
          <w:szCs w:val="16"/>
        </w:rPr>
        <w:t>g</w:t>
      </w:r>
      <w:r>
        <w:rPr>
          <w:rFonts w:ascii="Tahoma" w:hAnsi="Tahoma" w:cs="Tahoma"/>
        </w:rPr>
        <w:t>) to the cell phase (P</w:t>
      </w:r>
      <w:r>
        <w:rPr>
          <w:rFonts w:ascii="Tahoma" w:hAnsi="Tahoma" w:cs="Tahoma"/>
          <w:position w:val="-2"/>
          <w:sz w:val="16"/>
          <w:szCs w:val="16"/>
        </w:rPr>
        <w:t>c</w:t>
      </w:r>
      <w:r>
        <w:rPr>
          <w:rFonts w:ascii="Tahoma" w:hAnsi="Tahoma" w:cs="Tahoma"/>
        </w:rPr>
        <w:t>) is driven by the oxygen gradient across the height of the medium. The rate of oxygen uptake by cells however can be modeled with Michaelis-Menten kinetics (what we use for facilitated diffusion) (from P</w:t>
      </w:r>
      <w:r>
        <w:rPr>
          <w:rFonts w:ascii="Tahoma" w:hAnsi="Tahoma" w:cs="Tahoma"/>
          <w:position w:val="-2"/>
          <w:sz w:val="16"/>
          <w:szCs w:val="16"/>
        </w:rPr>
        <w:t xml:space="preserve">c </w:t>
      </w:r>
      <w:r>
        <w:rPr>
          <w:rFonts w:ascii="Tahoma" w:hAnsi="Tahoma" w:cs="Tahoma"/>
        </w:rPr>
        <w:t xml:space="preserve">into the cell). </w:t>
      </w:r>
    </w:p>
    <w:p w14:paraId="548062B9" w14:textId="0D8B4643" w:rsidR="000D314C" w:rsidRDefault="003D3461" w:rsidP="000D314C">
      <w:pPr>
        <w:pStyle w:val="NormalWeb"/>
        <w:ind w:left="360"/>
        <w:jc w:val="center"/>
        <w:rPr>
          <w:rFonts w:ascii="Tahoma" w:hAnsi="Tahoma" w:cs="Tahoma"/>
        </w:rPr>
      </w:pPr>
      <w:r>
        <w:fldChar w:fldCharType="begin"/>
      </w:r>
      <w:r>
        <w:instrText xml:space="preserve"> INCLUDEPICTURE "/Users/yg/Library/Group Containers/UBF8T346G9.ms/WebArchiveCopyPasteTempFiles/com.microsoft.Word/page1image59689408" \* MERGEFORMATINET </w:instrText>
      </w:r>
      <w:r>
        <w:fldChar w:fldCharType="separate"/>
      </w:r>
      <w:r>
        <w:rPr>
          <w:noProof/>
        </w:rPr>
        <w:drawing>
          <wp:inline distT="0" distB="0" distL="0" distR="0" wp14:anchorId="33132213" wp14:editId="000F136A">
            <wp:extent cx="2545772" cy="1581910"/>
            <wp:effectExtent l="0" t="0" r="0" b="5715"/>
            <wp:docPr id="1" name="Picture 1" descr="page1image59689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6894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6960" cy="1595076"/>
                    </a:xfrm>
                    <a:prstGeom prst="rect">
                      <a:avLst/>
                    </a:prstGeom>
                    <a:noFill/>
                    <a:ln>
                      <a:noFill/>
                    </a:ln>
                  </pic:spPr>
                </pic:pic>
              </a:graphicData>
            </a:graphic>
          </wp:inline>
        </w:drawing>
      </w:r>
      <w:r>
        <w:fldChar w:fldCharType="end"/>
      </w:r>
    </w:p>
    <w:p w14:paraId="3797FCF9" w14:textId="09154A6F" w:rsidR="000D314C" w:rsidRDefault="000D314C" w:rsidP="003D3461">
      <w:pPr>
        <w:pStyle w:val="NormalWeb"/>
        <w:numPr>
          <w:ilvl w:val="1"/>
          <w:numId w:val="42"/>
        </w:numPr>
        <w:rPr>
          <w:rFonts w:ascii="Tahoma" w:hAnsi="Tahoma" w:cs="Tahoma"/>
        </w:rPr>
      </w:pPr>
      <w:r>
        <w:rPr>
          <w:rFonts w:ascii="Tahoma" w:hAnsi="Tahoma" w:cs="Tahoma"/>
        </w:rPr>
        <w:t xml:space="preserve">In lecture, we graphed </w:t>
      </w:r>
      <w:proofErr w:type="spellStart"/>
      <w:r>
        <w:rPr>
          <w:rFonts w:ascii="Tahoma" w:hAnsi="Tahoma" w:cs="Tahoma"/>
        </w:rPr>
        <w:t>dn</w:t>
      </w:r>
      <w:proofErr w:type="spellEnd"/>
      <w:r>
        <w:rPr>
          <w:rFonts w:ascii="Tahoma" w:hAnsi="Tahoma" w:cs="Tahoma"/>
        </w:rPr>
        <w:t xml:space="preserve">/dt as a function of </w:t>
      </w:r>
      <w:proofErr w:type="spellStart"/>
      <w:r>
        <w:rPr>
          <w:rFonts w:ascii="Tahoma" w:hAnsi="Tahoma" w:cs="Tahoma"/>
        </w:rPr>
        <w:t>dC</w:t>
      </w:r>
      <w:proofErr w:type="spellEnd"/>
      <w:r>
        <w:rPr>
          <w:rFonts w:ascii="Tahoma" w:hAnsi="Tahoma" w:cs="Tahoma"/>
        </w:rPr>
        <w:t xml:space="preserve">/dx for simple diffusion. What is the slope of this line? What do increases or decreases in the slope mean biologically? </w:t>
      </w:r>
    </w:p>
    <w:p w14:paraId="21F55686" w14:textId="77777777" w:rsidR="002E244A" w:rsidRDefault="002E244A" w:rsidP="002E244A">
      <w:pPr>
        <w:pStyle w:val="NormalWeb"/>
        <w:ind w:left="720"/>
        <w:rPr>
          <w:rFonts w:ascii="Tahoma" w:hAnsi="Tahoma" w:cs="Tahoma"/>
        </w:rPr>
      </w:pPr>
      <w:r>
        <w:rPr>
          <w:rFonts w:ascii="Tahoma" w:hAnsi="Tahoma" w:cs="Tahoma"/>
        </w:rPr>
        <w:t xml:space="preserve">Fick’s law: </w:t>
      </w:r>
      <w:proofErr w:type="spellStart"/>
      <w:r>
        <w:rPr>
          <w:rFonts w:ascii="Tahoma" w:hAnsi="Tahoma" w:cs="Tahoma"/>
        </w:rPr>
        <w:t>dn</w:t>
      </w:r>
      <w:proofErr w:type="spellEnd"/>
      <w:r>
        <w:rPr>
          <w:rFonts w:ascii="Tahoma" w:hAnsi="Tahoma" w:cs="Tahoma"/>
        </w:rPr>
        <w:t xml:space="preserve">/dt = P x A x </w:t>
      </w:r>
      <w:proofErr w:type="spellStart"/>
      <w:r>
        <w:rPr>
          <w:rFonts w:ascii="Tahoma" w:hAnsi="Tahoma" w:cs="Tahoma"/>
        </w:rPr>
        <w:t>dC</w:t>
      </w:r>
      <w:proofErr w:type="spellEnd"/>
      <w:r>
        <w:rPr>
          <w:rFonts w:ascii="Tahoma" w:hAnsi="Tahoma" w:cs="Tahoma"/>
        </w:rPr>
        <w:t xml:space="preserve">/dx </w:t>
      </w:r>
    </w:p>
    <w:p w14:paraId="55895BDE" w14:textId="1F4CC591" w:rsidR="002E244A" w:rsidRDefault="00F8774E" w:rsidP="008831D7">
      <w:pPr>
        <w:pStyle w:val="NormalWeb"/>
        <w:spacing w:before="0" w:beforeAutospacing="0" w:after="0" w:afterAutospacing="0"/>
        <w:ind w:left="720"/>
        <w:rPr>
          <w:rFonts w:ascii="Tahoma" w:hAnsi="Tahoma" w:cs="Tahoma"/>
        </w:rPr>
      </w:pPr>
      <w:r>
        <w:rPr>
          <w:rFonts w:ascii="Tahoma" w:hAnsi="Tahoma" w:cs="Tahoma"/>
        </w:rPr>
        <w:t>W</w:t>
      </w:r>
      <w:r w:rsidR="002E244A">
        <w:rPr>
          <w:rFonts w:ascii="Tahoma" w:hAnsi="Tahoma" w:cs="Tahoma"/>
        </w:rPr>
        <w:t>here</w:t>
      </w:r>
      <w:r>
        <w:rPr>
          <w:rFonts w:ascii="Tahoma" w:hAnsi="Tahoma" w:cs="Tahoma"/>
        </w:rPr>
        <w:t>:</w:t>
      </w:r>
    </w:p>
    <w:p w14:paraId="0697D00E" w14:textId="6EED29B5" w:rsidR="002E244A" w:rsidRDefault="002E244A" w:rsidP="008831D7">
      <w:pPr>
        <w:pStyle w:val="NormalWeb"/>
        <w:numPr>
          <w:ilvl w:val="0"/>
          <w:numId w:val="44"/>
        </w:numPr>
        <w:spacing w:before="0" w:beforeAutospacing="0" w:after="0" w:afterAutospacing="0"/>
        <w:rPr>
          <w:rFonts w:ascii="Tahoma" w:hAnsi="Tahoma" w:cs="Tahoma"/>
        </w:rPr>
      </w:pPr>
      <w:r>
        <w:rPr>
          <w:rFonts w:ascii="Tahoma" w:hAnsi="Tahoma" w:cs="Tahoma"/>
        </w:rPr>
        <w:t>P: permeability</w:t>
      </w:r>
    </w:p>
    <w:p w14:paraId="1B65E4AA" w14:textId="56FDD249" w:rsidR="002E244A" w:rsidRDefault="002E244A" w:rsidP="008831D7">
      <w:pPr>
        <w:pStyle w:val="NormalWeb"/>
        <w:numPr>
          <w:ilvl w:val="0"/>
          <w:numId w:val="44"/>
        </w:numPr>
        <w:spacing w:before="0" w:beforeAutospacing="0" w:after="0" w:afterAutospacing="0"/>
        <w:rPr>
          <w:rFonts w:ascii="Tahoma" w:hAnsi="Tahoma" w:cs="Tahoma"/>
        </w:rPr>
      </w:pPr>
      <w:r>
        <w:rPr>
          <w:rFonts w:ascii="Tahoma" w:hAnsi="Tahoma" w:cs="Tahoma"/>
        </w:rPr>
        <w:t>A: area of the cell membrane where diffusion is occurring</w:t>
      </w:r>
    </w:p>
    <w:p w14:paraId="0BA12AE9" w14:textId="77777777" w:rsidR="008831D7" w:rsidRDefault="008831D7" w:rsidP="008929F6">
      <w:pPr>
        <w:pStyle w:val="NormalWeb"/>
        <w:spacing w:before="0" w:beforeAutospacing="0" w:after="0" w:afterAutospacing="0"/>
        <w:ind w:left="720"/>
        <w:rPr>
          <w:rFonts w:ascii="Tahoma" w:hAnsi="Tahoma" w:cs="Tahoma"/>
        </w:rPr>
      </w:pPr>
    </w:p>
    <w:p w14:paraId="627923B8" w14:textId="5C503229" w:rsidR="002E244A" w:rsidRDefault="002E244A" w:rsidP="008929F6">
      <w:pPr>
        <w:pStyle w:val="NormalWeb"/>
        <w:spacing w:before="0" w:beforeAutospacing="0" w:after="0" w:afterAutospacing="0"/>
        <w:ind w:left="720"/>
        <w:rPr>
          <w:rFonts w:ascii="Tahoma" w:hAnsi="Tahoma" w:cs="Tahoma"/>
        </w:rPr>
      </w:pPr>
      <w:r>
        <w:rPr>
          <w:rFonts w:ascii="Tahoma" w:hAnsi="Tahoma" w:cs="Tahoma"/>
        </w:rPr>
        <w:t xml:space="preserve">Since P, and A are constants the rate of diffusion varies linearly with the concentration gradient and </w:t>
      </w:r>
      <w:proofErr w:type="spellStart"/>
      <w:r>
        <w:rPr>
          <w:rFonts w:ascii="Tahoma" w:hAnsi="Tahoma" w:cs="Tahoma"/>
        </w:rPr>
        <w:t>dn</w:t>
      </w:r>
      <w:proofErr w:type="spellEnd"/>
      <w:r>
        <w:rPr>
          <w:rFonts w:ascii="Tahoma" w:hAnsi="Tahoma" w:cs="Tahoma"/>
        </w:rPr>
        <w:t xml:space="preserve">/dt vs. </w:t>
      </w:r>
      <w:proofErr w:type="spellStart"/>
      <w:r>
        <w:rPr>
          <w:rFonts w:ascii="Tahoma" w:hAnsi="Tahoma" w:cs="Tahoma"/>
        </w:rPr>
        <w:t>dC</w:t>
      </w:r>
      <w:proofErr w:type="spellEnd"/>
      <w:r>
        <w:rPr>
          <w:rFonts w:ascii="Tahoma" w:hAnsi="Tahoma" w:cs="Tahoma"/>
        </w:rPr>
        <w:t>/dx is a line with slope: P x A.</w:t>
      </w:r>
    </w:p>
    <w:p w14:paraId="3B4D7814" w14:textId="577E5ECD" w:rsidR="00F8774E" w:rsidRDefault="002551D7" w:rsidP="008929F6">
      <w:pPr>
        <w:pStyle w:val="NormalWeb"/>
        <w:spacing w:before="0" w:beforeAutospacing="0" w:after="0" w:afterAutospacing="0"/>
        <w:ind w:left="720"/>
        <w:rPr>
          <w:rFonts w:ascii="Tahoma" w:hAnsi="Tahoma" w:cs="Tahoma"/>
        </w:rPr>
      </w:pPr>
      <w:r>
        <w:rPr>
          <w:rFonts w:ascii="Tahoma" w:hAnsi="Tahoma" w:cs="Tahoma"/>
        </w:rPr>
        <w:t xml:space="preserve">An increase (similarly decrease) in the slope directly relates to an increase (decrease) in </w:t>
      </w:r>
      <w:r w:rsidR="008E65DF">
        <w:rPr>
          <w:rFonts w:ascii="Tahoma" w:hAnsi="Tahoma" w:cs="Tahoma"/>
        </w:rPr>
        <w:t xml:space="preserve">(P x A) which could </w:t>
      </w:r>
      <w:r w:rsidR="00317718">
        <w:rPr>
          <w:rFonts w:ascii="Tahoma" w:hAnsi="Tahoma" w:cs="Tahoma"/>
        </w:rPr>
        <w:t>result</w:t>
      </w:r>
      <w:r w:rsidR="008E65DF">
        <w:rPr>
          <w:rFonts w:ascii="Tahoma" w:hAnsi="Tahoma" w:cs="Tahoma"/>
        </w:rPr>
        <w:t xml:space="preserve"> from a significant increase </w:t>
      </w:r>
      <w:r w:rsidR="003F7C6D">
        <w:rPr>
          <w:rFonts w:ascii="Tahoma" w:hAnsi="Tahoma" w:cs="Tahoma"/>
        </w:rPr>
        <w:t xml:space="preserve">(decrease) </w:t>
      </w:r>
      <w:r w:rsidR="008E65DF">
        <w:rPr>
          <w:rFonts w:ascii="Tahoma" w:hAnsi="Tahoma" w:cs="Tahoma"/>
        </w:rPr>
        <w:t xml:space="preserve">in </w:t>
      </w:r>
      <w:r>
        <w:rPr>
          <w:rFonts w:ascii="Tahoma" w:hAnsi="Tahoma" w:cs="Tahoma"/>
        </w:rPr>
        <w:t>P, A or both.</w:t>
      </w:r>
      <w:r w:rsidR="00F8774E">
        <w:rPr>
          <w:rFonts w:ascii="Tahoma" w:hAnsi="Tahoma" w:cs="Tahoma"/>
        </w:rPr>
        <w:t xml:space="preserve"> Biologically if permeability or surface area of the cell membrane is greater</w:t>
      </w:r>
      <w:r w:rsidR="00317718">
        <w:rPr>
          <w:rFonts w:ascii="Tahoma" w:hAnsi="Tahoma" w:cs="Tahoma"/>
        </w:rPr>
        <w:t xml:space="preserve"> (lesser)</w:t>
      </w:r>
      <w:r w:rsidR="00F8774E">
        <w:rPr>
          <w:rFonts w:ascii="Tahoma" w:hAnsi="Tahoma" w:cs="Tahoma"/>
        </w:rPr>
        <w:t xml:space="preserve">, the rate of diffusion </w:t>
      </w:r>
      <w:r w:rsidR="008E65DF">
        <w:rPr>
          <w:rFonts w:ascii="Tahoma" w:hAnsi="Tahoma" w:cs="Tahoma"/>
        </w:rPr>
        <w:t>of</w:t>
      </w:r>
      <w:r w:rsidR="00F8774E">
        <w:rPr>
          <w:rFonts w:ascii="Tahoma" w:hAnsi="Tahoma" w:cs="Tahoma"/>
        </w:rPr>
        <w:t xml:space="preserve"> </w:t>
      </w:r>
      <w:r w:rsidR="00960D3E">
        <w:rPr>
          <w:rFonts w:ascii="Tahoma" w:hAnsi="Tahoma" w:cs="Tahoma"/>
        </w:rPr>
        <w:t xml:space="preserve">the </w:t>
      </w:r>
      <w:r w:rsidR="00F8774E">
        <w:rPr>
          <w:rFonts w:ascii="Tahoma" w:hAnsi="Tahoma" w:cs="Tahoma"/>
        </w:rPr>
        <w:t>simple diffusion is increased</w:t>
      </w:r>
      <w:r w:rsidR="00317718">
        <w:rPr>
          <w:rFonts w:ascii="Tahoma" w:hAnsi="Tahoma" w:cs="Tahoma"/>
        </w:rPr>
        <w:t xml:space="preserve"> (decreased)</w:t>
      </w:r>
      <w:r w:rsidR="00F8774E">
        <w:rPr>
          <w:rFonts w:ascii="Tahoma" w:hAnsi="Tahoma" w:cs="Tahoma"/>
        </w:rPr>
        <w:t>.</w:t>
      </w:r>
    </w:p>
    <w:p w14:paraId="023A8474" w14:textId="5D687B2F" w:rsidR="00F8774E" w:rsidRDefault="00F8774E" w:rsidP="003D3461">
      <w:pPr>
        <w:pStyle w:val="NormalWeb"/>
        <w:spacing w:before="0" w:beforeAutospacing="0" w:after="0" w:afterAutospacing="0"/>
        <w:ind w:left="720"/>
        <w:rPr>
          <w:rFonts w:ascii="Tahoma" w:hAnsi="Tahoma" w:cs="Tahoma"/>
        </w:rPr>
      </w:pPr>
      <w:r>
        <w:rPr>
          <w:rFonts w:ascii="Tahoma" w:hAnsi="Tahoma" w:cs="Tahoma"/>
        </w:rPr>
        <w:lastRenderedPageBreak/>
        <w:t>Simple diffusion differs from facilitated diffusion which is subject to saturation and generally follows Michaelis-Menten kinetics.</w:t>
      </w:r>
    </w:p>
    <w:p w14:paraId="3D8A1B71" w14:textId="072913C3" w:rsidR="00696C06" w:rsidRDefault="000D314C" w:rsidP="00696C06">
      <w:pPr>
        <w:pStyle w:val="NormalWeb"/>
        <w:numPr>
          <w:ilvl w:val="1"/>
          <w:numId w:val="42"/>
        </w:numPr>
        <w:rPr>
          <w:rFonts w:ascii="Tahoma" w:hAnsi="Tahoma" w:cs="Tahoma"/>
        </w:rPr>
      </w:pPr>
      <w:r>
        <w:rPr>
          <w:rFonts w:ascii="Tahoma" w:hAnsi="Tahoma" w:cs="Tahoma"/>
        </w:rPr>
        <w:t>Now assume the concentration gradient is a constant. How does the rate of diffusion (</w:t>
      </w:r>
      <w:proofErr w:type="spellStart"/>
      <w:r>
        <w:rPr>
          <w:rFonts w:ascii="Tahoma" w:hAnsi="Tahoma" w:cs="Tahoma"/>
        </w:rPr>
        <w:t>dn</w:t>
      </w:r>
      <w:proofErr w:type="spellEnd"/>
      <w:r>
        <w:rPr>
          <w:rFonts w:ascii="Tahoma" w:hAnsi="Tahoma" w:cs="Tahoma"/>
        </w:rPr>
        <w:t xml:space="preserve">/dt) change with the surface area of the cell and the permeability of the diffusing molecule? Graph </w:t>
      </w:r>
      <w:proofErr w:type="spellStart"/>
      <w:r>
        <w:rPr>
          <w:rFonts w:ascii="Tahoma" w:hAnsi="Tahoma" w:cs="Tahoma"/>
        </w:rPr>
        <w:t>dn</w:t>
      </w:r>
      <w:proofErr w:type="spellEnd"/>
      <w:r>
        <w:rPr>
          <w:rFonts w:ascii="Tahoma" w:hAnsi="Tahoma" w:cs="Tahoma"/>
        </w:rPr>
        <w:t xml:space="preserve">/dt as a function of A or P and describe the function. </w:t>
      </w:r>
    </w:p>
    <w:p w14:paraId="4DE7DB08" w14:textId="6FCBDF6E" w:rsidR="00F5423A" w:rsidRDefault="00EA7FC5" w:rsidP="00F5423A">
      <w:pPr>
        <w:pStyle w:val="NormalWeb"/>
        <w:rPr>
          <w:rFonts w:ascii="Tahoma" w:hAnsi="Tahoma" w:cs="Tahoma"/>
        </w:rPr>
      </w:pPr>
      <w:r>
        <w:rPr>
          <w:rFonts w:ascii="Tahoma" w:hAnsi="Tahoma" w:cs="Tahoma"/>
        </w:rPr>
        <w:t>Given</w:t>
      </w:r>
      <w:r w:rsidR="00F5423A">
        <w:rPr>
          <w:rFonts w:ascii="Tahoma" w:hAnsi="Tahoma" w:cs="Tahoma"/>
        </w:rPr>
        <w:t xml:space="preserve"> </w:t>
      </w:r>
      <w:r w:rsidR="00684FFD">
        <w:rPr>
          <w:rFonts w:ascii="Tahoma" w:hAnsi="Tahoma" w:cs="Tahoma"/>
        </w:rPr>
        <w:t>a constan</w:t>
      </w:r>
      <w:r w:rsidR="00990BB1">
        <w:rPr>
          <w:rFonts w:ascii="Tahoma" w:hAnsi="Tahoma" w:cs="Tahoma"/>
        </w:rPr>
        <w:t>t</w:t>
      </w:r>
      <w:r w:rsidR="00684FFD">
        <w:rPr>
          <w:rFonts w:ascii="Tahoma" w:hAnsi="Tahoma" w:cs="Tahoma"/>
        </w:rPr>
        <w:t xml:space="preserve"> </w:t>
      </w:r>
      <w:r w:rsidR="00F5423A">
        <w:rPr>
          <w:rFonts w:ascii="Tahoma" w:hAnsi="Tahoma" w:cs="Tahoma"/>
        </w:rPr>
        <w:t>concentration gradient</w:t>
      </w:r>
      <w:r w:rsidR="00684FFD">
        <w:rPr>
          <w:rFonts w:ascii="Tahoma" w:hAnsi="Tahoma" w:cs="Tahoma"/>
        </w:rPr>
        <w:t xml:space="preserve">, </w:t>
      </w:r>
      <w:r w:rsidR="00684FFD" w:rsidRPr="00B86780">
        <w:rPr>
          <w:rFonts w:ascii="Tahoma" w:hAnsi="Tahoma" w:cs="Tahoma"/>
        </w:rPr>
        <w:t>C</w:t>
      </w:r>
      <w:r w:rsidR="00684FFD" w:rsidRPr="00B86780">
        <w:rPr>
          <w:rFonts w:ascii="Tahoma" w:hAnsi="Tahoma" w:cs="Tahoma"/>
          <w:vertAlign w:val="subscript"/>
        </w:rPr>
        <w:t>0</w:t>
      </w:r>
      <w:r w:rsidR="007C1DDA">
        <w:rPr>
          <w:rFonts w:ascii="Tahoma" w:hAnsi="Tahoma" w:cs="Tahoma"/>
        </w:rPr>
        <w:t>;</w:t>
      </w:r>
      <w:r w:rsidR="00F5423A">
        <w:rPr>
          <w:rFonts w:ascii="Tahoma" w:hAnsi="Tahoma" w:cs="Tahoma"/>
        </w:rPr>
        <w:t xml:space="preserve"> as we saw in part a, the rate of diffusion change</w:t>
      </w:r>
      <w:r w:rsidR="007C1DDA">
        <w:rPr>
          <w:rFonts w:ascii="Tahoma" w:hAnsi="Tahoma" w:cs="Tahoma"/>
        </w:rPr>
        <w:t>s</w:t>
      </w:r>
      <w:r w:rsidR="00F5423A">
        <w:rPr>
          <w:rFonts w:ascii="Tahoma" w:hAnsi="Tahoma" w:cs="Tahoma"/>
        </w:rPr>
        <w:t xml:space="preserve"> linearly with a change in permeability P, or area A. We can then express the rate of diffusion</w:t>
      </w:r>
      <w:r>
        <w:rPr>
          <w:rFonts w:ascii="Tahoma" w:hAnsi="Tahoma" w:cs="Tahoma"/>
        </w:rPr>
        <w:t>;</w:t>
      </w:r>
      <w:r w:rsidR="00F5423A">
        <w:rPr>
          <w:rFonts w:ascii="Tahoma" w:hAnsi="Tahoma" w:cs="Tahoma"/>
        </w:rPr>
        <w:t xml:space="preserve"> given a constant concentration gradient</w:t>
      </w:r>
      <w:r w:rsidR="007C1DDA">
        <w:rPr>
          <w:rFonts w:ascii="Tahoma" w:hAnsi="Tahoma" w:cs="Tahoma"/>
        </w:rPr>
        <w:t xml:space="preserve"> to a</w:t>
      </w:r>
      <w:r w:rsidR="00131693">
        <w:rPr>
          <w:rFonts w:ascii="Tahoma" w:hAnsi="Tahoma" w:cs="Tahoma"/>
        </w:rPr>
        <w:t xml:space="preserve"> change</w:t>
      </w:r>
      <w:r w:rsidR="00F5423A">
        <w:rPr>
          <w:rFonts w:ascii="Tahoma" w:hAnsi="Tahoma" w:cs="Tahoma"/>
        </w:rPr>
        <w:t xml:space="preserve"> in P or A:</w:t>
      </w:r>
    </w:p>
    <w:p w14:paraId="6659B8A6" w14:textId="6212EE39" w:rsidR="00B86780" w:rsidRDefault="00F5423A" w:rsidP="00F5423A">
      <w:pPr>
        <w:pStyle w:val="NormalWeb"/>
        <w:rPr>
          <w:rFonts w:ascii="Tahoma" w:hAnsi="Tahoma" w:cs="Tahoma"/>
        </w:rPr>
      </w:pPr>
      <w:proofErr w:type="spellStart"/>
      <w:r>
        <w:rPr>
          <w:rFonts w:ascii="Tahoma" w:hAnsi="Tahoma" w:cs="Tahoma"/>
        </w:rPr>
        <w:t>dn</w:t>
      </w:r>
      <w:proofErr w:type="spellEnd"/>
      <w:r>
        <w:rPr>
          <w:rFonts w:ascii="Tahoma" w:hAnsi="Tahoma" w:cs="Tahoma"/>
        </w:rPr>
        <w:t>/dt = K</w:t>
      </w:r>
      <w:r w:rsidRPr="00F5423A">
        <w:rPr>
          <w:rFonts w:ascii="Tahoma" w:hAnsi="Tahoma" w:cs="Tahoma"/>
          <w:vertAlign w:val="subscript"/>
        </w:rPr>
        <w:t>1</w:t>
      </w:r>
      <w:r>
        <w:rPr>
          <w:rFonts w:ascii="Tahoma" w:hAnsi="Tahoma" w:cs="Tahoma"/>
        </w:rPr>
        <w:t xml:space="preserve"> x </w:t>
      </w:r>
      <w:proofErr w:type="spellStart"/>
      <w:r>
        <w:rPr>
          <w:rFonts w:ascii="Tahoma" w:hAnsi="Tahoma" w:cs="Tahoma"/>
        </w:rPr>
        <w:t>dP</w:t>
      </w:r>
      <w:proofErr w:type="spellEnd"/>
      <w:r w:rsidR="0085520A">
        <w:rPr>
          <w:rFonts w:ascii="Tahoma" w:hAnsi="Tahoma" w:cs="Tahoma"/>
        </w:rPr>
        <w:t>/dx</w:t>
      </w:r>
      <w:r>
        <w:rPr>
          <w:rFonts w:ascii="Tahoma" w:hAnsi="Tahoma" w:cs="Tahoma"/>
        </w:rPr>
        <w:t xml:space="preserve"> and </w:t>
      </w:r>
      <w:proofErr w:type="spellStart"/>
      <w:r>
        <w:rPr>
          <w:rFonts w:ascii="Tahoma" w:hAnsi="Tahoma" w:cs="Tahoma"/>
        </w:rPr>
        <w:t>dn</w:t>
      </w:r>
      <w:proofErr w:type="spellEnd"/>
      <w:r>
        <w:rPr>
          <w:rFonts w:ascii="Tahoma" w:hAnsi="Tahoma" w:cs="Tahoma"/>
        </w:rPr>
        <w:t>/dt = K</w:t>
      </w:r>
      <w:r w:rsidRPr="00F5423A">
        <w:rPr>
          <w:rFonts w:ascii="Tahoma" w:hAnsi="Tahoma" w:cs="Tahoma"/>
          <w:vertAlign w:val="subscript"/>
        </w:rPr>
        <w:t>2</w:t>
      </w:r>
      <w:r>
        <w:rPr>
          <w:rFonts w:ascii="Tahoma" w:hAnsi="Tahoma" w:cs="Tahoma"/>
        </w:rPr>
        <w:t xml:space="preserve"> x </w:t>
      </w:r>
      <w:proofErr w:type="spellStart"/>
      <w:r>
        <w:rPr>
          <w:rFonts w:ascii="Tahoma" w:hAnsi="Tahoma" w:cs="Tahoma"/>
        </w:rPr>
        <w:t>dA</w:t>
      </w:r>
      <w:proofErr w:type="spellEnd"/>
      <w:r w:rsidR="0085520A">
        <w:rPr>
          <w:rFonts w:ascii="Tahoma" w:hAnsi="Tahoma" w:cs="Tahoma"/>
        </w:rPr>
        <w:t>/dx</w:t>
      </w:r>
      <w:r>
        <w:rPr>
          <w:rFonts w:ascii="Tahoma" w:hAnsi="Tahoma" w:cs="Tahoma"/>
        </w:rPr>
        <w:t xml:space="preserve"> </w:t>
      </w:r>
    </w:p>
    <w:p w14:paraId="3E01C91A" w14:textId="2EE18DD8" w:rsidR="007D5E49" w:rsidRDefault="00F5423A" w:rsidP="00F5423A">
      <w:pPr>
        <w:pStyle w:val="NormalWeb"/>
        <w:rPr>
          <w:rFonts w:ascii="Tahoma" w:hAnsi="Tahoma" w:cs="Tahoma"/>
        </w:rPr>
      </w:pPr>
      <w:r>
        <w:rPr>
          <w:rFonts w:ascii="Tahoma" w:hAnsi="Tahoma" w:cs="Tahoma"/>
        </w:rPr>
        <w:t xml:space="preserve">where </w:t>
      </w:r>
      <w:r w:rsidR="00B86780">
        <w:rPr>
          <w:rFonts w:ascii="Tahoma" w:hAnsi="Tahoma" w:cs="Tahoma"/>
        </w:rPr>
        <w:t>K</w:t>
      </w:r>
      <w:r w:rsidR="00B86780" w:rsidRPr="00B86780">
        <w:rPr>
          <w:rFonts w:ascii="Tahoma" w:hAnsi="Tahoma" w:cs="Tahoma"/>
          <w:vertAlign w:val="subscript"/>
        </w:rPr>
        <w:t>1</w:t>
      </w:r>
      <w:r w:rsidR="00B86780">
        <w:rPr>
          <w:rFonts w:ascii="Tahoma" w:hAnsi="Tahoma" w:cs="Tahoma"/>
        </w:rPr>
        <w:t>,</w:t>
      </w:r>
      <w:r w:rsidR="00A25E91">
        <w:rPr>
          <w:rFonts w:ascii="Tahoma" w:hAnsi="Tahoma" w:cs="Tahoma"/>
        </w:rPr>
        <w:t xml:space="preserve"> </w:t>
      </w:r>
      <w:r w:rsidR="00B86780">
        <w:rPr>
          <w:rFonts w:ascii="Tahoma" w:hAnsi="Tahoma" w:cs="Tahoma"/>
        </w:rPr>
        <w:t>K</w:t>
      </w:r>
      <w:r w:rsidR="00B86780" w:rsidRPr="00B86780">
        <w:rPr>
          <w:rFonts w:ascii="Tahoma" w:hAnsi="Tahoma" w:cs="Tahoma"/>
          <w:vertAlign w:val="subscript"/>
        </w:rPr>
        <w:t>2</w:t>
      </w:r>
      <w:r w:rsidR="00B86780">
        <w:rPr>
          <w:rFonts w:ascii="Tahoma" w:hAnsi="Tahoma" w:cs="Tahoma"/>
        </w:rPr>
        <w:t xml:space="preserve"> = constants</w:t>
      </w:r>
    </w:p>
    <w:p w14:paraId="7E653CC4" w14:textId="2AEAE79F" w:rsidR="00EA7FC5" w:rsidRDefault="00EA7FC5" w:rsidP="00F5423A">
      <w:pPr>
        <w:pStyle w:val="NormalWeb"/>
        <w:rPr>
          <w:rFonts w:ascii="Tahoma" w:hAnsi="Tahoma" w:cs="Tahoma"/>
        </w:rPr>
      </w:pPr>
      <w:r>
        <w:rPr>
          <w:rFonts w:ascii="Tahoma" w:hAnsi="Tahoma" w:cs="Tahoma"/>
        </w:rPr>
        <w:t xml:space="preserve">The two plots below show a linear relationship between a change in rate diffusion and </w:t>
      </w:r>
      <w:r w:rsidR="0059090B">
        <w:rPr>
          <w:rFonts w:ascii="Tahoma" w:hAnsi="Tahoma" w:cs="Tahoma"/>
        </w:rPr>
        <w:t xml:space="preserve">a </w:t>
      </w:r>
      <w:r>
        <w:rPr>
          <w:rFonts w:ascii="Tahoma" w:hAnsi="Tahoma" w:cs="Tahoma"/>
        </w:rPr>
        <w:t>change in A or P.</w:t>
      </w:r>
    </w:p>
    <w:tbl>
      <w:tblPr>
        <w:tblStyle w:val="TableGrid"/>
        <w:tblW w:w="0" w:type="auto"/>
        <w:tblLook w:val="04A0" w:firstRow="1" w:lastRow="0" w:firstColumn="1" w:lastColumn="0" w:noHBand="0" w:noVBand="1"/>
      </w:tblPr>
      <w:tblGrid>
        <w:gridCol w:w="4675"/>
        <w:gridCol w:w="4675"/>
      </w:tblGrid>
      <w:tr w:rsidR="007D5E49" w14:paraId="30681EDE" w14:textId="77777777" w:rsidTr="007D5E49">
        <w:tc>
          <w:tcPr>
            <w:tcW w:w="4675" w:type="dxa"/>
            <w:tcBorders>
              <w:top w:val="nil"/>
              <w:left w:val="nil"/>
              <w:bottom w:val="nil"/>
              <w:right w:val="nil"/>
            </w:tcBorders>
          </w:tcPr>
          <w:p w14:paraId="4CAFACFA" w14:textId="48D52366" w:rsidR="007D5E49" w:rsidRDefault="007D5E49" w:rsidP="00F5423A">
            <w:pPr>
              <w:pStyle w:val="NormalWeb"/>
              <w:rPr>
                <w:rFonts w:ascii="Tahoma" w:hAnsi="Tahoma" w:cs="Tahoma"/>
              </w:rPr>
            </w:pPr>
            <w:r>
              <w:rPr>
                <w:rFonts w:ascii="Tahoma" w:hAnsi="Tahoma" w:cs="Tahoma"/>
                <w:noProof/>
              </w:rPr>
              <mc:AlternateContent>
                <mc:Choice Requires="wps">
                  <w:drawing>
                    <wp:anchor distT="0" distB="0" distL="114300" distR="114300" simplePos="0" relativeHeight="251660288" behindDoc="0" locked="0" layoutInCell="1" allowOverlap="1" wp14:anchorId="6C98DE2D" wp14:editId="4BA83513">
                      <wp:simplePos x="0" y="0"/>
                      <wp:positionH relativeFrom="column">
                        <wp:posOffset>436880</wp:posOffset>
                      </wp:positionH>
                      <wp:positionV relativeFrom="paragraph">
                        <wp:posOffset>1938251</wp:posOffset>
                      </wp:positionV>
                      <wp:extent cx="1309255" cy="280555"/>
                      <wp:effectExtent l="0" t="0" r="12065" b="12065"/>
                      <wp:wrapNone/>
                      <wp:docPr id="6" name="Text Box 6"/>
                      <wp:cNvGraphicFramePr/>
                      <a:graphic xmlns:a="http://schemas.openxmlformats.org/drawingml/2006/main">
                        <a:graphicData uri="http://schemas.microsoft.com/office/word/2010/wordprocessingShape">
                          <wps:wsp>
                            <wps:cNvSpPr txBox="1"/>
                            <wps:spPr>
                              <a:xfrm>
                                <a:off x="0" y="0"/>
                                <a:ext cx="1309255" cy="280555"/>
                              </a:xfrm>
                              <a:prstGeom prst="rect">
                                <a:avLst/>
                              </a:prstGeom>
                              <a:solidFill>
                                <a:schemeClr val="lt1"/>
                              </a:solidFill>
                              <a:ln w="6350">
                                <a:solidFill>
                                  <a:prstClr val="black"/>
                                </a:solidFill>
                              </a:ln>
                            </wps:spPr>
                            <wps:txbx>
                              <w:txbxContent>
                                <w:p w14:paraId="64EC663C" w14:textId="18986043" w:rsidR="007D5E49" w:rsidRPr="007D5E49" w:rsidRDefault="007D5E49">
                                  <w:pPr>
                                    <w:rPr>
                                      <w:rFonts w:ascii="Tahoma" w:hAnsi="Tahoma" w:cs="Tahoma"/>
                                    </w:rPr>
                                  </w:pPr>
                                  <w:r w:rsidRPr="007D5E49">
                                    <w:rPr>
                                      <w:rFonts w:ascii="Tahoma" w:hAnsi="Tahoma" w:cs="Tahoma"/>
                                    </w:rPr>
                                    <w:t>Change in A</w:t>
                                  </w:r>
                                </w:p>
                                <w:p w14:paraId="04B601FD" w14:textId="1997B5C8" w:rsidR="007D5E49" w:rsidRDefault="007D5E49"/>
                                <w:p w14:paraId="6C256EA1" w14:textId="77777777" w:rsidR="007D5E49" w:rsidRDefault="007D5E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98DE2D" id="_x0000_t202" coordsize="21600,21600" o:spt="202" path="m,l,21600r21600,l21600,xe">
                      <v:stroke joinstyle="miter"/>
                      <v:path gradientshapeok="t" o:connecttype="rect"/>
                    </v:shapetype>
                    <v:shape id="Text Box 6" o:spid="_x0000_s1026" type="#_x0000_t202" style="position:absolute;margin-left:34.4pt;margin-top:152.6pt;width:103.1pt;height:2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" fillcolor="white [3201]" strokeweight=".5pt">
                      <v:textbox>
                        <w:txbxContent>
                          <w:p w14:paraId="64EC663C" w14:textId="18986043" w:rsidR="007D5E49" w:rsidRPr="007D5E49" w:rsidRDefault="007D5E49">
                            <w:pPr>
                              <w:rPr>
                                <w:rFonts w:ascii="Tahoma" w:hAnsi="Tahoma" w:cs="Tahoma"/>
                              </w:rPr>
                            </w:pPr>
                            <w:r w:rsidRPr="007D5E49">
                              <w:rPr>
                                <w:rFonts w:ascii="Tahoma" w:hAnsi="Tahoma" w:cs="Tahoma"/>
                              </w:rPr>
                              <w:t>Change in A</w:t>
                            </w:r>
                          </w:p>
                          <w:p w14:paraId="04B601FD" w14:textId="1997B5C8" w:rsidR="007D5E49" w:rsidRDefault="007D5E49"/>
                          <w:p w14:paraId="6C256EA1" w14:textId="77777777" w:rsidR="007D5E49" w:rsidRDefault="007D5E49"/>
                        </w:txbxContent>
                      </v:textbox>
                    </v:shape>
                  </w:pict>
                </mc:Fallback>
              </mc:AlternateContent>
            </w:r>
            <w:r>
              <w:rPr>
                <w:rFonts w:ascii="Tahoma" w:hAnsi="Tahoma" w:cs="Tahoma"/>
                <w:noProof/>
              </w:rPr>
              <w:drawing>
                <wp:inline distT="0" distB="0" distL="0" distR="0" wp14:anchorId="2E1CB0F2" wp14:editId="38C87497">
                  <wp:extent cx="2537327" cy="2317172"/>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67902" cy="2345094"/>
                          </a:xfrm>
                          <a:prstGeom prst="rect">
                            <a:avLst/>
                          </a:prstGeom>
                        </pic:spPr>
                      </pic:pic>
                    </a:graphicData>
                  </a:graphic>
                </wp:inline>
              </w:drawing>
            </w:r>
          </w:p>
        </w:tc>
        <w:tc>
          <w:tcPr>
            <w:tcW w:w="4675" w:type="dxa"/>
            <w:tcBorders>
              <w:top w:val="nil"/>
              <w:left w:val="nil"/>
              <w:bottom w:val="nil"/>
              <w:right w:val="nil"/>
            </w:tcBorders>
          </w:tcPr>
          <w:p w14:paraId="0A8BCDF0" w14:textId="5BF13DE3" w:rsidR="007D5E49" w:rsidRDefault="007D5E49" w:rsidP="00F5423A">
            <w:pPr>
              <w:pStyle w:val="NormalWeb"/>
              <w:rPr>
                <w:rFonts w:ascii="Tahoma" w:hAnsi="Tahoma" w:cs="Tahoma"/>
              </w:rPr>
            </w:pPr>
            <w:r>
              <w:rPr>
                <w:rFonts w:ascii="Tahoma" w:hAnsi="Tahoma" w:cs="Tahoma"/>
                <w:noProof/>
              </w:rPr>
              <mc:AlternateContent>
                <mc:Choice Requires="wps">
                  <w:drawing>
                    <wp:anchor distT="0" distB="0" distL="114300" distR="114300" simplePos="0" relativeHeight="251662336" behindDoc="0" locked="0" layoutInCell="1" allowOverlap="1" wp14:anchorId="695EB017" wp14:editId="7F505316">
                      <wp:simplePos x="0" y="0"/>
                      <wp:positionH relativeFrom="column">
                        <wp:posOffset>430183</wp:posOffset>
                      </wp:positionH>
                      <wp:positionV relativeFrom="paragraph">
                        <wp:posOffset>1938367</wp:posOffset>
                      </wp:positionV>
                      <wp:extent cx="1309255" cy="280555"/>
                      <wp:effectExtent l="0" t="0" r="12065" b="12065"/>
                      <wp:wrapNone/>
                      <wp:docPr id="7" name="Text Box 7"/>
                      <wp:cNvGraphicFramePr/>
                      <a:graphic xmlns:a="http://schemas.openxmlformats.org/drawingml/2006/main">
                        <a:graphicData uri="http://schemas.microsoft.com/office/word/2010/wordprocessingShape">
                          <wps:wsp>
                            <wps:cNvSpPr txBox="1"/>
                            <wps:spPr>
                              <a:xfrm>
                                <a:off x="0" y="0"/>
                                <a:ext cx="1309255" cy="280555"/>
                              </a:xfrm>
                              <a:prstGeom prst="rect">
                                <a:avLst/>
                              </a:prstGeom>
                              <a:solidFill>
                                <a:schemeClr val="lt1"/>
                              </a:solidFill>
                              <a:ln w="6350">
                                <a:solidFill>
                                  <a:prstClr val="black"/>
                                </a:solidFill>
                              </a:ln>
                            </wps:spPr>
                            <wps:txbx>
                              <w:txbxContent>
                                <w:p w14:paraId="3A2FA0CB" w14:textId="104640A0" w:rsidR="007D5E49" w:rsidRPr="007D5E49" w:rsidRDefault="007D5E49" w:rsidP="007D5E49">
                                  <w:pPr>
                                    <w:rPr>
                                      <w:rFonts w:ascii="Tahoma" w:hAnsi="Tahoma" w:cs="Tahoma"/>
                                    </w:rPr>
                                  </w:pPr>
                                  <w:r w:rsidRPr="007D5E49">
                                    <w:rPr>
                                      <w:rFonts w:ascii="Tahoma" w:hAnsi="Tahoma" w:cs="Tahoma"/>
                                    </w:rPr>
                                    <w:t xml:space="preserve">Change in </w:t>
                                  </w:r>
                                  <w:r>
                                    <w:rPr>
                                      <w:rFonts w:ascii="Tahoma" w:hAnsi="Tahoma" w:cs="Tahoma"/>
                                    </w:rPr>
                                    <w:t>P</w:t>
                                  </w:r>
                                </w:p>
                                <w:p w14:paraId="50385D0B" w14:textId="77777777" w:rsidR="007D5E49" w:rsidRDefault="007D5E49" w:rsidP="007D5E49"/>
                                <w:p w14:paraId="1D564BE9" w14:textId="77777777" w:rsidR="007D5E49" w:rsidRDefault="007D5E49" w:rsidP="007D5E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EB017" id="Text Box 7" o:spid="_x0000_s1027" type="#_x0000_t202" style="position:absolute;margin-left:33.85pt;margin-top:152.65pt;width:103.1pt;height:2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" fillcolor="white [3201]" strokeweight=".5pt">
                      <v:textbox>
                        <w:txbxContent>
                          <w:p w14:paraId="3A2FA0CB" w14:textId="104640A0" w:rsidR="007D5E49" w:rsidRPr="007D5E49" w:rsidRDefault="007D5E49" w:rsidP="007D5E49">
                            <w:pPr>
                              <w:rPr>
                                <w:rFonts w:ascii="Tahoma" w:hAnsi="Tahoma" w:cs="Tahoma"/>
                              </w:rPr>
                            </w:pPr>
                            <w:r w:rsidRPr="007D5E49">
                              <w:rPr>
                                <w:rFonts w:ascii="Tahoma" w:hAnsi="Tahoma" w:cs="Tahoma"/>
                              </w:rPr>
                              <w:t xml:space="preserve">Change in </w:t>
                            </w:r>
                            <w:r>
                              <w:rPr>
                                <w:rFonts w:ascii="Tahoma" w:hAnsi="Tahoma" w:cs="Tahoma"/>
                              </w:rPr>
                              <w:t>P</w:t>
                            </w:r>
                          </w:p>
                          <w:p w14:paraId="50385D0B" w14:textId="77777777" w:rsidR="007D5E49" w:rsidRDefault="007D5E49" w:rsidP="007D5E49"/>
                          <w:p w14:paraId="1D564BE9" w14:textId="77777777" w:rsidR="007D5E49" w:rsidRDefault="007D5E49" w:rsidP="007D5E49"/>
                        </w:txbxContent>
                      </v:textbox>
                    </v:shape>
                  </w:pict>
                </mc:Fallback>
              </mc:AlternateContent>
            </w:r>
            <w:r>
              <w:rPr>
                <w:rFonts w:ascii="Tahoma" w:hAnsi="Tahoma" w:cs="Tahoma"/>
                <w:noProof/>
              </w:rPr>
              <w:drawing>
                <wp:inline distT="0" distB="0" distL="0" distR="0" wp14:anchorId="0602CD56" wp14:editId="348C1869">
                  <wp:extent cx="2537327" cy="231717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567902" cy="2345094"/>
                          </a:xfrm>
                          <a:prstGeom prst="rect">
                            <a:avLst/>
                          </a:prstGeom>
                        </pic:spPr>
                      </pic:pic>
                    </a:graphicData>
                  </a:graphic>
                </wp:inline>
              </w:drawing>
            </w:r>
          </w:p>
        </w:tc>
      </w:tr>
    </w:tbl>
    <w:p w14:paraId="175F8720" w14:textId="6F7F2BA2" w:rsidR="00F5423A" w:rsidRPr="00696C06" w:rsidRDefault="00F5423A" w:rsidP="00F5423A">
      <w:pPr>
        <w:pStyle w:val="NormalWeb"/>
        <w:rPr>
          <w:rFonts w:ascii="Tahoma" w:hAnsi="Tahoma" w:cs="Tahoma"/>
        </w:rPr>
      </w:pPr>
    </w:p>
    <w:p w14:paraId="4895ADE8" w14:textId="0F74A350" w:rsidR="000D314C" w:rsidRDefault="000D314C" w:rsidP="000D314C">
      <w:pPr>
        <w:pStyle w:val="NormalWeb"/>
        <w:numPr>
          <w:ilvl w:val="0"/>
          <w:numId w:val="42"/>
        </w:numPr>
        <w:rPr>
          <w:rFonts w:ascii="Tahoma" w:hAnsi="Tahoma" w:cs="Tahoma"/>
        </w:rPr>
      </w:pPr>
      <w:r>
        <w:rPr>
          <w:rFonts w:ascii="Tahoma" w:hAnsi="Tahoma" w:cs="Tahoma"/>
        </w:rPr>
        <w:t xml:space="preserve">Describe 3 principles of bioreactor design used in bioreactors for creating functional tissues – one of your three may be from Dr. Grayson’s lecture (improved mass transfer or </w:t>
      </w:r>
      <w:proofErr w:type="spellStart"/>
      <w:r>
        <w:rPr>
          <w:rFonts w:ascii="Tahoma" w:hAnsi="Tahoma" w:cs="Tahoma"/>
        </w:rPr>
        <w:t>biostimulation</w:t>
      </w:r>
      <w:proofErr w:type="spellEnd"/>
      <w:r>
        <w:rPr>
          <w:rFonts w:ascii="Tahoma" w:hAnsi="Tahoma" w:cs="Tahoma"/>
        </w:rPr>
        <w:t xml:space="preserve">), and the other two you will need to independently research. In each description explain what the principle is, why it is important and some ways that bioreactors are being designed to meet that principle. </w:t>
      </w:r>
    </w:p>
    <w:p w14:paraId="4EDECB58" w14:textId="47273EA8" w:rsidR="00EF1A9D" w:rsidRDefault="00F257E4" w:rsidP="005E019D">
      <w:pPr>
        <w:pStyle w:val="NormalWeb"/>
        <w:numPr>
          <w:ilvl w:val="0"/>
          <w:numId w:val="43"/>
        </w:numPr>
        <w:spacing w:before="0" w:beforeAutospacing="0" w:after="0" w:afterAutospacing="0"/>
        <w:rPr>
          <w:rFonts w:ascii="Tahoma" w:hAnsi="Tahoma" w:cs="Tahoma"/>
        </w:rPr>
      </w:pPr>
      <w:r w:rsidRPr="005E019D">
        <w:rPr>
          <w:rFonts w:ascii="Tahoma" w:hAnsi="Tahoma" w:cs="Tahoma"/>
          <w:b/>
          <w:bCs/>
        </w:rPr>
        <w:t>The perfusion bioreactor</w:t>
      </w:r>
      <w:r w:rsidR="00EF1A9D">
        <w:rPr>
          <w:rFonts w:ascii="Tahoma" w:hAnsi="Tahoma" w:cs="Tahoma"/>
        </w:rPr>
        <w:t>:</w:t>
      </w:r>
      <w:r>
        <w:rPr>
          <w:rFonts w:ascii="Tahoma" w:hAnsi="Tahoma" w:cs="Tahoma"/>
        </w:rPr>
        <w:t xml:space="preserve"> </w:t>
      </w:r>
      <w:r w:rsidR="006A464B">
        <w:rPr>
          <w:rFonts w:ascii="Tahoma" w:hAnsi="Tahoma" w:cs="Tahoma"/>
        </w:rPr>
        <w:t xml:space="preserve">is a modified version of a Petri dish, containing up to 6 wells where the scaffolds sit. The wells are arranged radially. When the culture medium enters at the center of the system, it is distributed to channels leading to the wells along the interstitial spaces of the porous scaffolds; which contains seeded </w:t>
      </w:r>
      <w:r w:rsidR="006A464B">
        <w:rPr>
          <w:rFonts w:ascii="Tahoma" w:hAnsi="Tahoma" w:cs="Tahoma"/>
        </w:rPr>
        <w:lastRenderedPageBreak/>
        <w:t>cells (</w:t>
      </w:r>
      <w:r w:rsidR="00AC26A0">
        <w:rPr>
          <w:rFonts w:ascii="Tahoma" w:hAnsi="Tahoma" w:cs="Tahoma"/>
        </w:rPr>
        <w:t>e.g.,</w:t>
      </w:r>
      <w:r w:rsidR="006A464B">
        <w:rPr>
          <w:rFonts w:ascii="Tahoma" w:hAnsi="Tahoma" w:cs="Tahoma"/>
        </w:rPr>
        <w:t xml:space="preserve"> bone cells)</w:t>
      </w:r>
      <w:r w:rsidR="00A64215">
        <w:rPr>
          <w:rFonts w:ascii="Tahoma" w:hAnsi="Tahoma" w:cs="Tahoma"/>
        </w:rPr>
        <w:t>. It</w:t>
      </w:r>
      <w:r w:rsidR="006A464B">
        <w:rPr>
          <w:rFonts w:ascii="Tahoma" w:hAnsi="Tahoma" w:cs="Tahoma"/>
        </w:rPr>
        <w:t xml:space="preserve"> follow</w:t>
      </w:r>
      <w:r w:rsidR="00A64215">
        <w:rPr>
          <w:rFonts w:ascii="Tahoma" w:hAnsi="Tahoma" w:cs="Tahoma"/>
        </w:rPr>
        <w:t>s</w:t>
      </w:r>
      <w:r w:rsidR="006A464B">
        <w:rPr>
          <w:rFonts w:ascii="Tahoma" w:hAnsi="Tahoma" w:cs="Tahoma"/>
        </w:rPr>
        <w:t xml:space="preserve"> </w:t>
      </w:r>
      <w:r w:rsidR="00AC26A0">
        <w:rPr>
          <w:rFonts w:ascii="Tahoma" w:hAnsi="Tahoma" w:cs="Tahoma"/>
        </w:rPr>
        <w:t>turbulent</w:t>
      </w:r>
      <w:r w:rsidR="006A464B">
        <w:rPr>
          <w:rFonts w:ascii="Tahoma" w:hAnsi="Tahoma" w:cs="Tahoma"/>
        </w:rPr>
        <w:t xml:space="preserve"> flow paths controlled by the architecture of the scaffolds; exposing the cells to shear stress. The medium is then recycled, reoxygenated and reinjected back into the bioreactor. </w:t>
      </w:r>
      <w:r w:rsidR="00374278">
        <w:rPr>
          <w:rFonts w:ascii="Tahoma" w:hAnsi="Tahoma" w:cs="Tahoma"/>
        </w:rPr>
        <w:t>With this design, t</w:t>
      </w:r>
      <w:r w:rsidR="006A464B">
        <w:rPr>
          <w:rFonts w:ascii="Tahoma" w:hAnsi="Tahoma" w:cs="Tahoma"/>
        </w:rPr>
        <w:t xml:space="preserve">he bioreactor provides convective flow through the entire system improving nutrients, oxygen delivery through all the cells within the construct.  </w:t>
      </w:r>
      <w:r w:rsidR="00AC26A0">
        <w:rPr>
          <w:rFonts w:ascii="Tahoma" w:hAnsi="Tahoma" w:cs="Tahoma"/>
        </w:rPr>
        <w:t xml:space="preserve">Number of cells cultured in this bioreactor compared to </w:t>
      </w:r>
      <w:r w:rsidR="001F4D65">
        <w:rPr>
          <w:rFonts w:ascii="Tahoma" w:hAnsi="Tahoma" w:cs="Tahoma"/>
        </w:rPr>
        <w:t xml:space="preserve">a </w:t>
      </w:r>
      <w:r w:rsidR="00AC26A0">
        <w:rPr>
          <w:rFonts w:ascii="Tahoma" w:hAnsi="Tahoma" w:cs="Tahoma"/>
        </w:rPr>
        <w:t xml:space="preserve">static bioreactor; doubles; and depending the flow dynamics form increasing complex tissues. </w:t>
      </w:r>
    </w:p>
    <w:p w14:paraId="17CA9178" w14:textId="374D4437" w:rsidR="005E019D" w:rsidRDefault="00D06593" w:rsidP="00616E78">
      <w:pPr>
        <w:pStyle w:val="NormalWeb"/>
        <w:numPr>
          <w:ilvl w:val="0"/>
          <w:numId w:val="43"/>
        </w:numPr>
        <w:spacing w:before="0" w:beforeAutospacing="0" w:after="0" w:afterAutospacing="0"/>
        <w:rPr>
          <w:rFonts w:ascii="Tahoma" w:hAnsi="Tahoma" w:cs="Tahoma"/>
        </w:rPr>
      </w:pPr>
      <w:r w:rsidRPr="005E019D">
        <w:rPr>
          <w:rFonts w:ascii="Tahoma" w:hAnsi="Tahoma" w:cs="Tahoma"/>
          <w:b/>
          <w:bCs/>
        </w:rPr>
        <w:t>Bioreactor to support long-term</w:t>
      </w:r>
      <w:r w:rsidR="0045128B" w:rsidRPr="005E019D">
        <w:rPr>
          <w:rFonts w:ascii="Tahoma" w:hAnsi="Tahoma" w:cs="Tahoma"/>
          <w:b/>
          <w:bCs/>
        </w:rPr>
        <w:t xml:space="preserve"> culture of lung tissu</w:t>
      </w:r>
      <w:r w:rsidR="00EF1A9D" w:rsidRPr="005E019D">
        <w:rPr>
          <w:rFonts w:ascii="Tahoma" w:hAnsi="Tahoma" w:cs="Tahoma"/>
          <w:b/>
          <w:bCs/>
        </w:rPr>
        <w:t>e</w:t>
      </w:r>
      <w:r w:rsidR="00EF1A9D">
        <w:rPr>
          <w:rFonts w:ascii="Tahoma" w:hAnsi="Tahoma" w:cs="Tahoma"/>
        </w:rPr>
        <w:t xml:space="preserve">: </w:t>
      </w:r>
      <w:r w:rsidR="00E023FA">
        <w:rPr>
          <w:rFonts w:ascii="Tahoma" w:hAnsi="Tahoma" w:cs="Tahoma"/>
        </w:rPr>
        <w:t xml:space="preserve">Petersen et al. </w:t>
      </w:r>
      <w:r w:rsidR="00E023FA">
        <w:rPr>
          <w:rFonts w:ascii="Tahoma" w:hAnsi="Tahoma" w:cs="Tahoma"/>
        </w:rPr>
        <w:fldChar w:fldCharType="begin"/>
      </w:r>
      <w:r w:rsidR="00E023FA">
        <w:rPr>
          <w:rFonts w:ascii="Tahoma" w:hAnsi="Tahoma" w:cs="Tahoma"/>
        </w:rPr>
        <w:instrText xml:space="preserve"> ADDIN ZOTERO_ITEM CSL_CITATION {"citationID":"lZD48Hy1","properties":{"formattedCitation":"(Petersen et al.)","plainCitation":"(Petersen et al.)","noteIndex":0},"citationItems":[{"id":4752,"uris":["http://zotero.org/users/7286058/items/XYZRRRPG"],"itemData":{"id":4752,"type":"article-journal","abstract":"In this paper, we describe the design and validation of a bioreactor for the in vitro culture of whole rodent lung tissue. Many current systems only enable large segments of lung tissue to be studied ex vivo for up to a few hours in the laboratory. This limitation restricts the study of pulmonary biology in controlled laboratory settings, and also impacts the ability to reliably culture engineered lung tissues in the laboratory. Therefore, we designed, built and validated a bioreactor intended to provide sufficient nutrient supply and mechanical stimulation to support cell survival and differentiation in cultured lung tissue. We also studied the effects of perfusion and ventilation on pulmonary cell survival and maintenance of cell differentiation state. The final bioreactor design described herein is capable of supporting the culture of whole native lung tissue for up to 1 week in the laboratory, and offers promise in the study of pulmonary biology and the development of engineered lung tissues in the laboratory.","container-title":"Cell Transplantation","DOI":"10.3727/096368910X544933","ISSN":"0963-6897, 1555-3892","issue":"7","journalAbbreviation":"Cell Transplant","language":"en","page":"1117-1126","source":"DOI.org (Crossref)","title":"Bioreactor for the Long-Term Culture of Lung Tissue","URL":"http://journals.sagepub.com/doi/10.3727/096368910X544933","volume":"20","author":[{"family":"Petersen","given":"Thomas H."},{"family":"Calle","given":"Elizabeth A."},{"family":"Colehour","given":"Maegen B."},{"family":"Niklason","given":"Laura E."}],"accessed":{"date-parts":[["2022",10,27]]},"issued":{"date-parts":[["2011",8]]}}}],"schema":"https://github.com/citation-style-language/schema/raw/master/csl-citation.json"} </w:instrText>
      </w:r>
      <w:r w:rsidR="00E023FA">
        <w:rPr>
          <w:rFonts w:ascii="Tahoma" w:hAnsi="Tahoma" w:cs="Tahoma"/>
        </w:rPr>
        <w:fldChar w:fldCharType="separate"/>
      </w:r>
      <w:r w:rsidR="00E023FA">
        <w:rPr>
          <w:rFonts w:ascii="Tahoma" w:hAnsi="Tahoma" w:cs="Tahoma"/>
          <w:noProof/>
        </w:rPr>
        <w:t>(Petersen et al.)</w:t>
      </w:r>
      <w:r w:rsidR="00E023FA">
        <w:rPr>
          <w:rFonts w:ascii="Tahoma" w:hAnsi="Tahoma" w:cs="Tahoma"/>
        </w:rPr>
        <w:fldChar w:fldCharType="end"/>
      </w:r>
      <w:r w:rsidR="00E023FA">
        <w:rPr>
          <w:rFonts w:ascii="Tahoma" w:hAnsi="Tahoma" w:cs="Tahoma"/>
        </w:rPr>
        <w:t xml:space="preserve"> have developed </w:t>
      </w:r>
      <w:r w:rsidR="00BC3CA8">
        <w:rPr>
          <w:rFonts w:ascii="Tahoma" w:hAnsi="Tahoma" w:cs="Tahoma"/>
        </w:rPr>
        <w:t xml:space="preserve">a bioreactor </w:t>
      </w:r>
      <w:r w:rsidR="0045128B">
        <w:rPr>
          <w:rFonts w:ascii="Tahoma" w:hAnsi="Tahoma" w:cs="Tahoma"/>
        </w:rPr>
        <w:t xml:space="preserve">that allows </w:t>
      </w:r>
      <w:r w:rsidR="00BC3CA8">
        <w:rPr>
          <w:rFonts w:ascii="Tahoma" w:hAnsi="Tahoma" w:cs="Tahoma"/>
        </w:rPr>
        <w:t>in vitr</w:t>
      </w:r>
      <w:r w:rsidR="0045128B">
        <w:rPr>
          <w:rFonts w:ascii="Tahoma" w:hAnsi="Tahoma" w:cs="Tahoma"/>
        </w:rPr>
        <w:t>o</w:t>
      </w:r>
      <w:r w:rsidR="00BC3CA8">
        <w:rPr>
          <w:rFonts w:ascii="Tahoma" w:hAnsi="Tahoma" w:cs="Tahoma"/>
        </w:rPr>
        <w:t xml:space="preserve"> culture of a whole rodent lung </w:t>
      </w:r>
      <w:r w:rsidR="0045128B">
        <w:rPr>
          <w:rFonts w:ascii="Tahoma" w:hAnsi="Tahoma" w:cs="Tahoma"/>
        </w:rPr>
        <w:t>for a week.</w:t>
      </w:r>
      <w:r w:rsidR="00A1315A">
        <w:rPr>
          <w:rFonts w:ascii="Tahoma" w:hAnsi="Tahoma" w:cs="Tahoma"/>
        </w:rPr>
        <w:t xml:space="preserve"> In vivo, breathing is accomplished via negative pressure ventilation which is obtained in the bioreactor, using a syringe pump withdrawing air from the main bioreactor. This negative pressure is compensated by medium flowing into the lungs through the trachea from the tracheal reservoir. </w:t>
      </w:r>
      <w:r w:rsidR="009568FE">
        <w:rPr>
          <w:rFonts w:ascii="Tahoma" w:hAnsi="Tahoma" w:cs="Tahoma"/>
        </w:rPr>
        <w:t>For exhalation, the same pump pushes air back into the main bioreactor, causing medium to flow back into the tracheal reservoir. In the “loop” configuration, the medium follows a different path during inhalation and exhalation, delivering fresh medium with each breath.</w:t>
      </w:r>
      <w:r w:rsidR="00B52CC9">
        <w:rPr>
          <w:rFonts w:ascii="Tahoma" w:hAnsi="Tahoma" w:cs="Tahoma"/>
        </w:rPr>
        <w:t xml:space="preserve"> Passive vascular perfusion of medium in and out of the lung vasculature enable</w:t>
      </w:r>
      <w:r w:rsidR="003D7DB4">
        <w:rPr>
          <w:rFonts w:ascii="Tahoma" w:hAnsi="Tahoma" w:cs="Tahoma"/>
        </w:rPr>
        <w:t>s</w:t>
      </w:r>
      <w:r w:rsidR="00B52CC9">
        <w:rPr>
          <w:rFonts w:ascii="Tahoma" w:hAnsi="Tahoma" w:cs="Tahoma"/>
        </w:rPr>
        <w:t xml:space="preserve"> survival and differentiation of endothelium.</w:t>
      </w:r>
    </w:p>
    <w:p w14:paraId="06BAF5DD" w14:textId="129F5411" w:rsidR="00D8365B" w:rsidRPr="00CE137A" w:rsidRDefault="00671154" w:rsidP="00D8365B">
      <w:pPr>
        <w:pStyle w:val="NormalWeb"/>
        <w:numPr>
          <w:ilvl w:val="0"/>
          <w:numId w:val="43"/>
        </w:numPr>
        <w:spacing w:before="0" w:beforeAutospacing="0" w:after="0" w:afterAutospacing="0"/>
        <w:rPr>
          <w:rFonts w:ascii="Tahoma" w:hAnsi="Tahoma" w:cs="Tahoma"/>
        </w:rPr>
      </w:pPr>
      <w:r w:rsidRPr="005E019D">
        <w:rPr>
          <w:rFonts w:ascii="Tahoma" w:hAnsi="Tahoma" w:cs="Tahoma"/>
          <w:b/>
          <w:bCs/>
        </w:rPr>
        <w:t>A Rotating-Shaft bioreactor</w:t>
      </w:r>
      <w:r w:rsidR="00056471" w:rsidRPr="005E019D">
        <w:rPr>
          <w:rFonts w:ascii="Tahoma" w:hAnsi="Tahoma" w:cs="Tahoma"/>
          <w:b/>
          <w:bCs/>
        </w:rPr>
        <w:t xml:space="preserve"> (RSB)</w:t>
      </w:r>
      <w:r w:rsidRPr="005E019D">
        <w:rPr>
          <w:rFonts w:ascii="Tahoma" w:hAnsi="Tahoma" w:cs="Tahoma"/>
          <w:b/>
          <w:bCs/>
        </w:rPr>
        <w:t xml:space="preserve"> </w:t>
      </w:r>
      <w:r w:rsidR="00056471" w:rsidRPr="005E019D">
        <w:rPr>
          <w:rFonts w:ascii="Tahoma" w:hAnsi="Tahoma" w:cs="Tahoma"/>
          <w:b/>
          <w:bCs/>
        </w:rPr>
        <w:t xml:space="preserve">system </w:t>
      </w:r>
      <w:r w:rsidRPr="005E019D">
        <w:rPr>
          <w:rFonts w:ascii="Tahoma" w:hAnsi="Tahoma" w:cs="Tahoma"/>
          <w:b/>
          <w:bCs/>
        </w:rPr>
        <w:t xml:space="preserve">for </w:t>
      </w:r>
      <w:r w:rsidR="00056471" w:rsidRPr="005E019D">
        <w:rPr>
          <w:rFonts w:ascii="Tahoma" w:hAnsi="Tahoma" w:cs="Tahoma"/>
          <w:b/>
          <w:bCs/>
        </w:rPr>
        <w:t>two-phase cultivation of tissue-engineered cartilage</w:t>
      </w:r>
      <w:r w:rsidR="00FE1AAA" w:rsidRPr="005E019D">
        <w:rPr>
          <w:rFonts w:ascii="Tahoma" w:hAnsi="Tahoma" w:cs="Tahoma"/>
        </w:rPr>
        <w:t xml:space="preserve"> </w:t>
      </w:r>
      <w:r w:rsidR="00FE1AAA" w:rsidRPr="005E019D">
        <w:rPr>
          <w:rFonts w:ascii="Tahoma" w:hAnsi="Tahoma" w:cs="Tahoma"/>
        </w:rPr>
        <w:fldChar w:fldCharType="begin"/>
      </w:r>
      <w:r w:rsidR="00FE1AAA" w:rsidRPr="005E019D">
        <w:rPr>
          <w:rFonts w:ascii="Tahoma" w:hAnsi="Tahoma" w:cs="Tahoma"/>
        </w:rPr>
        <w:instrText xml:space="preserve"> ADDIN ZOTERO_ITEM CSL_CITATION {"citationID":"HJ9EKPvP","properties":{"formattedCitation":"(Chen et al.)","plainCitation":"(Chen et al.)","noteIndex":0},"citationItems":[{"id":4774,"uris":["http://zotero.org/users/7286058/items/ZLAFRCVU"],"itemData":{"id":4774,"type":"article-journal","container-title":"Biotechnology Progress","DOI":"10.1021/bp049740s","ISSN":"8756-7938","issue":"6","journalAbbreviation":"Biotechnol. Prog.","language":"en","page":"1802-1809","source":"DOI.org (Crossref)","title":"A Novel Rotating-Shaft Bioreactor for Two-Phase Cultivation of Tissue-Engineered Cartilage","URL":"http://doi.wiley.com/10.1021/bp049740s","volume":"20","author":[{"family":"Chen","given":"H.-C."},{"family":"Lee","given":"H.-P."},{"family":"Sung","given":"M.-L."},{"family":"Liao","given":"C.-J."},{"family":"Hu","given":"Y.-C."}],"accessed":{"date-parts":[["2022",10,27]]},"issued":{"date-parts":[["2004",12,3]]}}}],"schema":"https://github.com/citation-style-language/schema/raw/master/csl-citation.json"} </w:instrText>
      </w:r>
      <w:r w:rsidR="00FE1AAA" w:rsidRPr="005E019D">
        <w:rPr>
          <w:rFonts w:ascii="Tahoma" w:hAnsi="Tahoma" w:cs="Tahoma"/>
        </w:rPr>
        <w:fldChar w:fldCharType="separate"/>
      </w:r>
      <w:r w:rsidR="00FE1AAA" w:rsidRPr="005E019D">
        <w:rPr>
          <w:rFonts w:ascii="Tahoma" w:hAnsi="Tahoma" w:cs="Tahoma"/>
          <w:noProof/>
        </w:rPr>
        <w:t>(Chen et al.)</w:t>
      </w:r>
      <w:r w:rsidR="00FE1AAA" w:rsidRPr="005E019D">
        <w:rPr>
          <w:rFonts w:ascii="Tahoma" w:hAnsi="Tahoma" w:cs="Tahoma"/>
        </w:rPr>
        <w:fldChar w:fldCharType="end"/>
      </w:r>
      <w:r w:rsidRPr="005E019D">
        <w:rPr>
          <w:rFonts w:ascii="Tahoma" w:hAnsi="Tahoma" w:cs="Tahoma"/>
        </w:rPr>
        <w:t>:</w:t>
      </w:r>
      <w:r w:rsidR="00056471" w:rsidRPr="005E019D">
        <w:rPr>
          <w:rFonts w:ascii="Tahoma" w:hAnsi="Tahoma" w:cs="Tahoma"/>
        </w:rPr>
        <w:t xml:space="preserve"> consists in a rotating-shaft bioreactor connected to a medium reservoir for medium perfusion and a CO</w:t>
      </w:r>
      <w:r w:rsidR="00056471" w:rsidRPr="005E019D">
        <w:rPr>
          <w:rFonts w:ascii="Tahoma" w:hAnsi="Tahoma" w:cs="Tahoma"/>
          <w:vertAlign w:val="subscript"/>
        </w:rPr>
        <w:t>2</w:t>
      </w:r>
      <w:r w:rsidR="00056471" w:rsidRPr="005E019D">
        <w:rPr>
          <w:rFonts w:ascii="Tahoma" w:hAnsi="Tahoma" w:cs="Tahoma"/>
        </w:rPr>
        <w:t xml:space="preserve"> incubator for gas perfusion. </w:t>
      </w:r>
      <w:r w:rsidR="00FE1AAA" w:rsidRPr="005E019D">
        <w:rPr>
          <w:rFonts w:ascii="Tahoma" w:hAnsi="Tahoma" w:cs="Tahoma"/>
        </w:rPr>
        <w:t>In the reactor, c</w:t>
      </w:r>
      <w:r w:rsidR="000922BE" w:rsidRPr="005E019D">
        <w:rPr>
          <w:rFonts w:ascii="Tahoma" w:hAnsi="Tahoma" w:cs="Tahoma"/>
        </w:rPr>
        <w:t>hondrocyte scaffold constructs are attached to needles joined to a shaft. Half of the reactor is filled with medium.</w:t>
      </w:r>
      <w:r w:rsidR="00FE1AAA" w:rsidRPr="005E019D">
        <w:rPr>
          <w:rFonts w:ascii="Tahoma" w:hAnsi="Tahoma" w:cs="Tahoma"/>
        </w:rPr>
        <w:t xml:space="preserve"> B</w:t>
      </w:r>
      <w:r w:rsidR="000922BE" w:rsidRPr="005E019D">
        <w:rPr>
          <w:rFonts w:ascii="Tahoma" w:hAnsi="Tahoma" w:cs="Tahoma"/>
        </w:rPr>
        <w:t xml:space="preserve">y rotating the shaft, the scaffolds are alternatively exposed to air and medium. </w:t>
      </w:r>
      <w:r w:rsidR="00FE1AAA" w:rsidRPr="005E019D">
        <w:rPr>
          <w:rFonts w:ascii="Tahoma" w:hAnsi="Tahoma" w:cs="Tahoma"/>
        </w:rPr>
        <w:t xml:space="preserve">The medium reservoir is stirred and temperature is controlled at 37 </w:t>
      </w:r>
      <w:r w:rsidR="00FE1AAA" w:rsidRPr="005E019D">
        <w:rPr>
          <w:rFonts w:ascii="Tahoma" w:hAnsi="Tahoma" w:cs="Tahoma"/>
          <w:vertAlign w:val="superscript"/>
        </w:rPr>
        <w:t>0</w:t>
      </w:r>
      <w:r w:rsidR="00FE1AAA" w:rsidRPr="005E019D">
        <w:rPr>
          <w:rFonts w:ascii="Tahoma" w:hAnsi="Tahoma" w:cs="Tahoma"/>
        </w:rPr>
        <w:t xml:space="preserve">C. </w:t>
      </w:r>
      <w:r w:rsidR="007B05FF" w:rsidRPr="005E019D">
        <w:rPr>
          <w:rFonts w:ascii="Tahoma" w:hAnsi="Tahoma" w:cs="Tahoma"/>
        </w:rPr>
        <w:t xml:space="preserve">A two-stage culture </w:t>
      </w:r>
      <w:r w:rsidR="00972B2C">
        <w:rPr>
          <w:rFonts w:ascii="Tahoma" w:hAnsi="Tahoma" w:cs="Tahoma"/>
        </w:rPr>
        <w:t>is</w:t>
      </w:r>
      <w:r w:rsidR="007B05FF" w:rsidRPr="005E019D">
        <w:rPr>
          <w:rFonts w:ascii="Tahoma" w:hAnsi="Tahoma" w:cs="Tahoma"/>
        </w:rPr>
        <w:t xml:space="preserve"> necessary to have the optimal density in both GAG and collagen contents which consists in maintaining a </w:t>
      </w:r>
      <w:r w:rsidR="00C02AE8" w:rsidRPr="005E019D">
        <w:rPr>
          <w:rFonts w:ascii="Tahoma" w:hAnsi="Tahoma" w:cs="Tahoma"/>
        </w:rPr>
        <w:t>10-rpm</w:t>
      </w:r>
      <w:r w:rsidR="007B05FF" w:rsidRPr="005E019D">
        <w:rPr>
          <w:rFonts w:ascii="Tahoma" w:hAnsi="Tahoma" w:cs="Tahoma"/>
        </w:rPr>
        <w:t xml:space="preserve"> speed in the first 3 weeks to 2</w:t>
      </w:r>
      <w:r w:rsidR="00C02AE8" w:rsidRPr="005E019D">
        <w:rPr>
          <w:rFonts w:ascii="Tahoma" w:hAnsi="Tahoma" w:cs="Tahoma"/>
        </w:rPr>
        <w:t>-</w:t>
      </w:r>
      <w:r w:rsidR="007B05FF" w:rsidRPr="005E019D">
        <w:rPr>
          <w:rFonts w:ascii="Tahoma" w:hAnsi="Tahoma" w:cs="Tahoma"/>
        </w:rPr>
        <w:t>rpm in a final week.</w:t>
      </w:r>
      <w:r w:rsidR="00520396" w:rsidRPr="005E019D">
        <w:rPr>
          <w:rFonts w:ascii="Tahoma" w:hAnsi="Tahoma" w:cs="Tahoma"/>
        </w:rPr>
        <w:t xml:space="preserve">  RSB confer</w:t>
      </w:r>
      <w:r w:rsidR="00972B2C">
        <w:rPr>
          <w:rFonts w:ascii="Tahoma" w:hAnsi="Tahoma" w:cs="Tahoma"/>
        </w:rPr>
        <w:t>s</w:t>
      </w:r>
      <w:r w:rsidR="00520396" w:rsidRPr="005E019D">
        <w:rPr>
          <w:rFonts w:ascii="Tahoma" w:hAnsi="Tahoma" w:cs="Tahoma"/>
        </w:rPr>
        <w:t xml:space="preserve"> efficient oxygen transfer and periodical mechanical stress </w:t>
      </w:r>
      <w:r w:rsidR="00C02AE8" w:rsidRPr="005E019D">
        <w:rPr>
          <w:rFonts w:ascii="Tahoma" w:hAnsi="Tahoma" w:cs="Tahoma"/>
        </w:rPr>
        <w:t>to modulate chondrogenesis and growth of tissue-engineered cartilage.</w:t>
      </w:r>
    </w:p>
    <w:p w14:paraId="78CD36D4" w14:textId="77777777" w:rsidR="000D314C" w:rsidRDefault="000D314C" w:rsidP="000D314C">
      <w:pPr>
        <w:pStyle w:val="NormalWeb"/>
        <w:numPr>
          <w:ilvl w:val="0"/>
          <w:numId w:val="42"/>
        </w:numPr>
        <w:rPr>
          <w:rFonts w:ascii="Tahoma" w:hAnsi="Tahoma" w:cs="Tahoma"/>
        </w:rPr>
      </w:pPr>
      <w:r>
        <w:rPr>
          <w:rFonts w:ascii="Tahoma" w:hAnsi="Tahoma" w:cs="Tahoma"/>
        </w:rPr>
        <w:t xml:space="preserve">In the paper Engineered cell homing, by Sarkar et al. researchers describe a new method to enhance homing of mesenchymal stem cells (MSCs) to inflamed tissue. In 250 words or less please compare this method to adoptive cell therapy. What are the pros and cons of each? </w:t>
      </w:r>
    </w:p>
    <w:p w14:paraId="5D211B19" w14:textId="70258217" w:rsidR="004946F6" w:rsidRDefault="004946F6" w:rsidP="004946F6">
      <w:pPr>
        <w:pStyle w:val="Bibliography"/>
        <w:ind w:left="0" w:firstLine="0"/>
        <w:rPr>
          <w:rFonts w:ascii="Tahoma" w:hAnsi="Tahoma" w:cs="Tahoma"/>
        </w:rPr>
      </w:pPr>
      <w:r>
        <w:rPr>
          <w:rFonts w:ascii="Tahoma" w:hAnsi="Tahoma" w:cs="Tahoma"/>
        </w:rPr>
        <w:t>A</w:t>
      </w:r>
      <w:r w:rsidRPr="00193271">
        <w:rPr>
          <w:rFonts w:ascii="Tahoma" w:hAnsi="Tahoma" w:cs="Tahoma"/>
        </w:rPr>
        <w:t>doptive cell therapy</w:t>
      </w:r>
      <w:r>
        <w:rPr>
          <w:rFonts w:ascii="Tahoma" w:hAnsi="Tahoma" w:cs="Tahoma"/>
        </w:rPr>
        <w:t xml:space="preserve"> (ACT) has been successful in tumor regression</w:t>
      </w:r>
      <w:r w:rsidR="00403F56">
        <w:rPr>
          <w:rFonts w:ascii="Tahoma" w:hAnsi="Tahoma" w:cs="Tahoma"/>
        </w:rPr>
        <w:t xml:space="preserve"> (50% of patient with metastatic melanoma  </w:t>
      </w:r>
      <w:r w:rsidR="00403F56">
        <w:rPr>
          <w:rFonts w:ascii="Tahoma" w:hAnsi="Tahoma" w:cs="Tahoma"/>
        </w:rPr>
        <w:fldChar w:fldCharType="begin"/>
      </w:r>
      <w:r w:rsidR="00403F56">
        <w:rPr>
          <w:rFonts w:ascii="Tahoma" w:hAnsi="Tahoma" w:cs="Tahoma"/>
        </w:rPr>
        <w:instrText xml:space="preserve"> ADDIN ZOTERO_ITEM CSL_CITATION {"citationID":"pDQpCOVh","properties":{"formattedCitation":"(Rosenberg et al.)","plainCitation":"(Rosenberg et al.)","noteIndex":0},"citationItems":[{"id":4810,"uris":["http://zotero.org/users/7286058/items/5IBBC5RE"],"itemData":{"id":4810,"type":"article-journal","abstract":"Adoptive cell therapy (ACT) using autologous tumour-infiltrating lymphocytes has emerged as the most effective treatment for patients with metastatic melanoma and can mediate objective cancer regression in approximately 50% of patients. The use of donor lymphocytes for ACT is an effective treatment for immunosuppressed patients who develop post-transplant lymphomas. The ability to genetically engineer human lymphocytes and use them to mediate cancer regression in patients, which has recently been demonstrated, has opened possibilities for the extension of ACT immunotherapy to patients with a wide variety of cancer types and is a promising new approach to cancer treatment.","container-title":"Nature Reviews Cancer","DOI":"10.1038/nrc2355","ISSN":"1474-175X, 1474-1768","issue":"4","journalAbbreviation":"Nat Rev Cancer","language":"en","page":"299-308","source":"DOI.org (Crossref)","title":"Adoptive cell transfer: a clinical path to effective cancer immunotherapy","title-short":"Adoptive cell transfer","URL":"http://www.nature.com/articles/nrc2355","volume":"8","author":[{"family":"Rosenberg","given":"Steven A."},{"family":"Restifo","given":"Nicholas P."},{"family":"Yang","given":"James C."},{"family":"Morgan","given":"Richard A."},{"family":"Dudley","given":"Mark E."}],"accessed":{"date-parts":[["2022",10,27]]},"issued":{"date-parts":[["2008",4]]}}}],"schema":"https://github.com/citation-style-language/schema/raw/master/csl-citation.json"} </w:instrText>
      </w:r>
      <w:r w:rsidR="00403F56">
        <w:rPr>
          <w:rFonts w:ascii="Tahoma" w:hAnsi="Tahoma" w:cs="Tahoma"/>
        </w:rPr>
        <w:fldChar w:fldCharType="separate"/>
      </w:r>
      <w:r w:rsidR="00403F56">
        <w:rPr>
          <w:rFonts w:ascii="Tahoma" w:hAnsi="Tahoma" w:cs="Tahoma"/>
          <w:noProof/>
        </w:rPr>
        <w:t>(Rosenberg et al.)</w:t>
      </w:r>
      <w:r w:rsidR="00403F56">
        <w:rPr>
          <w:rFonts w:ascii="Tahoma" w:hAnsi="Tahoma" w:cs="Tahoma"/>
        </w:rPr>
        <w:fldChar w:fldCharType="end"/>
      </w:r>
      <w:r w:rsidR="00403F56">
        <w:rPr>
          <w:rFonts w:ascii="Tahoma" w:hAnsi="Tahoma" w:cs="Tahoma"/>
        </w:rPr>
        <w:t>),</w:t>
      </w:r>
      <w:r>
        <w:rPr>
          <w:rFonts w:ascii="Tahoma" w:hAnsi="Tahoma" w:cs="Tahoma"/>
        </w:rPr>
        <w:t xml:space="preserve"> and eradication</w:t>
      </w:r>
      <w:r w:rsidR="00696C06">
        <w:rPr>
          <w:rFonts w:ascii="Tahoma" w:hAnsi="Tahoma" w:cs="Tahoma"/>
        </w:rPr>
        <w:t>.</w:t>
      </w:r>
      <w:r>
        <w:rPr>
          <w:rFonts w:ascii="Tahoma" w:hAnsi="Tahoma" w:cs="Tahoma"/>
        </w:rPr>
        <w:t xml:space="preserve"> In ACT, a small number of a patient’s own T lymphocytes; lowering the risks of immune response</w:t>
      </w:r>
      <w:r w:rsidR="00AB799E">
        <w:rPr>
          <w:rFonts w:ascii="Tahoma" w:hAnsi="Tahoma" w:cs="Tahoma"/>
        </w:rPr>
        <w:t>;</w:t>
      </w:r>
      <w:r>
        <w:rPr>
          <w:rFonts w:ascii="Tahoma" w:hAnsi="Tahoma" w:cs="Tahoma"/>
        </w:rPr>
        <w:t xml:space="preserve"> with the appropriate properties are expanded in the lab. A chimeric antigen receptor</w:t>
      </w:r>
      <w:r w:rsidR="009E3CE7">
        <w:rPr>
          <w:rFonts w:ascii="Tahoma" w:hAnsi="Tahoma" w:cs="Tahoma"/>
        </w:rPr>
        <w:t>;</w:t>
      </w:r>
      <w:r>
        <w:rPr>
          <w:rFonts w:ascii="Tahoma" w:hAnsi="Tahoma" w:cs="Tahoma"/>
        </w:rPr>
        <w:t xml:space="preserve"> which helps the T cells to attach to a specific cancer cell antigen</w:t>
      </w:r>
      <w:r w:rsidR="009E3CE7">
        <w:rPr>
          <w:rFonts w:ascii="Tahoma" w:hAnsi="Tahoma" w:cs="Tahoma"/>
        </w:rPr>
        <w:t>,</w:t>
      </w:r>
      <w:r>
        <w:rPr>
          <w:rFonts w:ascii="Tahoma" w:hAnsi="Tahoma" w:cs="Tahoma"/>
        </w:rPr>
        <w:t xml:space="preserve"> is added. Prior to be </w:t>
      </w:r>
      <w:r>
        <w:rPr>
          <w:rFonts w:ascii="Tahoma" w:hAnsi="Tahoma" w:cs="Tahoma"/>
        </w:rPr>
        <w:lastRenderedPageBreak/>
        <w:t xml:space="preserve">reinjected, the patient can be conditioned through lymphodepletion to increase infused cell persistence. ACT technics challenges are: </w:t>
      </w:r>
    </w:p>
    <w:p w14:paraId="5A1967FF" w14:textId="77777777" w:rsidR="004946F6" w:rsidRDefault="004946F6" w:rsidP="004946F6">
      <w:pPr>
        <w:pStyle w:val="Bibliography"/>
        <w:numPr>
          <w:ilvl w:val="0"/>
          <w:numId w:val="45"/>
        </w:numPr>
        <w:rPr>
          <w:rFonts w:ascii="Tahoma" w:hAnsi="Tahoma" w:cs="Tahoma"/>
        </w:rPr>
      </w:pPr>
      <w:r>
        <w:rPr>
          <w:rFonts w:ascii="Tahoma" w:hAnsi="Tahoma" w:cs="Tahoma"/>
        </w:rPr>
        <w:t xml:space="preserve">It is personalized for each patient slowing down development process and delaying treatments for patient in critical needs. </w:t>
      </w:r>
    </w:p>
    <w:p w14:paraId="1BB77A48" w14:textId="77777777" w:rsidR="004946F6" w:rsidRPr="007F2E09" w:rsidRDefault="004946F6" w:rsidP="004946F6">
      <w:pPr>
        <w:pStyle w:val="Bibliography"/>
        <w:numPr>
          <w:ilvl w:val="0"/>
          <w:numId w:val="45"/>
        </w:numPr>
        <w:rPr>
          <w:rFonts w:ascii="Tahoma" w:hAnsi="Tahoma" w:cs="Tahoma"/>
        </w:rPr>
      </w:pPr>
      <w:r>
        <w:rPr>
          <w:rFonts w:ascii="Tahoma" w:hAnsi="Tahoma" w:cs="Tahoma"/>
        </w:rPr>
        <w:t xml:space="preserve">Target selection is difficult with risk of insufficient targeting efficacy or off-target effects </w:t>
      </w:r>
      <w:r>
        <w:rPr>
          <w:rFonts w:ascii="Tahoma" w:hAnsi="Tahoma" w:cs="Tahoma"/>
        </w:rPr>
        <w:fldChar w:fldCharType="begin"/>
      </w:r>
      <w:r>
        <w:rPr>
          <w:rFonts w:ascii="Tahoma" w:hAnsi="Tahoma" w:cs="Tahoma"/>
        </w:rPr>
        <w:instrText xml:space="preserve"> ADDIN ZOTERO_ITEM CSL_CITATION {"citationID":"lsCaQq40","properties":{"formattedCitation":"(Magalhaes et al.)","plainCitation":"(Magalhaes et al.)","noteIndex":0},"citationItems":[{"id":4793,"uris":["http://zotero.org/users/7286058/items/V52932XG"],"itemData":{"id":4793,"type":"article-journal","abstract":"Introduction: In recent years, immunotherapy for the treatment of solid cancer has emerged as a promising therapeutic alternative. Adoptive cell therapy (ACT), especially T cell-based, has been found to cause tumor regression and even cure in a percentage of treated patients. Checkpoint inhibitors further underscore the potential of the T cell compartment in the treatment of cancer. Not all patients respond to these treatments; however, many challenges remain.","container-title":"Expert Opinion on Biological Therapy","DOI":"10.1080/14712598.2019.1608179","ISSN":"1471-2598, 1744-7682","issue":"8","journalAbbreviation":"Expert Opinion on Biological Therapy","language":"en","page":"811-827","source":"DOI.org (Crossref)","title":"Facing the future: challenges and opportunities in adoptive T cell therapy in cancer","title-short":"Facing the future","URL":"https://www.tandfonline.com/doi/full/10.1080/14712598.2019.1608179","volume":"19","author":[{"family":"Magalhaes","given":"Isabelle"},{"family":"Carvalho-Queiroz","given":"Claudia"},{"family":"Hartana","given":"Ciputra Adijaya"},{"family":"Kaiser","given":"Andreas"},{"family":"Lukic","given":"Ana"},{"family":"Mints","given":"Michael"},{"family":"Nilsson","given":"Ola"},{"family":"Grönlund","given":"Hans"},{"family":"Mattsson","given":"Jonas"},{"family":"Berglund","given":"Sofia"}],"accessed":{"date-parts":[["2022",10,27]]},"issued":{"date-parts":[["2019",8,3]]}}}],"schema":"https://github.com/citation-style-language/schema/raw/master/csl-citation.json"} </w:instrText>
      </w:r>
      <w:r>
        <w:rPr>
          <w:rFonts w:ascii="Tahoma" w:hAnsi="Tahoma" w:cs="Tahoma"/>
        </w:rPr>
        <w:fldChar w:fldCharType="separate"/>
      </w:r>
      <w:r>
        <w:rPr>
          <w:rFonts w:ascii="Tahoma" w:hAnsi="Tahoma" w:cs="Tahoma"/>
          <w:noProof/>
        </w:rPr>
        <w:t>(Magalhaes et al.)</w:t>
      </w:r>
      <w:r>
        <w:rPr>
          <w:rFonts w:ascii="Tahoma" w:hAnsi="Tahoma" w:cs="Tahoma"/>
        </w:rPr>
        <w:fldChar w:fldCharType="end"/>
      </w:r>
      <w:r>
        <w:rPr>
          <w:rFonts w:ascii="Tahoma" w:hAnsi="Tahoma" w:cs="Tahoma"/>
        </w:rPr>
        <w:t>.</w:t>
      </w:r>
      <w:r w:rsidRPr="007F2E09">
        <w:rPr>
          <w:rFonts w:ascii="Tahoma" w:hAnsi="Tahoma" w:cs="Tahoma"/>
        </w:rPr>
        <w:t xml:space="preserve"> </w:t>
      </w:r>
    </w:p>
    <w:p w14:paraId="68DACB0F" w14:textId="77777777" w:rsidR="004946F6" w:rsidRDefault="004946F6" w:rsidP="004946F6">
      <w:pPr>
        <w:pStyle w:val="Bibliography"/>
        <w:numPr>
          <w:ilvl w:val="0"/>
          <w:numId w:val="45"/>
        </w:numPr>
        <w:rPr>
          <w:rFonts w:ascii="Tahoma" w:hAnsi="Tahoma" w:cs="Tahoma"/>
        </w:rPr>
      </w:pPr>
      <w:r>
        <w:rPr>
          <w:rFonts w:ascii="Tahoma" w:hAnsi="Tahoma" w:cs="Tahoma"/>
        </w:rPr>
        <w:t xml:space="preserve">It requires rigorous quality control during production, and choice of cytokines during cell culture is critical for T cell potency in vivo </w:t>
      </w:r>
      <w:r>
        <w:rPr>
          <w:rFonts w:ascii="Tahoma" w:hAnsi="Tahoma" w:cs="Tahoma"/>
        </w:rPr>
        <w:fldChar w:fldCharType="begin"/>
      </w:r>
      <w:r>
        <w:rPr>
          <w:rFonts w:ascii="Tahoma" w:hAnsi="Tahoma" w:cs="Tahoma"/>
        </w:rPr>
        <w:instrText xml:space="preserve"> ADDIN ZOTERO_ITEM CSL_CITATION {"citationID":"DyXwSqPB","properties":{"formattedCitation":"(Magalhaes et al.)","plainCitation":"(Magalhaes et al.)","noteIndex":0},"citationItems":[{"id":4793,"uris":["http://zotero.org/users/7286058/items/V52932XG"],"itemData":{"id":4793,"type":"article-journal","abstract":"Introduction: In recent years, immunotherapy for the treatment of solid cancer has emerged as a promising therapeutic alternative. Adoptive cell therapy (ACT), especially T cell-based, has been found to cause tumor regression and even cure in a percentage of treated patients. Checkpoint inhibitors further underscore the potential of the T cell compartment in the treatment of cancer. Not all patients respond to these treatments; however, many challenges remain.","container-title":"Expert Opinion on Biological Therapy","DOI":"10.1080/14712598.2019.1608179","ISSN":"1471-2598, 1744-7682","issue":"8","journalAbbreviation":"Expert Opinion on Biological Therapy","language":"en","page":"811-827","source":"DOI.org (Crossref)","title":"Facing the future: challenges and opportunities in adoptive T cell therapy in cancer","title-short":"Facing the future","URL":"https://www.tandfonline.com/doi/full/10.1080/14712598.2019.1608179","volume":"19","author":[{"family":"Magalhaes","given":"Isabelle"},{"family":"Carvalho-Queiroz","given":"Claudia"},{"family":"Hartana","given":"Ciputra Adijaya"},{"family":"Kaiser","given":"Andreas"},{"family":"Lukic","given":"Ana"},{"family":"Mints","given":"Michael"},{"family":"Nilsson","given":"Ola"},{"family":"Grönlund","given":"Hans"},{"family":"Mattsson","given":"Jonas"},{"family":"Berglund","given":"Sofia"}],"accessed":{"date-parts":[["2022",10,27]]},"issued":{"date-parts":[["2019",8,3]]}}}],"schema":"https://github.com/citation-style-language/schema/raw/master/csl-citation.json"} </w:instrText>
      </w:r>
      <w:r>
        <w:rPr>
          <w:rFonts w:ascii="Tahoma" w:hAnsi="Tahoma" w:cs="Tahoma"/>
        </w:rPr>
        <w:fldChar w:fldCharType="separate"/>
      </w:r>
      <w:r>
        <w:rPr>
          <w:rFonts w:ascii="Tahoma" w:hAnsi="Tahoma" w:cs="Tahoma"/>
          <w:noProof/>
        </w:rPr>
        <w:t>(Magalhaes et al.)</w:t>
      </w:r>
      <w:r>
        <w:rPr>
          <w:rFonts w:ascii="Tahoma" w:hAnsi="Tahoma" w:cs="Tahoma"/>
        </w:rPr>
        <w:fldChar w:fldCharType="end"/>
      </w:r>
      <w:r>
        <w:rPr>
          <w:rFonts w:ascii="Tahoma" w:hAnsi="Tahoma" w:cs="Tahoma"/>
        </w:rPr>
        <w:t>.</w:t>
      </w:r>
    </w:p>
    <w:p w14:paraId="2CACF36A" w14:textId="02D66950" w:rsidR="004946F6" w:rsidRPr="0049654D" w:rsidRDefault="004946F6" w:rsidP="004946F6">
      <w:pPr>
        <w:pStyle w:val="ListParagraph"/>
        <w:numPr>
          <w:ilvl w:val="0"/>
          <w:numId w:val="45"/>
        </w:numPr>
        <w:rPr>
          <w:rFonts w:ascii="Tahoma" w:hAnsi="Tahoma" w:cs="Tahoma"/>
        </w:rPr>
      </w:pPr>
      <w:r w:rsidRPr="0049654D">
        <w:rPr>
          <w:rFonts w:ascii="Tahoma" w:hAnsi="Tahoma" w:cs="Tahoma"/>
        </w:rPr>
        <w:t xml:space="preserve">Cells can persist for a long time in the host requiring </w:t>
      </w:r>
      <w:r>
        <w:rPr>
          <w:rFonts w:ascii="Tahoma" w:hAnsi="Tahoma" w:cs="Tahoma"/>
        </w:rPr>
        <w:t xml:space="preserve">long </w:t>
      </w:r>
      <w:r w:rsidRPr="0049654D">
        <w:rPr>
          <w:rFonts w:ascii="Tahoma" w:hAnsi="Tahoma" w:cs="Tahoma"/>
        </w:rPr>
        <w:t>patient monitoring</w:t>
      </w:r>
      <w:r w:rsidR="00DD7183">
        <w:rPr>
          <w:rFonts w:ascii="Tahoma" w:hAnsi="Tahoma" w:cs="Tahoma"/>
        </w:rPr>
        <w:t>.</w:t>
      </w:r>
    </w:p>
    <w:p w14:paraId="0202F1BE" w14:textId="77777777" w:rsidR="004946F6" w:rsidRPr="0049654D" w:rsidRDefault="004946F6" w:rsidP="004946F6"/>
    <w:p w14:paraId="484F785E" w14:textId="5135398A" w:rsidR="006A2F19" w:rsidRDefault="004946F6" w:rsidP="000753BB">
      <w:pPr>
        <w:spacing w:line="480" w:lineRule="auto"/>
        <w:rPr>
          <w:rFonts w:ascii="Tahoma" w:hAnsi="Tahoma" w:cs="Tahoma"/>
        </w:rPr>
      </w:pPr>
      <w:r w:rsidRPr="0049654D">
        <w:rPr>
          <w:rFonts w:ascii="Tahoma" w:hAnsi="Tahoma" w:cs="Tahoma"/>
        </w:rPr>
        <w:t>Mesenchymal stem cells (MSCs)</w:t>
      </w:r>
      <w:r>
        <w:rPr>
          <w:rFonts w:ascii="Tahoma" w:hAnsi="Tahoma" w:cs="Tahoma"/>
        </w:rPr>
        <w:t xml:space="preserve"> are characterized to home towards cancer cells. MSCs can be modified to over express cytotoxic proteins against tumors after specific homing. Mediated cell rolling with adhesion ligand can enhance MSC homing </w:t>
      </w:r>
      <w:r>
        <w:rPr>
          <w:rFonts w:ascii="Tahoma" w:hAnsi="Tahoma" w:cs="Tahoma"/>
        </w:rPr>
        <w:fldChar w:fldCharType="begin"/>
      </w:r>
      <w:r>
        <w:rPr>
          <w:rFonts w:ascii="Tahoma" w:hAnsi="Tahoma" w:cs="Tahoma"/>
        </w:rPr>
        <w:instrText xml:space="preserve"> ADDIN ZOTERO_ITEM CSL_CITATION {"citationID":"OXBvGHmq","properties":{"formattedCitation":"(Sarkar et al.)","plainCitation":"(Sarkar et al.)","noteIndex":0},"citationItems":[{"id":4709,"uris":["http://zotero.org/users/7286058/items/I3VWI5BC"],"itemData":{"id":4709,"type":"article-journal","abstract":"Abstract\n            One of the greatest challenges in cell therapy is to minimally invasively deliver a large quantity of viable cells to a tissue of interest with high engraftment efficiency. Low and inefficient homing of systemically delivered mesenchymal stem cells (MSCs), for example, is thought to be a major limitation of existing MSC-based therapeutic approaches, caused predominantly by inadequate expression of cell surface adhesion receptors. Using a platform approach that preserves the MSC phenotype and does not require genetic manipulation, we modified the surface of MSCs with a nanometer-scale polymer construct containing sialyl Lewisx (sLex) that is found on the surface of leukocytes and mediates cell rolling within inflamed tissue. The sLex engineered MSCs exhibited a robust rolling response on inflamed endothelium in vivo and homed to inflamed tissue with higher efficiency compared with native MSCs. The modular approach described herein offers a simple method to potentially target any cell type to specific tissues via the circulation.","container-title":"Blood","DOI":"10.1182/blood-2010-10-311464","ISSN":"0006-4971, 1528-0020","issue":"25","language":"en","page":"e184-e191","source":"DOI.org (Crossref)","title":"Engineered cell homing","URL":"https://ashpublications.org/blood/article/118/25/e184/29282/Engineered-cell-homing","volume":"118","author":[{"family":"Sarkar","given":"Debanjan"},{"family":"Spencer","given":"Joel A."},{"family":"Phillips","given":"Joseph A."},{"family":"Zhao","given":"Weian"},{"family":"Schafer","given":"Sebastian"},{"family":"Spelke","given":"Dawn P."},{"family":"Mortensen","given":"Luke J."},{"family":"Ruiz","given":"Juan P."},{"family":"Vemula","given":"Praveen Kumar"},{"family":"Sridharan","given":"Rukmani"},{"family":"Kumar","given":"Sriram"},{"family":"Karnik","given":"Rohit"},{"family":"Lin","given":"Charles P."},{"family":"Karp","given":"Jeffrey M."}],"accessed":{"date-parts":[["2022",10,25]]},"issued":{"date-parts":[["2011",12,15]]}}}],"schema":"https://github.com/citation-style-language/schema/raw/master/csl-citation.json"} </w:instrText>
      </w:r>
      <w:r>
        <w:rPr>
          <w:rFonts w:ascii="Tahoma" w:hAnsi="Tahoma" w:cs="Tahoma"/>
        </w:rPr>
        <w:fldChar w:fldCharType="separate"/>
      </w:r>
      <w:r>
        <w:rPr>
          <w:rFonts w:ascii="Tahoma" w:hAnsi="Tahoma" w:cs="Tahoma"/>
          <w:noProof/>
        </w:rPr>
        <w:t>(Sarkar et al.)</w:t>
      </w:r>
      <w:r>
        <w:rPr>
          <w:rFonts w:ascii="Tahoma" w:hAnsi="Tahoma" w:cs="Tahoma"/>
        </w:rPr>
        <w:fldChar w:fldCharType="end"/>
      </w:r>
      <w:r>
        <w:rPr>
          <w:rFonts w:ascii="Tahoma" w:hAnsi="Tahoma" w:cs="Tahoma"/>
        </w:rPr>
        <w:t xml:space="preserve">.  However, MSC integration with inflamed endothelial cells and migration mechanisms are not fully understood </w:t>
      </w:r>
      <w:r>
        <w:rPr>
          <w:rFonts w:ascii="Tahoma" w:hAnsi="Tahoma" w:cs="Tahoma"/>
        </w:rPr>
        <w:fldChar w:fldCharType="begin"/>
      </w:r>
      <w:r>
        <w:rPr>
          <w:rFonts w:ascii="Tahoma" w:hAnsi="Tahoma" w:cs="Tahoma"/>
        </w:rPr>
        <w:instrText xml:space="preserve"> ADDIN ZOTERO_ITEM CSL_CITATION {"citationID":"OrSt9z4B","properties":{"formattedCitation":"(Vicinanza et al.)","plainCitation":"(Vicinanza et al.)","noteIndex":0},"citationItems":[{"id":4791,"uris":["http://zotero.org/users/7286058/items/IZSQRPRH"],"itemData":{"id":4791,"type":"article-journal","abstract":"Mesenchymal stem stromal cells (MSC) are characterized by the intriguing capacity to home toward cancer cells after systemic administration. Thus, MSC can be harnessed as targeted delivery vehicles of cytotoxic agents against tumors. In cancer patients, MSC based advanced cellular therapies were shown to be safe but their clinical efficacy was limited. Indeed, the amount of systemically infused MSC actually homing to human cancer masses is insufficient to reduce tumor growth. Moreover, induction of an unequivocal anticancer cytotoxic phenotype in expanded MSC is necessary to achieve significant therapeutic efficacy. Ex vivo cell modifications are, thus, required to improve anti-cancer properties of MSC. MSC based cellular therapy products must be handled in compliance with good manufacturing practice (GMP) guidelines. In the present review we include MSCimproving manipulation approaches that, even though actually tested at preclinical level, could be compatible with GMP guidelines. In particular, we describe possible approaches to improve MSC homing on cancer, including genetic engineering, membrane modification and cytokine priming. Similarly, we discuss appropriate modalities aimed at inducing a marked cytotoxic phenotype in expanded MSC by direct chemotherapeutic drug loading or by genetic methods. In conclusion, we suggest that, to configure MSC as a powerful weapon against cancer, combinations of clinical grade compatible modification protocols that are currently selected, should be introduced in the final product. Highly standardized cancer clinical trials are required to test the efficacy of ameliorated MSC based cell therapies.","container-title":"World Journal of Stem Cells","DOI":"10.4252/wjsc.v14.i1.54","ISSN":"1948-0210","issue":"1","journalAbbreviation":"WJSC","language":"en","page":"54-75","source":"DOI.org (Crossref)","title":"Modified mesenchymal stem cells in cancer therapy: A smart weapon requiring upgrades for wider clinical applications","title-short":"Modified mesenchymal stem cells in cancer therapy","URL":"https://www.wjgnet.com/1948-0210/full/v14/i1/54.htm","volume":"14","author":[{"family":"Vicinanza","given":"Carla"},{"family":"Lombardi","given":"Elisabetta"},{"family":"Ros","given":"Francesco Da"},{"family":"Marangon","given":"Miriam"},{"family":"Durante","given":"Cristina"},{"family":"Mazzucato","given":"Mario"},{"family":"Agostini","given":"Francesco"}],"accessed":{"date-parts":[["2022",10,27]]},"issued":{"date-parts":[["2022",1,26]]}}}],"schema":"https://github.com/citation-style-language/schema/raw/master/csl-citation.json"} </w:instrText>
      </w:r>
      <w:r>
        <w:rPr>
          <w:rFonts w:ascii="Tahoma" w:hAnsi="Tahoma" w:cs="Tahoma"/>
        </w:rPr>
        <w:fldChar w:fldCharType="separate"/>
      </w:r>
      <w:r>
        <w:rPr>
          <w:rFonts w:ascii="Tahoma" w:hAnsi="Tahoma" w:cs="Tahoma"/>
          <w:noProof/>
        </w:rPr>
        <w:t>(Vicinanza et al.)</w:t>
      </w:r>
      <w:r>
        <w:rPr>
          <w:rFonts w:ascii="Tahoma" w:hAnsi="Tahoma" w:cs="Tahoma"/>
        </w:rPr>
        <w:fldChar w:fldCharType="end"/>
      </w:r>
      <w:r>
        <w:rPr>
          <w:rFonts w:ascii="Tahoma" w:hAnsi="Tahoma" w:cs="Tahoma"/>
        </w:rPr>
        <w:t xml:space="preserve">. Its role towards cancer cells, is controversial, favoring metastasis, promoting drug resistance or counteracting cancer expansion </w:t>
      </w:r>
      <w:r>
        <w:rPr>
          <w:rFonts w:ascii="Tahoma" w:hAnsi="Tahoma" w:cs="Tahoma"/>
        </w:rPr>
        <w:fldChar w:fldCharType="begin"/>
      </w:r>
      <w:r>
        <w:rPr>
          <w:rFonts w:ascii="Tahoma" w:hAnsi="Tahoma" w:cs="Tahoma"/>
        </w:rPr>
        <w:instrText xml:space="preserve"> ADDIN ZOTERO_ITEM CSL_CITATION {"citationID":"5S0Xtrgg","properties":{"formattedCitation":"(Vicinanza et al.)","plainCitation":"(Vicinanza et al.)","noteIndex":0},"citationItems":[{"id":4791,"uris":["http://zotero.org/users/7286058/items/IZSQRPRH"],"itemData":{"id":4791,"type":"article-journal","abstract":"Mesenchymal stem stromal cells (MSC) are characterized by the intriguing capacity to home toward cancer cells after systemic administration. Thus, MSC can be harnessed as targeted delivery vehicles of cytotoxic agents against tumors. In cancer patients, MSC based advanced cellular therapies were shown to be safe but their clinical efficacy was limited. Indeed, the amount of systemically infused MSC actually homing to human cancer masses is insufficient to reduce tumor growth. Moreover, induction of an unequivocal anticancer cytotoxic phenotype in expanded MSC is necessary to achieve significant therapeutic efficacy. Ex vivo cell modifications are, thus, required to improve anti-cancer properties of MSC. MSC based cellular therapy products must be handled in compliance with good manufacturing practice (GMP) guidelines. In the present review we include MSCimproving manipulation approaches that, even though actually tested at preclinical level, could be compatible with GMP guidelines. In particular, we describe possible approaches to improve MSC homing on cancer, including genetic engineering, membrane modification and cytokine priming. Similarly, we discuss appropriate modalities aimed at inducing a marked cytotoxic phenotype in expanded MSC by direct chemotherapeutic drug loading or by genetic methods. In conclusion, we suggest that, to configure MSC as a powerful weapon against cancer, combinations of clinical grade compatible modification protocols that are currently selected, should be introduced in the final product. Highly standardized cancer clinical trials are required to test the efficacy of ameliorated MSC based cell therapies.","container-title":"World Journal of Stem Cells","DOI":"10.4252/wjsc.v14.i1.54","ISSN":"1948-0210","issue":"1","journalAbbreviation":"WJSC","language":"en","page":"54-75","source":"DOI.org (Crossref)","title":"Modified mesenchymal stem cells in cancer therapy: A smart weapon requiring upgrades for wider clinical applications","title-short":"Modified mesenchymal stem cells in cancer therapy","URL":"https://www.wjgnet.com/1948-0210/full/v14/i1/54.htm","volume":"14","author":[{"family":"Vicinanza","given":"Carla"},{"family":"Lombardi","given":"Elisabetta"},{"family":"Ros","given":"Francesco Da"},{"family":"Marangon","given":"Miriam"},{"family":"Durante","given":"Cristina"},{"family":"Mazzucato","given":"Mario"},{"family":"Agostini","given":"Francesco"}],"accessed":{"date-parts":[["2022",10,27]]},"issued":{"date-parts":[["2022",1,26]]}}}],"schema":"https://github.com/citation-style-language/schema/raw/master/csl-citation.json"} </w:instrText>
      </w:r>
      <w:r>
        <w:rPr>
          <w:rFonts w:ascii="Tahoma" w:hAnsi="Tahoma" w:cs="Tahoma"/>
        </w:rPr>
        <w:fldChar w:fldCharType="separate"/>
      </w:r>
      <w:r>
        <w:rPr>
          <w:rFonts w:ascii="Tahoma" w:hAnsi="Tahoma" w:cs="Tahoma"/>
          <w:noProof/>
        </w:rPr>
        <w:t>(Vicinanza et al.)</w:t>
      </w:r>
      <w:r>
        <w:rPr>
          <w:rFonts w:ascii="Tahoma" w:hAnsi="Tahoma" w:cs="Tahoma"/>
        </w:rPr>
        <w:fldChar w:fldCharType="end"/>
      </w:r>
      <w:r>
        <w:rPr>
          <w:rFonts w:ascii="Tahoma" w:hAnsi="Tahoma" w:cs="Tahoma"/>
        </w:rPr>
        <w:t>. Compared to ACT, manufacturing requirements for clinical grade production have yet to be defined and honed.</w:t>
      </w:r>
    </w:p>
    <w:p w14:paraId="01ED4AC3" w14:textId="0FF82337" w:rsidR="004946F6" w:rsidRDefault="004946F6" w:rsidP="004946F6">
      <w:pPr>
        <w:rPr>
          <w:rFonts w:ascii="Tahoma" w:hAnsi="Tahoma" w:cs="Tahoma"/>
        </w:rPr>
      </w:pPr>
    </w:p>
    <w:p w14:paraId="3D6BA084" w14:textId="7FC38027" w:rsidR="000753BB" w:rsidRDefault="000753BB" w:rsidP="004946F6">
      <w:pPr>
        <w:rPr>
          <w:rFonts w:ascii="Tahoma" w:hAnsi="Tahoma" w:cs="Tahoma"/>
        </w:rPr>
      </w:pPr>
      <w:r w:rsidRPr="00403F56">
        <w:rPr>
          <w:rFonts w:ascii="Tahoma" w:hAnsi="Tahoma" w:cs="Tahoma"/>
          <w:u w:val="single"/>
        </w:rPr>
        <w:t>References</w:t>
      </w:r>
      <w:r w:rsidRPr="000753BB">
        <w:rPr>
          <w:rFonts w:ascii="Tahoma" w:hAnsi="Tahoma" w:cs="Tahoma"/>
        </w:rPr>
        <w:t>:</w:t>
      </w:r>
    </w:p>
    <w:p w14:paraId="1C805D44" w14:textId="77777777" w:rsidR="004946F6" w:rsidRDefault="004946F6" w:rsidP="004946F6"/>
    <w:p w14:paraId="75708E73" w14:textId="77777777" w:rsidR="009F54F6" w:rsidRPr="009F54F6" w:rsidRDefault="006A2F19" w:rsidP="009F54F6">
      <w:pPr>
        <w:pStyle w:val="Bibliography"/>
      </w:pPr>
      <w:r>
        <w:fldChar w:fldCharType="begin"/>
      </w:r>
      <w:r w:rsidR="009F54F6">
        <w:instrText xml:space="preserve"> ADDIN ZOTERO_BIBL {"uncited":[],"omitted":[],"custom":[]} CSL_BIBLIOGRAPHY </w:instrText>
      </w:r>
      <w:r>
        <w:fldChar w:fldCharType="separate"/>
      </w:r>
      <w:r w:rsidR="009F54F6" w:rsidRPr="009F54F6">
        <w:t xml:space="preserve">Chen, H. C., et al. “A Novel Rotating-Shaft Bioreactor for Two-Phase Cultivation of Tissue-Engineered Cartilage.” </w:t>
      </w:r>
      <w:r w:rsidR="009F54F6" w:rsidRPr="009F54F6">
        <w:rPr>
          <w:i/>
          <w:iCs/>
        </w:rPr>
        <w:t>Biotechnology Progress</w:t>
      </w:r>
      <w:r w:rsidR="009F54F6" w:rsidRPr="009F54F6">
        <w:t xml:space="preserve">, vol. 20, no. 6, Dec. 2004, pp. 1802–09. </w:t>
      </w:r>
      <w:r w:rsidR="009F54F6" w:rsidRPr="009F54F6">
        <w:rPr>
          <w:i/>
          <w:iCs/>
        </w:rPr>
        <w:t>DOI.org (Crossref)</w:t>
      </w:r>
      <w:r w:rsidR="009F54F6" w:rsidRPr="009F54F6">
        <w:t>, https://doi.org/10.1021/bp049740s.</w:t>
      </w:r>
    </w:p>
    <w:p w14:paraId="7A15BDD2" w14:textId="77777777" w:rsidR="009F54F6" w:rsidRPr="009F54F6" w:rsidRDefault="009F54F6" w:rsidP="009F54F6">
      <w:pPr>
        <w:pStyle w:val="Bibliography"/>
      </w:pPr>
      <w:r w:rsidRPr="009F54F6">
        <w:lastRenderedPageBreak/>
        <w:t xml:space="preserve">Magalhaes, Isabelle, et al. “Facing the Future: Challenges and Opportunities in Adoptive T Cell Therapy in Cancer.” </w:t>
      </w:r>
      <w:r w:rsidRPr="009F54F6">
        <w:rPr>
          <w:i/>
          <w:iCs/>
        </w:rPr>
        <w:t>Expert Opinion on Biological Therapy</w:t>
      </w:r>
      <w:r w:rsidRPr="009F54F6">
        <w:t xml:space="preserve">, vol. 19, no. 8, Aug. 2019, pp. 811–27. </w:t>
      </w:r>
      <w:r w:rsidRPr="009F54F6">
        <w:rPr>
          <w:i/>
          <w:iCs/>
        </w:rPr>
        <w:t>DOI.org (Crossref)</w:t>
      </w:r>
      <w:r w:rsidRPr="009F54F6">
        <w:t>, https://doi.org/10.1080/14712598.2019.1608179.</w:t>
      </w:r>
    </w:p>
    <w:p w14:paraId="2F201ECC" w14:textId="77777777" w:rsidR="009F54F6" w:rsidRPr="009F54F6" w:rsidRDefault="009F54F6" w:rsidP="009F54F6">
      <w:pPr>
        <w:pStyle w:val="Bibliography"/>
      </w:pPr>
      <w:r w:rsidRPr="009F54F6">
        <w:t xml:space="preserve">Petersen, Thomas H., et al. “Bioreactor for the Long-Term Culture of Lung Tissue.” </w:t>
      </w:r>
      <w:r w:rsidRPr="009F54F6">
        <w:rPr>
          <w:i/>
          <w:iCs/>
        </w:rPr>
        <w:t>Cell Transplantation</w:t>
      </w:r>
      <w:r w:rsidRPr="009F54F6">
        <w:t xml:space="preserve">, vol. 20, no. 7, Aug. 2011, pp. 1117–26. </w:t>
      </w:r>
      <w:r w:rsidRPr="009F54F6">
        <w:rPr>
          <w:i/>
          <w:iCs/>
        </w:rPr>
        <w:t>DOI.org (Crossref)</w:t>
      </w:r>
      <w:r w:rsidRPr="009F54F6">
        <w:t>, https://doi.org/10.3727/096368910X544933.</w:t>
      </w:r>
    </w:p>
    <w:p w14:paraId="7E4A352C" w14:textId="77777777" w:rsidR="009F54F6" w:rsidRPr="009F54F6" w:rsidRDefault="009F54F6" w:rsidP="009F54F6">
      <w:pPr>
        <w:pStyle w:val="Bibliography"/>
      </w:pPr>
      <w:r w:rsidRPr="009F54F6">
        <w:t xml:space="preserve">Rosenberg, Steven A., et al. “Adoptive Cell Transfer: A Clinical Path to Effective Cancer Immunotherapy.” </w:t>
      </w:r>
      <w:r w:rsidRPr="009F54F6">
        <w:rPr>
          <w:i/>
          <w:iCs/>
        </w:rPr>
        <w:t>Nature Reviews Cancer</w:t>
      </w:r>
      <w:r w:rsidRPr="009F54F6">
        <w:t xml:space="preserve">, vol. 8, no. 4, Apr. 2008, pp. 299–308. </w:t>
      </w:r>
      <w:r w:rsidRPr="009F54F6">
        <w:rPr>
          <w:i/>
          <w:iCs/>
        </w:rPr>
        <w:t>DOI.org (Crossref)</w:t>
      </w:r>
      <w:r w:rsidRPr="009F54F6">
        <w:t>, https://doi.org/10.1038/nrc2355.</w:t>
      </w:r>
    </w:p>
    <w:p w14:paraId="7FE6DA9B" w14:textId="77777777" w:rsidR="009F54F6" w:rsidRPr="009F54F6" w:rsidRDefault="009F54F6" w:rsidP="009F54F6">
      <w:pPr>
        <w:pStyle w:val="Bibliography"/>
      </w:pPr>
      <w:r w:rsidRPr="009F54F6">
        <w:t xml:space="preserve">Sarkar, Debanjan, et al. “Engineered Cell Homing.” </w:t>
      </w:r>
      <w:r w:rsidRPr="009F54F6">
        <w:rPr>
          <w:i/>
          <w:iCs/>
        </w:rPr>
        <w:t>Blood</w:t>
      </w:r>
      <w:r w:rsidRPr="009F54F6">
        <w:t xml:space="preserve">, vol. 118, no. 25, Dec. 2011, pp. e184–91. </w:t>
      </w:r>
      <w:r w:rsidRPr="009F54F6">
        <w:rPr>
          <w:i/>
          <w:iCs/>
        </w:rPr>
        <w:t>DOI.org (Crossref)</w:t>
      </w:r>
      <w:r w:rsidRPr="009F54F6">
        <w:t>, https://doi.org/10.1182/blood-2010-10-311464.</w:t>
      </w:r>
    </w:p>
    <w:p w14:paraId="565D75CD" w14:textId="3AC68A10" w:rsidR="009F54F6" w:rsidRPr="009F54F6" w:rsidRDefault="009F54F6" w:rsidP="009F54F6">
      <w:pPr>
        <w:pStyle w:val="Bibliography"/>
      </w:pPr>
      <w:r w:rsidRPr="009F54F6">
        <w:t xml:space="preserve">Vicinanza, Carla, et al. “Modified Mesenchymal Stem Cells in Cancer Therapy: A Smart Weapon Requiring Upgrades for Wider Clinical Applications.” </w:t>
      </w:r>
      <w:r w:rsidRPr="009F54F6">
        <w:rPr>
          <w:i/>
          <w:iCs/>
        </w:rPr>
        <w:t>World Journal of Stem Cells</w:t>
      </w:r>
      <w:r w:rsidRPr="009F54F6">
        <w:t xml:space="preserve">, vol. 14, no. 1, Jan. 2022, pp. 54–75. </w:t>
      </w:r>
      <w:r w:rsidRPr="009F54F6">
        <w:rPr>
          <w:i/>
          <w:iCs/>
        </w:rPr>
        <w:t>DOI.org (Crossref)</w:t>
      </w:r>
      <w:r w:rsidRPr="009F54F6">
        <w:t>, https://doi.org/10.4252/wjsc.v14.i1.54.</w:t>
      </w:r>
    </w:p>
    <w:p w14:paraId="5B33E927" w14:textId="2D9F6719" w:rsidR="006A2F19" w:rsidRDefault="006A2F19" w:rsidP="00E023FA">
      <w:r>
        <w:fldChar w:fldCharType="end"/>
      </w:r>
    </w:p>
    <w:p w14:paraId="13EDC917" w14:textId="73CB5758" w:rsidR="000D314C" w:rsidRDefault="000D314C" w:rsidP="000D314C">
      <w:pPr>
        <w:pStyle w:val="NormalWeb"/>
        <w:rPr>
          <w:rFonts w:ascii="Tahoma" w:hAnsi="Tahoma" w:cs="Tahoma"/>
          <w:b/>
          <w:bCs/>
          <w:color w:val="004982"/>
          <w:sz w:val="28"/>
          <w:szCs w:val="28"/>
        </w:rPr>
      </w:pPr>
      <w:r>
        <w:rPr>
          <w:rFonts w:ascii="Tahoma" w:hAnsi="Tahoma" w:cs="Tahoma"/>
          <w:b/>
          <w:bCs/>
          <w:noProof/>
          <w:color w:val="004982"/>
          <w:sz w:val="28"/>
          <w:szCs w:val="28"/>
        </w:rPr>
        <w:drawing>
          <wp:inline distT="0" distB="0" distL="0" distR="0" wp14:anchorId="5AE2B24B" wp14:editId="196FE352">
            <wp:extent cx="5943600" cy="1685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685290"/>
                    </a:xfrm>
                    <a:prstGeom prst="rect">
                      <a:avLst/>
                    </a:prstGeom>
                  </pic:spPr>
                </pic:pic>
              </a:graphicData>
            </a:graphic>
          </wp:inline>
        </w:drawing>
      </w:r>
    </w:p>
    <w:sectPr w:rsidR="000D314C"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8BE8" w14:textId="77777777" w:rsidR="0054652B" w:rsidRDefault="0054652B" w:rsidP="002E070F">
      <w:r>
        <w:separator/>
      </w:r>
    </w:p>
  </w:endnote>
  <w:endnote w:type="continuationSeparator" w:id="0">
    <w:p w14:paraId="3FA69F8C" w14:textId="77777777" w:rsidR="0054652B" w:rsidRDefault="0054652B"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D8140" w14:textId="77777777" w:rsidR="0054652B" w:rsidRDefault="0054652B" w:rsidP="002E070F">
      <w:r>
        <w:separator/>
      </w:r>
    </w:p>
  </w:footnote>
  <w:footnote w:type="continuationSeparator" w:id="0">
    <w:p w14:paraId="7E9457E2" w14:textId="77777777" w:rsidR="0054652B" w:rsidRDefault="0054652B"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563C6"/>
    <w:multiLevelType w:val="hybridMultilevel"/>
    <w:tmpl w:val="19EAB026"/>
    <w:lvl w:ilvl="0" w:tplc="AF6E82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0472C0"/>
    <w:multiLevelType w:val="multilevel"/>
    <w:tmpl w:val="029A1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76235"/>
    <w:multiLevelType w:val="hybridMultilevel"/>
    <w:tmpl w:val="A828A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A05689"/>
    <w:multiLevelType w:val="hybridMultilevel"/>
    <w:tmpl w:val="E93ADC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FA41DF"/>
    <w:multiLevelType w:val="hybridMultilevel"/>
    <w:tmpl w:val="8EA015F0"/>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413AFF"/>
    <w:multiLevelType w:val="hybridMultilevel"/>
    <w:tmpl w:val="C88C3AE2"/>
    <w:lvl w:ilvl="0" w:tplc="F51E0ED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4320DAF"/>
    <w:multiLevelType w:val="hybridMultilevel"/>
    <w:tmpl w:val="9EBE4642"/>
    <w:lvl w:ilvl="0" w:tplc="52DE6CF0">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4B7204C"/>
    <w:multiLevelType w:val="hybridMultilevel"/>
    <w:tmpl w:val="8CF8A1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357DFD"/>
    <w:multiLevelType w:val="hybridMultilevel"/>
    <w:tmpl w:val="354875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7E5164"/>
    <w:multiLevelType w:val="hybridMultilevel"/>
    <w:tmpl w:val="267E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43565F"/>
    <w:multiLevelType w:val="hybridMultilevel"/>
    <w:tmpl w:val="6026F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6C7341"/>
    <w:multiLevelType w:val="hybridMultilevel"/>
    <w:tmpl w:val="E40E6C3C"/>
    <w:lvl w:ilvl="0" w:tplc="B23AFFB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965E48"/>
    <w:multiLevelType w:val="hybridMultilevel"/>
    <w:tmpl w:val="89C25E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1C56BB4"/>
    <w:multiLevelType w:val="hybridMultilevel"/>
    <w:tmpl w:val="C6B6E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FC6BDE"/>
    <w:multiLevelType w:val="multilevel"/>
    <w:tmpl w:val="F200B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614CA"/>
    <w:multiLevelType w:val="multilevel"/>
    <w:tmpl w:val="D3B8F88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2231A"/>
    <w:multiLevelType w:val="hybridMultilevel"/>
    <w:tmpl w:val="B74ED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620BF6"/>
    <w:multiLevelType w:val="hybridMultilevel"/>
    <w:tmpl w:val="ED38FB86"/>
    <w:lvl w:ilvl="0" w:tplc="AE768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292851"/>
    <w:multiLevelType w:val="hybridMultilevel"/>
    <w:tmpl w:val="F546F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DB5EE8"/>
    <w:multiLevelType w:val="multilevel"/>
    <w:tmpl w:val="50F892AA"/>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4C6B6DCD"/>
    <w:multiLevelType w:val="hybridMultilevel"/>
    <w:tmpl w:val="27CAB9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E7051E4"/>
    <w:multiLevelType w:val="hybridMultilevel"/>
    <w:tmpl w:val="4444716E"/>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52C93464"/>
    <w:multiLevelType w:val="hybridMultilevel"/>
    <w:tmpl w:val="696E0280"/>
    <w:lvl w:ilvl="0" w:tplc="E8B64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E0D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7727C6B"/>
    <w:multiLevelType w:val="hybridMultilevel"/>
    <w:tmpl w:val="E22C78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296B0A"/>
    <w:multiLevelType w:val="hybridMultilevel"/>
    <w:tmpl w:val="1A14DD00"/>
    <w:lvl w:ilvl="0" w:tplc="CD5CE380">
      <w:start w:val="1"/>
      <w:numFmt w:val="decimal"/>
      <w:lvlText w:val="%1."/>
      <w:lvlJc w:val="left"/>
      <w:pPr>
        <w:ind w:left="720" w:hanging="360"/>
      </w:pPr>
      <w:rPr>
        <w:rFonts w:eastAsiaTheme="minorHAnsi" w:hint="default"/>
        <w:b w:val="0"/>
        <w:i w:val="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8970C7"/>
    <w:multiLevelType w:val="multilevel"/>
    <w:tmpl w:val="5AF4C6AE"/>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5B662BC3"/>
    <w:multiLevelType w:val="hybridMultilevel"/>
    <w:tmpl w:val="E45E7A0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C70890"/>
    <w:multiLevelType w:val="hybridMultilevel"/>
    <w:tmpl w:val="762603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E9302A"/>
    <w:multiLevelType w:val="hybridMultilevel"/>
    <w:tmpl w:val="629A22DC"/>
    <w:lvl w:ilvl="0" w:tplc="B944042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1AD736D"/>
    <w:multiLevelType w:val="hybridMultilevel"/>
    <w:tmpl w:val="D7DCC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1F6025"/>
    <w:multiLevelType w:val="hybridMultilevel"/>
    <w:tmpl w:val="8C9A9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DB2203"/>
    <w:multiLevelType w:val="hybridMultilevel"/>
    <w:tmpl w:val="A65CB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48C2009"/>
    <w:multiLevelType w:val="multilevel"/>
    <w:tmpl w:val="45068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0D3CCD"/>
    <w:multiLevelType w:val="hybridMultilevel"/>
    <w:tmpl w:val="6E703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F3B61"/>
    <w:multiLevelType w:val="hybridMultilevel"/>
    <w:tmpl w:val="5090211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AF63F6E"/>
    <w:multiLevelType w:val="hybridMultilevel"/>
    <w:tmpl w:val="6986A80A"/>
    <w:lvl w:ilvl="0" w:tplc="5CF23A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94B59"/>
    <w:multiLevelType w:val="hybridMultilevel"/>
    <w:tmpl w:val="9D369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414612"/>
    <w:multiLevelType w:val="hybridMultilevel"/>
    <w:tmpl w:val="DED078A0"/>
    <w:lvl w:ilvl="0" w:tplc="B2F02050">
      <w:start w:val="19"/>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9" w15:restartNumberingAfterBreak="0">
    <w:nsid w:val="74455B2A"/>
    <w:multiLevelType w:val="hybridMultilevel"/>
    <w:tmpl w:val="2F82F68A"/>
    <w:lvl w:ilvl="0" w:tplc="73EEFB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7584D18"/>
    <w:multiLevelType w:val="hybridMultilevel"/>
    <w:tmpl w:val="C7C2E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9800654"/>
    <w:multiLevelType w:val="multilevel"/>
    <w:tmpl w:val="E2906C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7ACB071F"/>
    <w:multiLevelType w:val="multilevel"/>
    <w:tmpl w:val="A588DA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B5719BE"/>
    <w:multiLevelType w:val="hybridMultilevel"/>
    <w:tmpl w:val="7134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14652"/>
    <w:multiLevelType w:val="hybridMultilevel"/>
    <w:tmpl w:val="F46446C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4617102">
    <w:abstractNumId w:val="14"/>
  </w:num>
  <w:num w:numId="2" w16cid:durableId="170222724">
    <w:abstractNumId w:val="4"/>
  </w:num>
  <w:num w:numId="3" w16cid:durableId="1656107248">
    <w:abstractNumId w:val="6"/>
  </w:num>
  <w:num w:numId="4" w16cid:durableId="1208643200">
    <w:abstractNumId w:val="30"/>
  </w:num>
  <w:num w:numId="5" w16cid:durableId="619142107">
    <w:abstractNumId w:val="5"/>
  </w:num>
  <w:num w:numId="6" w16cid:durableId="289701588">
    <w:abstractNumId w:val="29"/>
  </w:num>
  <w:num w:numId="7" w16cid:durableId="962152761">
    <w:abstractNumId w:val="20"/>
  </w:num>
  <w:num w:numId="8" w16cid:durableId="1298340162">
    <w:abstractNumId w:val="39"/>
  </w:num>
  <w:num w:numId="9" w16cid:durableId="936712752">
    <w:abstractNumId w:val="25"/>
  </w:num>
  <w:num w:numId="10" w16cid:durableId="1868446986">
    <w:abstractNumId w:val="11"/>
  </w:num>
  <w:num w:numId="11" w16cid:durableId="30302769">
    <w:abstractNumId w:val="13"/>
  </w:num>
  <w:num w:numId="12" w16cid:durableId="1299913665">
    <w:abstractNumId w:val="22"/>
  </w:num>
  <w:num w:numId="13" w16cid:durableId="989332799">
    <w:abstractNumId w:val="40"/>
  </w:num>
  <w:num w:numId="14" w16cid:durableId="567573440">
    <w:abstractNumId w:val="17"/>
  </w:num>
  <w:num w:numId="15" w16cid:durableId="1294555110">
    <w:abstractNumId w:val="0"/>
  </w:num>
  <w:num w:numId="16" w16cid:durableId="1863744528">
    <w:abstractNumId w:val="16"/>
  </w:num>
  <w:num w:numId="17" w16cid:durableId="1811901423">
    <w:abstractNumId w:val="33"/>
  </w:num>
  <w:num w:numId="18" w16cid:durableId="1096560177">
    <w:abstractNumId w:val="23"/>
  </w:num>
  <w:num w:numId="19" w16cid:durableId="1205562634">
    <w:abstractNumId w:val="31"/>
  </w:num>
  <w:num w:numId="20" w16cid:durableId="38819174">
    <w:abstractNumId w:val="34"/>
  </w:num>
  <w:num w:numId="21" w16cid:durableId="1963225767">
    <w:abstractNumId w:val="9"/>
  </w:num>
  <w:num w:numId="22" w16cid:durableId="651720454">
    <w:abstractNumId w:val="37"/>
  </w:num>
  <w:num w:numId="23" w16cid:durableId="332345630">
    <w:abstractNumId w:val="2"/>
  </w:num>
  <w:num w:numId="24" w16cid:durableId="1311599072">
    <w:abstractNumId w:val="43"/>
  </w:num>
  <w:num w:numId="25" w16cid:durableId="1171992100">
    <w:abstractNumId w:val="1"/>
  </w:num>
  <w:num w:numId="26" w16cid:durableId="1701935460">
    <w:abstractNumId w:val="8"/>
  </w:num>
  <w:num w:numId="27" w16cid:durableId="1338574284">
    <w:abstractNumId w:val="41"/>
  </w:num>
  <w:num w:numId="28" w16cid:durableId="1240405908">
    <w:abstractNumId w:val="36"/>
  </w:num>
  <w:num w:numId="29" w16cid:durableId="402022764">
    <w:abstractNumId w:val="7"/>
  </w:num>
  <w:num w:numId="30" w16cid:durableId="1868835599">
    <w:abstractNumId w:val="21"/>
  </w:num>
  <w:num w:numId="31" w16cid:durableId="1214582979">
    <w:abstractNumId w:val="12"/>
  </w:num>
  <w:num w:numId="32" w16cid:durableId="1227256818">
    <w:abstractNumId w:val="35"/>
  </w:num>
  <w:num w:numId="33" w16cid:durableId="814689419">
    <w:abstractNumId w:val="3"/>
  </w:num>
  <w:num w:numId="34" w16cid:durableId="834221272">
    <w:abstractNumId w:val="44"/>
  </w:num>
  <w:num w:numId="35" w16cid:durableId="236743555">
    <w:abstractNumId w:val="42"/>
  </w:num>
  <w:num w:numId="36" w16cid:durableId="219244449">
    <w:abstractNumId w:val="24"/>
  </w:num>
  <w:num w:numId="37" w16cid:durableId="989552538">
    <w:abstractNumId w:val="15"/>
  </w:num>
  <w:num w:numId="38" w16cid:durableId="648439279">
    <w:abstractNumId w:val="28"/>
  </w:num>
  <w:num w:numId="39" w16cid:durableId="468979821">
    <w:abstractNumId w:val="19"/>
  </w:num>
  <w:num w:numId="40" w16cid:durableId="1775439641">
    <w:abstractNumId w:val="38"/>
  </w:num>
  <w:num w:numId="41" w16cid:durableId="1011906317">
    <w:abstractNumId w:val="27"/>
  </w:num>
  <w:num w:numId="42" w16cid:durableId="1722166180">
    <w:abstractNumId w:val="26"/>
  </w:num>
  <w:num w:numId="43" w16cid:durableId="1991443721">
    <w:abstractNumId w:val="32"/>
  </w:num>
  <w:num w:numId="44" w16cid:durableId="307519338">
    <w:abstractNumId w:val="10"/>
  </w:num>
  <w:num w:numId="45" w16cid:durableId="169129690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3897"/>
    <w:rsid w:val="00003F01"/>
    <w:rsid w:val="00013E0C"/>
    <w:rsid w:val="000146F7"/>
    <w:rsid w:val="0002148A"/>
    <w:rsid w:val="00022025"/>
    <w:rsid w:val="00025213"/>
    <w:rsid w:val="000262A1"/>
    <w:rsid w:val="00027CC8"/>
    <w:rsid w:val="00030CEC"/>
    <w:rsid w:val="00032BB2"/>
    <w:rsid w:val="000358C5"/>
    <w:rsid w:val="00040441"/>
    <w:rsid w:val="0004406D"/>
    <w:rsid w:val="000452E3"/>
    <w:rsid w:val="00046382"/>
    <w:rsid w:val="000551E9"/>
    <w:rsid w:val="00056471"/>
    <w:rsid w:val="00065E1A"/>
    <w:rsid w:val="00071AA2"/>
    <w:rsid w:val="0007399A"/>
    <w:rsid w:val="00074F71"/>
    <w:rsid w:val="00075054"/>
    <w:rsid w:val="000753BB"/>
    <w:rsid w:val="000768FB"/>
    <w:rsid w:val="00077C65"/>
    <w:rsid w:val="0008220C"/>
    <w:rsid w:val="00082CED"/>
    <w:rsid w:val="000852C6"/>
    <w:rsid w:val="000855DB"/>
    <w:rsid w:val="0008659D"/>
    <w:rsid w:val="00086E12"/>
    <w:rsid w:val="000922BE"/>
    <w:rsid w:val="00094045"/>
    <w:rsid w:val="000943F5"/>
    <w:rsid w:val="00094CA9"/>
    <w:rsid w:val="000959D7"/>
    <w:rsid w:val="000A3896"/>
    <w:rsid w:val="000A4465"/>
    <w:rsid w:val="000A4A4A"/>
    <w:rsid w:val="000C06F6"/>
    <w:rsid w:val="000C13BC"/>
    <w:rsid w:val="000C476B"/>
    <w:rsid w:val="000C7EBD"/>
    <w:rsid w:val="000D314C"/>
    <w:rsid w:val="000E00DE"/>
    <w:rsid w:val="000E0A1F"/>
    <w:rsid w:val="000E11C1"/>
    <w:rsid w:val="000E1514"/>
    <w:rsid w:val="000E45AA"/>
    <w:rsid w:val="000F08CE"/>
    <w:rsid w:val="000F5E33"/>
    <w:rsid w:val="00103108"/>
    <w:rsid w:val="00113460"/>
    <w:rsid w:val="00120768"/>
    <w:rsid w:val="00120D4F"/>
    <w:rsid w:val="001216FC"/>
    <w:rsid w:val="00124878"/>
    <w:rsid w:val="00131693"/>
    <w:rsid w:val="00132916"/>
    <w:rsid w:val="00133871"/>
    <w:rsid w:val="00133CA8"/>
    <w:rsid w:val="00145665"/>
    <w:rsid w:val="001467DC"/>
    <w:rsid w:val="001532A6"/>
    <w:rsid w:val="001639B7"/>
    <w:rsid w:val="00164B30"/>
    <w:rsid w:val="00171CB9"/>
    <w:rsid w:val="00171DEE"/>
    <w:rsid w:val="001721AD"/>
    <w:rsid w:val="00173AFC"/>
    <w:rsid w:val="00176408"/>
    <w:rsid w:val="001767B5"/>
    <w:rsid w:val="00182FA8"/>
    <w:rsid w:val="00183C3E"/>
    <w:rsid w:val="001849D6"/>
    <w:rsid w:val="00186354"/>
    <w:rsid w:val="00186AF1"/>
    <w:rsid w:val="001872DF"/>
    <w:rsid w:val="00191849"/>
    <w:rsid w:val="00193271"/>
    <w:rsid w:val="001A0D6F"/>
    <w:rsid w:val="001A13DD"/>
    <w:rsid w:val="001A5F29"/>
    <w:rsid w:val="001A7676"/>
    <w:rsid w:val="001B2DF8"/>
    <w:rsid w:val="001C09C4"/>
    <w:rsid w:val="001C2819"/>
    <w:rsid w:val="001D19A9"/>
    <w:rsid w:val="001D2AB5"/>
    <w:rsid w:val="001D4BEB"/>
    <w:rsid w:val="001D4CE5"/>
    <w:rsid w:val="001D63D7"/>
    <w:rsid w:val="001F190C"/>
    <w:rsid w:val="001F462C"/>
    <w:rsid w:val="001F4D65"/>
    <w:rsid w:val="00211C07"/>
    <w:rsid w:val="00213154"/>
    <w:rsid w:val="00224A0F"/>
    <w:rsid w:val="00224B78"/>
    <w:rsid w:val="00234E31"/>
    <w:rsid w:val="002360CB"/>
    <w:rsid w:val="00236DEF"/>
    <w:rsid w:val="0024320C"/>
    <w:rsid w:val="0024332A"/>
    <w:rsid w:val="0024576B"/>
    <w:rsid w:val="002472E2"/>
    <w:rsid w:val="00250728"/>
    <w:rsid w:val="00252666"/>
    <w:rsid w:val="002551D7"/>
    <w:rsid w:val="002559CB"/>
    <w:rsid w:val="00255DFE"/>
    <w:rsid w:val="0025644F"/>
    <w:rsid w:val="00257EB0"/>
    <w:rsid w:val="0026221A"/>
    <w:rsid w:val="00263D32"/>
    <w:rsid w:val="00264584"/>
    <w:rsid w:val="00267FE5"/>
    <w:rsid w:val="00272519"/>
    <w:rsid w:val="002730A7"/>
    <w:rsid w:val="002745F9"/>
    <w:rsid w:val="00276F24"/>
    <w:rsid w:val="00283E7F"/>
    <w:rsid w:val="00284473"/>
    <w:rsid w:val="002903D2"/>
    <w:rsid w:val="00291F5B"/>
    <w:rsid w:val="0029639B"/>
    <w:rsid w:val="002964F2"/>
    <w:rsid w:val="002A0E23"/>
    <w:rsid w:val="002A22EA"/>
    <w:rsid w:val="002A248C"/>
    <w:rsid w:val="002A3E6C"/>
    <w:rsid w:val="002B27C4"/>
    <w:rsid w:val="002B2B83"/>
    <w:rsid w:val="002B2C33"/>
    <w:rsid w:val="002B4BA4"/>
    <w:rsid w:val="002C30A0"/>
    <w:rsid w:val="002C374E"/>
    <w:rsid w:val="002C7126"/>
    <w:rsid w:val="002D381C"/>
    <w:rsid w:val="002D419A"/>
    <w:rsid w:val="002E070F"/>
    <w:rsid w:val="002E244A"/>
    <w:rsid w:val="002E3A9C"/>
    <w:rsid w:val="002E417C"/>
    <w:rsid w:val="002E54C6"/>
    <w:rsid w:val="002E6140"/>
    <w:rsid w:val="002E6585"/>
    <w:rsid w:val="002E7983"/>
    <w:rsid w:val="002F06AB"/>
    <w:rsid w:val="002F793E"/>
    <w:rsid w:val="003011AF"/>
    <w:rsid w:val="00305164"/>
    <w:rsid w:val="00316CD2"/>
    <w:rsid w:val="00317718"/>
    <w:rsid w:val="0033041E"/>
    <w:rsid w:val="00337B60"/>
    <w:rsid w:val="00342AB7"/>
    <w:rsid w:val="00343CA4"/>
    <w:rsid w:val="003507EF"/>
    <w:rsid w:val="00350F17"/>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90245"/>
    <w:rsid w:val="003A0BAD"/>
    <w:rsid w:val="003B21CD"/>
    <w:rsid w:val="003B780C"/>
    <w:rsid w:val="003C0CC9"/>
    <w:rsid w:val="003C2A5D"/>
    <w:rsid w:val="003C6827"/>
    <w:rsid w:val="003C6BEC"/>
    <w:rsid w:val="003D3461"/>
    <w:rsid w:val="003D7DB4"/>
    <w:rsid w:val="003D7E3F"/>
    <w:rsid w:val="003D7F0A"/>
    <w:rsid w:val="003E0400"/>
    <w:rsid w:val="003E1467"/>
    <w:rsid w:val="003E1A01"/>
    <w:rsid w:val="003E303F"/>
    <w:rsid w:val="003E3B30"/>
    <w:rsid w:val="003E7205"/>
    <w:rsid w:val="003F7C6D"/>
    <w:rsid w:val="00401212"/>
    <w:rsid w:val="00403F56"/>
    <w:rsid w:val="004051DB"/>
    <w:rsid w:val="0040799F"/>
    <w:rsid w:val="004108F0"/>
    <w:rsid w:val="00415849"/>
    <w:rsid w:val="004166DC"/>
    <w:rsid w:val="004258E0"/>
    <w:rsid w:val="004319C8"/>
    <w:rsid w:val="00431C7C"/>
    <w:rsid w:val="00436E2F"/>
    <w:rsid w:val="004377F0"/>
    <w:rsid w:val="004449FA"/>
    <w:rsid w:val="00444D37"/>
    <w:rsid w:val="004452A2"/>
    <w:rsid w:val="0045128B"/>
    <w:rsid w:val="00456D81"/>
    <w:rsid w:val="004573B4"/>
    <w:rsid w:val="00457C58"/>
    <w:rsid w:val="004665CE"/>
    <w:rsid w:val="0047139E"/>
    <w:rsid w:val="004756CC"/>
    <w:rsid w:val="004761B1"/>
    <w:rsid w:val="0047709F"/>
    <w:rsid w:val="00480775"/>
    <w:rsid w:val="00481CDD"/>
    <w:rsid w:val="00485623"/>
    <w:rsid w:val="00490B26"/>
    <w:rsid w:val="00493F25"/>
    <w:rsid w:val="004946F6"/>
    <w:rsid w:val="004967F6"/>
    <w:rsid w:val="004B1BA6"/>
    <w:rsid w:val="004B3251"/>
    <w:rsid w:val="004B45B7"/>
    <w:rsid w:val="004B7319"/>
    <w:rsid w:val="004C24E3"/>
    <w:rsid w:val="004C2C97"/>
    <w:rsid w:val="004C3DB8"/>
    <w:rsid w:val="004C7EF3"/>
    <w:rsid w:val="004D0207"/>
    <w:rsid w:val="004D0783"/>
    <w:rsid w:val="004D53F0"/>
    <w:rsid w:val="004E12B2"/>
    <w:rsid w:val="004E57C0"/>
    <w:rsid w:val="004F1EAE"/>
    <w:rsid w:val="004F2CE4"/>
    <w:rsid w:val="004F373F"/>
    <w:rsid w:val="004F3F2E"/>
    <w:rsid w:val="004F45DC"/>
    <w:rsid w:val="005040BB"/>
    <w:rsid w:val="00506551"/>
    <w:rsid w:val="005100B6"/>
    <w:rsid w:val="00510DA9"/>
    <w:rsid w:val="00513C03"/>
    <w:rsid w:val="00520396"/>
    <w:rsid w:val="00520655"/>
    <w:rsid w:val="00520728"/>
    <w:rsid w:val="00520948"/>
    <w:rsid w:val="005209F2"/>
    <w:rsid w:val="005226CD"/>
    <w:rsid w:val="0052314F"/>
    <w:rsid w:val="00532A6A"/>
    <w:rsid w:val="00535653"/>
    <w:rsid w:val="0053759F"/>
    <w:rsid w:val="00540ECF"/>
    <w:rsid w:val="005444D6"/>
    <w:rsid w:val="0054652B"/>
    <w:rsid w:val="005508C9"/>
    <w:rsid w:val="00551FFD"/>
    <w:rsid w:val="005527A7"/>
    <w:rsid w:val="00556C54"/>
    <w:rsid w:val="0056699F"/>
    <w:rsid w:val="0057329E"/>
    <w:rsid w:val="0057440A"/>
    <w:rsid w:val="00577543"/>
    <w:rsid w:val="00584742"/>
    <w:rsid w:val="00584C2D"/>
    <w:rsid w:val="0059090B"/>
    <w:rsid w:val="00590F2E"/>
    <w:rsid w:val="00592748"/>
    <w:rsid w:val="00593539"/>
    <w:rsid w:val="00594DA6"/>
    <w:rsid w:val="005A1DAD"/>
    <w:rsid w:val="005A598C"/>
    <w:rsid w:val="005A5D44"/>
    <w:rsid w:val="005B0D91"/>
    <w:rsid w:val="005B29F3"/>
    <w:rsid w:val="005B48A7"/>
    <w:rsid w:val="005B5E98"/>
    <w:rsid w:val="005C397A"/>
    <w:rsid w:val="005C3A46"/>
    <w:rsid w:val="005D01AE"/>
    <w:rsid w:val="005D21AE"/>
    <w:rsid w:val="005D72EF"/>
    <w:rsid w:val="005E019D"/>
    <w:rsid w:val="005E0C3B"/>
    <w:rsid w:val="005E1A8C"/>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4567"/>
    <w:rsid w:val="00660D56"/>
    <w:rsid w:val="00662F38"/>
    <w:rsid w:val="00663D7C"/>
    <w:rsid w:val="00671154"/>
    <w:rsid w:val="00684FFD"/>
    <w:rsid w:val="00685A1C"/>
    <w:rsid w:val="00686207"/>
    <w:rsid w:val="006874D2"/>
    <w:rsid w:val="006914CD"/>
    <w:rsid w:val="00692036"/>
    <w:rsid w:val="00693C78"/>
    <w:rsid w:val="00696C06"/>
    <w:rsid w:val="00697225"/>
    <w:rsid w:val="006A1CCF"/>
    <w:rsid w:val="006A2925"/>
    <w:rsid w:val="006A2F19"/>
    <w:rsid w:val="006A37C6"/>
    <w:rsid w:val="006A464B"/>
    <w:rsid w:val="006B1AEA"/>
    <w:rsid w:val="006B35B7"/>
    <w:rsid w:val="006B4B85"/>
    <w:rsid w:val="006B5527"/>
    <w:rsid w:val="006C0BF9"/>
    <w:rsid w:val="006C0EEC"/>
    <w:rsid w:val="006C1030"/>
    <w:rsid w:val="006C35E4"/>
    <w:rsid w:val="006C47CB"/>
    <w:rsid w:val="006D0D94"/>
    <w:rsid w:val="006D0DF7"/>
    <w:rsid w:val="006D2E68"/>
    <w:rsid w:val="006D5E5C"/>
    <w:rsid w:val="006E0111"/>
    <w:rsid w:val="006F0713"/>
    <w:rsid w:val="006F407F"/>
    <w:rsid w:val="006F64F5"/>
    <w:rsid w:val="00701AB1"/>
    <w:rsid w:val="00702D80"/>
    <w:rsid w:val="00703949"/>
    <w:rsid w:val="00703DF1"/>
    <w:rsid w:val="007043E8"/>
    <w:rsid w:val="00713184"/>
    <w:rsid w:val="0071620F"/>
    <w:rsid w:val="00717AD8"/>
    <w:rsid w:val="0072021E"/>
    <w:rsid w:val="00723A4D"/>
    <w:rsid w:val="00730D87"/>
    <w:rsid w:val="00737893"/>
    <w:rsid w:val="00741701"/>
    <w:rsid w:val="00745A42"/>
    <w:rsid w:val="00746CFC"/>
    <w:rsid w:val="00747E52"/>
    <w:rsid w:val="00754C61"/>
    <w:rsid w:val="00762754"/>
    <w:rsid w:val="00764E0A"/>
    <w:rsid w:val="0076777A"/>
    <w:rsid w:val="0077098A"/>
    <w:rsid w:val="00770A60"/>
    <w:rsid w:val="00782643"/>
    <w:rsid w:val="007833C4"/>
    <w:rsid w:val="00791017"/>
    <w:rsid w:val="00796F91"/>
    <w:rsid w:val="007977C8"/>
    <w:rsid w:val="007A5512"/>
    <w:rsid w:val="007A5B10"/>
    <w:rsid w:val="007A79DC"/>
    <w:rsid w:val="007B05FF"/>
    <w:rsid w:val="007B3328"/>
    <w:rsid w:val="007B4ED4"/>
    <w:rsid w:val="007C09BF"/>
    <w:rsid w:val="007C1DDA"/>
    <w:rsid w:val="007D0075"/>
    <w:rsid w:val="007D3273"/>
    <w:rsid w:val="007D3436"/>
    <w:rsid w:val="007D3BC3"/>
    <w:rsid w:val="007D5010"/>
    <w:rsid w:val="007D57CD"/>
    <w:rsid w:val="007D5E49"/>
    <w:rsid w:val="007D7356"/>
    <w:rsid w:val="007E4779"/>
    <w:rsid w:val="007E4A90"/>
    <w:rsid w:val="007E4C23"/>
    <w:rsid w:val="007E5DE7"/>
    <w:rsid w:val="007E635F"/>
    <w:rsid w:val="007F369D"/>
    <w:rsid w:val="007F50EE"/>
    <w:rsid w:val="0080304B"/>
    <w:rsid w:val="00810748"/>
    <w:rsid w:val="00813CE4"/>
    <w:rsid w:val="008310FF"/>
    <w:rsid w:val="008364C5"/>
    <w:rsid w:val="00845052"/>
    <w:rsid w:val="00847755"/>
    <w:rsid w:val="00851759"/>
    <w:rsid w:val="00852FC0"/>
    <w:rsid w:val="008546C6"/>
    <w:rsid w:val="0085520A"/>
    <w:rsid w:val="00857393"/>
    <w:rsid w:val="0085750E"/>
    <w:rsid w:val="00862ACE"/>
    <w:rsid w:val="0086429E"/>
    <w:rsid w:val="00866E99"/>
    <w:rsid w:val="00870DB8"/>
    <w:rsid w:val="00872985"/>
    <w:rsid w:val="00872F24"/>
    <w:rsid w:val="00873E4B"/>
    <w:rsid w:val="00874888"/>
    <w:rsid w:val="00874E72"/>
    <w:rsid w:val="0087555E"/>
    <w:rsid w:val="00876A83"/>
    <w:rsid w:val="008831D7"/>
    <w:rsid w:val="00883334"/>
    <w:rsid w:val="00883E4F"/>
    <w:rsid w:val="00885628"/>
    <w:rsid w:val="00892376"/>
    <w:rsid w:val="008924EE"/>
    <w:rsid w:val="008929F6"/>
    <w:rsid w:val="00894E05"/>
    <w:rsid w:val="00896784"/>
    <w:rsid w:val="00897CBD"/>
    <w:rsid w:val="008A4289"/>
    <w:rsid w:val="008A50F6"/>
    <w:rsid w:val="008A7E7A"/>
    <w:rsid w:val="008B29A2"/>
    <w:rsid w:val="008B7ED7"/>
    <w:rsid w:val="008B7FC8"/>
    <w:rsid w:val="008C134D"/>
    <w:rsid w:val="008D481D"/>
    <w:rsid w:val="008D76F6"/>
    <w:rsid w:val="008E3800"/>
    <w:rsid w:val="008E4FB1"/>
    <w:rsid w:val="008E65DF"/>
    <w:rsid w:val="008E6B12"/>
    <w:rsid w:val="008F0EB7"/>
    <w:rsid w:val="008F1617"/>
    <w:rsid w:val="008F4046"/>
    <w:rsid w:val="008F4980"/>
    <w:rsid w:val="008F7908"/>
    <w:rsid w:val="00911C3E"/>
    <w:rsid w:val="00912143"/>
    <w:rsid w:val="00913E6C"/>
    <w:rsid w:val="00916976"/>
    <w:rsid w:val="009169B0"/>
    <w:rsid w:val="00921C3E"/>
    <w:rsid w:val="00927981"/>
    <w:rsid w:val="00931656"/>
    <w:rsid w:val="009353C9"/>
    <w:rsid w:val="009359F7"/>
    <w:rsid w:val="00935D1E"/>
    <w:rsid w:val="0093764E"/>
    <w:rsid w:val="00937AF0"/>
    <w:rsid w:val="00937E05"/>
    <w:rsid w:val="00940E90"/>
    <w:rsid w:val="0094203E"/>
    <w:rsid w:val="00947316"/>
    <w:rsid w:val="00954894"/>
    <w:rsid w:val="00954BC1"/>
    <w:rsid w:val="00955238"/>
    <w:rsid w:val="0095574C"/>
    <w:rsid w:val="009568FE"/>
    <w:rsid w:val="00960D3E"/>
    <w:rsid w:val="00962F6A"/>
    <w:rsid w:val="009654D0"/>
    <w:rsid w:val="00965663"/>
    <w:rsid w:val="009725B0"/>
    <w:rsid w:val="00972B2C"/>
    <w:rsid w:val="009747BB"/>
    <w:rsid w:val="009816F9"/>
    <w:rsid w:val="00990BB1"/>
    <w:rsid w:val="0099386F"/>
    <w:rsid w:val="009959AD"/>
    <w:rsid w:val="00997905"/>
    <w:rsid w:val="009A019C"/>
    <w:rsid w:val="009A063D"/>
    <w:rsid w:val="009A13C1"/>
    <w:rsid w:val="009A15A9"/>
    <w:rsid w:val="009A446B"/>
    <w:rsid w:val="009A53A5"/>
    <w:rsid w:val="009B355D"/>
    <w:rsid w:val="009B3B89"/>
    <w:rsid w:val="009B4032"/>
    <w:rsid w:val="009B4215"/>
    <w:rsid w:val="009B5C07"/>
    <w:rsid w:val="009B5C7C"/>
    <w:rsid w:val="009B68D9"/>
    <w:rsid w:val="009D0A48"/>
    <w:rsid w:val="009D4617"/>
    <w:rsid w:val="009D59C7"/>
    <w:rsid w:val="009E3CE7"/>
    <w:rsid w:val="009F1301"/>
    <w:rsid w:val="009F1B6D"/>
    <w:rsid w:val="009F1FBF"/>
    <w:rsid w:val="009F54F6"/>
    <w:rsid w:val="009F6AC6"/>
    <w:rsid w:val="00A00348"/>
    <w:rsid w:val="00A016D8"/>
    <w:rsid w:val="00A02332"/>
    <w:rsid w:val="00A02F42"/>
    <w:rsid w:val="00A1315A"/>
    <w:rsid w:val="00A2327F"/>
    <w:rsid w:val="00A25E91"/>
    <w:rsid w:val="00A31654"/>
    <w:rsid w:val="00A3312F"/>
    <w:rsid w:val="00A43398"/>
    <w:rsid w:val="00A46CD1"/>
    <w:rsid w:val="00A53DCF"/>
    <w:rsid w:val="00A53EF2"/>
    <w:rsid w:val="00A64215"/>
    <w:rsid w:val="00A93073"/>
    <w:rsid w:val="00A9649F"/>
    <w:rsid w:val="00AA3202"/>
    <w:rsid w:val="00AA4CE6"/>
    <w:rsid w:val="00AA4E15"/>
    <w:rsid w:val="00AA6155"/>
    <w:rsid w:val="00AA6D43"/>
    <w:rsid w:val="00AB13F4"/>
    <w:rsid w:val="00AB50D4"/>
    <w:rsid w:val="00AB685E"/>
    <w:rsid w:val="00AB799E"/>
    <w:rsid w:val="00AC15EE"/>
    <w:rsid w:val="00AC26A0"/>
    <w:rsid w:val="00AC57A2"/>
    <w:rsid w:val="00AC6E92"/>
    <w:rsid w:val="00AC7C55"/>
    <w:rsid w:val="00AD4D92"/>
    <w:rsid w:val="00AD7F14"/>
    <w:rsid w:val="00AE2234"/>
    <w:rsid w:val="00AE53A1"/>
    <w:rsid w:val="00AE76B9"/>
    <w:rsid w:val="00AF528D"/>
    <w:rsid w:val="00B07934"/>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C38"/>
    <w:rsid w:val="00B556BE"/>
    <w:rsid w:val="00B603CD"/>
    <w:rsid w:val="00B605EB"/>
    <w:rsid w:val="00B61FC7"/>
    <w:rsid w:val="00B71F75"/>
    <w:rsid w:val="00B72286"/>
    <w:rsid w:val="00B75C73"/>
    <w:rsid w:val="00B768E3"/>
    <w:rsid w:val="00B82019"/>
    <w:rsid w:val="00B824CC"/>
    <w:rsid w:val="00B83C75"/>
    <w:rsid w:val="00B847C1"/>
    <w:rsid w:val="00B851FC"/>
    <w:rsid w:val="00B86780"/>
    <w:rsid w:val="00B87240"/>
    <w:rsid w:val="00B875C2"/>
    <w:rsid w:val="00B9318A"/>
    <w:rsid w:val="00B94A92"/>
    <w:rsid w:val="00BA0B8B"/>
    <w:rsid w:val="00BA7004"/>
    <w:rsid w:val="00BB2519"/>
    <w:rsid w:val="00BB6BE5"/>
    <w:rsid w:val="00BC3CA8"/>
    <w:rsid w:val="00BD1DCF"/>
    <w:rsid w:val="00BD2107"/>
    <w:rsid w:val="00BD34D7"/>
    <w:rsid w:val="00BD7820"/>
    <w:rsid w:val="00BE0200"/>
    <w:rsid w:val="00BE1CC9"/>
    <w:rsid w:val="00BE5100"/>
    <w:rsid w:val="00BE5EB4"/>
    <w:rsid w:val="00C02A38"/>
    <w:rsid w:val="00C02AE8"/>
    <w:rsid w:val="00C031A0"/>
    <w:rsid w:val="00C045A0"/>
    <w:rsid w:val="00C0549E"/>
    <w:rsid w:val="00C103AA"/>
    <w:rsid w:val="00C1617F"/>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97A"/>
    <w:rsid w:val="00C53A24"/>
    <w:rsid w:val="00C612A3"/>
    <w:rsid w:val="00C7004D"/>
    <w:rsid w:val="00C74A6B"/>
    <w:rsid w:val="00C82FF9"/>
    <w:rsid w:val="00C834A3"/>
    <w:rsid w:val="00C85A9E"/>
    <w:rsid w:val="00C86923"/>
    <w:rsid w:val="00C86FBE"/>
    <w:rsid w:val="00C87976"/>
    <w:rsid w:val="00C91FD7"/>
    <w:rsid w:val="00C9272B"/>
    <w:rsid w:val="00C92E33"/>
    <w:rsid w:val="00C93FB7"/>
    <w:rsid w:val="00C955F7"/>
    <w:rsid w:val="00C95D93"/>
    <w:rsid w:val="00CA0BE2"/>
    <w:rsid w:val="00CA361A"/>
    <w:rsid w:val="00CA5589"/>
    <w:rsid w:val="00CA6752"/>
    <w:rsid w:val="00CB0678"/>
    <w:rsid w:val="00CB09C7"/>
    <w:rsid w:val="00CB2D7A"/>
    <w:rsid w:val="00CB541B"/>
    <w:rsid w:val="00CC55FC"/>
    <w:rsid w:val="00CD0BD7"/>
    <w:rsid w:val="00CD1AF9"/>
    <w:rsid w:val="00CD51FD"/>
    <w:rsid w:val="00CD6F84"/>
    <w:rsid w:val="00CE0346"/>
    <w:rsid w:val="00CE137A"/>
    <w:rsid w:val="00CE399C"/>
    <w:rsid w:val="00CF628D"/>
    <w:rsid w:val="00D01224"/>
    <w:rsid w:val="00D0581C"/>
    <w:rsid w:val="00D059A4"/>
    <w:rsid w:val="00D0623C"/>
    <w:rsid w:val="00D06593"/>
    <w:rsid w:val="00D068C1"/>
    <w:rsid w:val="00D06B04"/>
    <w:rsid w:val="00D1257F"/>
    <w:rsid w:val="00D13A2F"/>
    <w:rsid w:val="00D220A2"/>
    <w:rsid w:val="00D268FC"/>
    <w:rsid w:val="00D277E4"/>
    <w:rsid w:val="00D30E62"/>
    <w:rsid w:val="00D32106"/>
    <w:rsid w:val="00D3507D"/>
    <w:rsid w:val="00D41170"/>
    <w:rsid w:val="00D43F2A"/>
    <w:rsid w:val="00D4440A"/>
    <w:rsid w:val="00D45632"/>
    <w:rsid w:val="00D47E80"/>
    <w:rsid w:val="00D51C57"/>
    <w:rsid w:val="00D560D2"/>
    <w:rsid w:val="00D568F0"/>
    <w:rsid w:val="00D619D5"/>
    <w:rsid w:val="00D64A1B"/>
    <w:rsid w:val="00D65210"/>
    <w:rsid w:val="00D67FF3"/>
    <w:rsid w:val="00D70476"/>
    <w:rsid w:val="00D7138E"/>
    <w:rsid w:val="00D752B4"/>
    <w:rsid w:val="00D755DC"/>
    <w:rsid w:val="00D824A0"/>
    <w:rsid w:val="00D8345B"/>
    <w:rsid w:val="00D8365B"/>
    <w:rsid w:val="00D84E91"/>
    <w:rsid w:val="00D92C4E"/>
    <w:rsid w:val="00D92D5A"/>
    <w:rsid w:val="00D94E9B"/>
    <w:rsid w:val="00D95D3D"/>
    <w:rsid w:val="00D977C0"/>
    <w:rsid w:val="00DA0EED"/>
    <w:rsid w:val="00DA288C"/>
    <w:rsid w:val="00DA4C2A"/>
    <w:rsid w:val="00DA59FC"/>
    <w:rsid w:val="00DA705E"/>
    <w:rsid w:val="00DA7213"/>
    <w:rsid w:val="00DB1B2D"/>
    <w:rsid w:val="00DB3A54"/>
    <w:rsid w:val="00DB51BE"/>
    <w:rsid w:val="00DB70DF"/>
    <w:rsid w:val="00DB74FE"/>
    <w:rsid w:val="00DC10ED"/>
    <w:rsid w:val="00DC3BD4"/>
    <w:rsid w:val="00DC43B7"/>
    <w:rsid w:val="00DC48F3"/>
    <w:rsid w:val="00DC62CA"/>
    <w:rsid w:val="00DD7183"/>
    <w:rsid w:val="00DE19BF"/>
    <w:rsid w:val="00DE581A"/>
    <w:rsid w:val="00DF4654"/>
    <w:rsid w:val="00DF6F9D"/>
    <w:rsid w:val="00E023FA"/>
    <w:rsid w:val="00E03BA9"/>
    <w:rsid w:val="00E03FBA"/>
    <w:rsid w:val="00E06577"/>
    <w:rsid w:val="00E07395"/>
    <w:rsid w:val="00E07B2D"/>
    <w:rsid w:val="00E12447"/>
    <w:rsid w:val="00E12B65"/>
    <w:rsid w:val="00E136DF"/>
    <w:rsid w:val="00E14E1F"/>
    <w:rsid w:val="00E2350B"/>
    <w:rsid w:val="00E2400D"/>
    <w:rsid w:val="00E25247"/>
    <w:rsid w:val="00E26E3C"/>
    <w:rsid w:val="00E32707"/>
    <w:rsid w:val="00E34D29"/>
    <w:rsid w:val="00E3798D"/>
    <w:rsid w:val="00E4316B"/>
    <w:rsid w:val="00E46083"/>
    <w:rsid w:val="00E50D3B"/>
    <w:rsid w:val="00E515A8"/>
    <w:rsid w:val="00E540B6"/>
    <w:rsid w:val="00E54B83"/>
    <w:rsid w:val="00E56EE8"/>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5939"/>
    <w:rsid w:val="00EB779E"/>
    <w:rsid w:val="00EC17A1"/>
    <w:rsid w:val="00EC3BBD"/>
    <w:rsid w:val="00EC3E79"/>
    <w:rsid w:val="00EC4E16"/>
    <w:rsid w:val="00ED0F69"/>
    <w:rsid w:val="00ED2024"/>
    <w:rsid w:val="00ED299C"/>
    <w:rsid w:val="00EE3CB1"/>
    <w:rsid w:val="00EE5525"/>
    <w:rsid w:val="00EE569C"/>
    <w:rsid w:val="00EF017E"/>
    <w:rsid w:val="00EF1A9D"/>
    <w:rsid w:val="00F03F63"/>
    <w:rsid w:val="00F07552"/>
    <w:rsid w:val="00F11BBF"/>
    <w:rsid w:val="00F133DC"/>
    <w:rsid w:val="00F14993"/>
    <w:rsid w:val="00F153F4"/>
    <w:rsid w:val="00F162F1"/>
    <w:rsid w:val="00F20F79"/>
    <w:rsid w:val="00F22FB9"/>
    <w:rsid w:val="00F24085"/>
    <w:rsid w:val="00F257E4"/>
    <w:rsid w:val="00F278DC"/>
    <w:rsid w:val="00F326CA"/>
    <w:rsid w:val="00F34F7E"/>
    <w:rsid w:val="00F3539F"/>
    <w:rsid w:val="00F429D3"/>
    <w:rsid w:val="00F43731"/>
    <w:rsid w:val="00F443F2"/>
    <w:rsid w:val="00F52D7D"/>
    <w:rsid w:val="00F5423A"/>
    <w:rsid w:val="00F55C70"/>
    <w:rsid w:val="00F64A1F"/>
    <w:rsid w:val="00F64B98"/>
    <w:rsid w:val="00F720AB"/>
    <w:rsid w:val="00F843AF"/>
    <w:rsid w:val="00F85EA7"/>
    <w:rsid w:val="00F85ECF"/>
    <w:rsid w:val="00F8774E"/>
    <w:rsid w:val="00F87A6D"/>
    <w:rsid w:val="00F966A2"/>
    <w:rsid w:val="00FA4D4A"/>
    <w:rsid w:val="00FA67FD"/>
    <w:rsid w:val="00FB0A48"/>
    <w:rsid w:val="00FB0FF1"/>
    <w:rsid w:val="00FB2D12"/>
    <w:rsid w:val="00FB641F"/>
    <w:rsid w:val="00FB78DE"/>
    <w:rsid w:val="00FC2314"/>
    <w:rsid w:val="00FC627C"/>
    <w:rsid w:val="00FD0B32"/>
    <w:rsid w:val="00FD711E"/>
    <w:rsid w:val="00FE1AAA"/>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3810</Words>
  <Characters>21723</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2022-11-01T21:30:00Z</cp:lastPrinted>
  <dcterms:created xsi:type="dcterms:W3CDTF">2022-11-01T21:30:00Z</dcterms:created>
  <dcterms:modified xsi:type="dcterms:W3CDTF">2022-11-01T21:33:00Z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id="14rUAvwg"/&gt;&lt;style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