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DD697" w14:textId="0F5F7D98" w:rsidR="000E5285" w:rsidRPr="000E5285" w:rsidRDefault="000E5285" w:rsidP="000E5285">
      <w:pPr>
        <w:pStyle w:val="NormalWeb"/>
        <w:rPr>
          <w:rFonts w:ascii="Arial" w:hAnsi="Arial" w:cs="Arial"/>
          <w:sz w:val="22"/>
          <w:szCs w:val="22"/>
        </w:rPr>
      </w:pPr>
      <w:r w:rsidRPr="000E5285">
        <w:rPr>
          <w:rStyle w:val="Strong"/>
          <w:rFonts w:ascii="Arial" w:eastAsiaTheme="majorEastAsia" w:hAnsi="Arial" w:cs="Arial"/>
          <w:sz w:val="22"/>
          <w:szCs w:val="22"/>
        </w:rPr>
        <w:t>Background</w:t>
      </w:r>
      <w:r w:rsidRPr="000E5285">
        <w:rPr>
          <w:rFonts w:ascii="Arial" w:hAnsi="Arial" w:cs="Arial"/>
          <w:sz w:val="22"/>
          <w:szCs w:val="22"/>
        </w:rPr>
        <w:br/>
        <w:t xml:space="preserve">Glioblastoma (GBM) is the most common malignant primary tumor of the adult central nervous system, </w:t>
      </w:r>
      <w:r w:rsidR="005F6F7D">
        <w:rPr>
          <w:rFonts w:ascii="Arial" w:hAnsi="Arial" w:cs="Arial"/>
          <w:sz w:val="22"/>
          <w:szCs w:val="22"/>
        </w:rPr>
        <w:t xml:space="preserve">and </w:t>
      </w:r>
      <w:r w:rsidR="005F6F7D" w:rsidRPr="000E5285">
        <w:rPr>
          <w:rFonts w:ascii="Arial" w:hAnsi="Arial" w:cs="Arial"/>
          <w:sz w:val="22"/>
          <w:szCs w:val="22"/>
        </w:rPr>
        <w:t>despite aggressive multimodal therap</w:t>
      </w:r>
      <w:r w:rsidR="00EC7992">
        <w:rPr>
          <w:rFonts w:ascii="Arial" w:hAnsi="Arial" w:cs="Arial"/>
          <w:sz w:val="22"/>
          <w:szCs w:val="22"/>
        </w:rPr>
        <w:t>ies</w:t>
      </w:r>
      <w:r w:rsidR="005F6F7D">
        <w:rPr>
          <w:rFonts w:ascii="Arial" w:hAnsi="Arial" w:cs="Arial"/>
          <w:sz w:val="22"/>
          <w:szCs w:val="22"/>
        </w:rPr>
        <w:t xml:space="preserve">, </w:t>
      </w:r>
      <w:r w:rsidRPr="000E5285">
        <w:rPr>
          <w:rFonts w:ascii="Arial" w:hAnsi="Arial" w:cs="Arial"/>
          <w:sz w:val="22"/>
          <w:szCs w:val="22"/>
        </w:rPr>
        <w:t>with a median age at diagnosis of approximately 65 years</w:t>
      </w:r>
      <w:r w:rsidR="0004267B">
        <w:rPr>
          <w:rFonts w:ascii="Arial" w:hAnsi="Arial" w:cs="Arial"/>
          <w:sz w:val="22"/>
          <w:szCs w:val="22"/>
        </w:rPr>
        <w:t>, the</w:t>
      </w:r>
      <w:r w:rsidRPr="000E5285">
        <w:rPr>
          <w:rFonts w:ascii="Arial" w:hAnsi="Arial" w:cs="Arial"/>
          <w:sz w:val="22"/>
          <w:szCs w:val="22"/>
        </w:rPr>
        <w:t xml:space="preserve"> median overall survival (OS) </w:t>
      </w:r>
      <w:r w:rsidR="0004267B">
        <w:rPr>
          <w:rFonts w:ascii="Arial" w:hAnsi="Arial" w:cs="Arial"/>
          <w:sz w:val="22"/>
          <w:szCs w:val="22"/>
        </w:rPr>
        <w:t xml:space="preserve">is </w:t>
      </w:r>
      <w:r w:rsidRPr="000E5285">
        <w:rPr>
          <w:rFonts w:ascii="Arial" w:hAnsi="Arial" w:cs="Arial"/>
          <w:sz w:val="22"/>
          <w:szCs w:val="22"/>
        </w:rPr>
        <w:t>14.6–16.7 months [1, 2]. Most GBMs present as solitary (unifocal) lesions; however, up to 2–35 % [3]</w:t>
      </w:r>
      <w:r w:rsidR="007C30FF">
        <w:rPr>
          <w:rFonts w:ascii="Arial" w:hAnsi="Arial" w:cs="Arial"/>
          <w:sz w:val="22"/>
          <w:szCs w:val="22"/>
        </w:rPr>
        <w:t>,</w:t>
      </w:r>
      <w:r w:rsidRPr="000E5285">
        <w:rPr>
          <w:rFonts w:ascii="Arial" w:hAnsi="Arial" w:cs="Arial"/>
          <w:sz w:val="22"/>
          <w:szCs w:val="22"/>
        </w:rPr>
        <w:t xml:space="preserve"> exhibit multifocal or multicentric</w:t>
      </w:r>
      <w:r w:rsidR="007C30FF">
        <w:rPr>
          <w:rFonts w:ascii="Arial" w:hAnsi="Arial" w:cs="Arial"/>
          <w:sz w:val="22"/>
          <w:szCs w:val="22"/>
        </w:rPr>
        <w:t xml:space="preserve"> </w:t>
      </w:r>
      <w:r w:rsidRPr="000E5285">
        <w:rPr>
          <w:rFonts w:ascii="Arial" w:hAnsi="Arial" w:cs="Arial"/>
          <w:sz w:val="22"/>
          <w:szCs w:val="22"/>
        </w:rPr>
        <w:t>dissemination (</w:t>
      </w:r>
      <w:proofErr w:type="spellStart"/>
      <w:r w:rsidRPr="000E5285">
        <w:rPr>
          <w:rFonts w:ascii="Arial" w:hAnsi="Arial" w:cs="Arial"/>
          <w:sz w:val="22"/>
          <w:szCs w:val="22"/>
        </w:rPr>
        <w:t>mGBM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). </w:t>
      </w:r>
      <w:r w:rsidRPr="000E5285">
        <w:rPr>
          <w:rStyle w:val="Emphasis"/>
          <w:rFonts w:ascii="Arial" w:eastAsiaTheme="majorEastAsia" w:hAnsi="Arial" w:cs="Arial"/>
          <w:i w:val="0"/>
          <w:iCs w:val="0"/>
          <w:sz w:val="22"/>
          <w:szCs w:val="22"/>
        </w:rPr>
        <w:t>Multifocal</w:t>
      </w:r>
      <w:r w:rsidRPr="000E5285">
        <w:rPr>
          <w:rFonts w:ascii="Arial" w:hAnsi="Arial" w:cs="Arial"/>
          <w:sz w:val="22"/>
          <w:szCs w:val="22"/>
        </w:rPr>
        <w:t xml:space="preserve"> GBMs are characterized by multiple contrast-enhancing foci connected by white-matter or vascular pathways, whereas </w:t>
      </w:r>
      <w:r w:rsidRPr="000E5285">
        <w:rPr>
          <w:rStyle w:val="Emphasis"/>
          <w:rFonts w:ascii="Arial" w:eastAsiaTheme="majorEastAsia" w:hAnsi="Arial" w:cs="Arial"/>
          <w:i w:val="0"/>
          <w:iCs w:val="0"/>
          <w:sz w:val="22"/>
          <w:szCs w:val="22"/>
        </w:rPr>
        <w:t>multicentric</w:t>
      </w:r>
      <w:r w:rsidRPr="000E5285">
        <w:rPr>
          <w:rFonts w:ascii="Arial" w:hAnsi="Arial" w:cs="Arial"/>
          <w:sz w:val="22"/>
          <w:szCs w:val="22"/>
        </w:rPr>
        <w:t xml:space="preserve"> GBMs consist of spatially distinct, unconnected lesions. Clinically, patients with </w:t>
      </w:r>
      <w:proofErr w:type="spellStart"/>
      <w:r w:rsidRPr="000E5285">
        <w:rPr>
          <w:rFonts w:ascii="Arial" w:hAnsi="Arial" w:cs="Arial"/>
          <w:sz w:val="22"/>
          <w:szCs w:val="22"/>
        </w:rPr>
        <w:t>mGBM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experience shorter survival and reduced surgical options compared with those with unifocal GBM (</w:t>
      </w:r>
      <w:proofErr w:type="spellStart"/>
      <w:r w:rsidRPr="000E5285">
        <w:rPr>
          <w:rFonts w:ascii="Arial" w:hAnsi="Arial" w:cs="Arial"/>
          <w:sz w:val="22"/>
          <w:szCs w:val="22"/>
        </w:rPr>
        <w:t>uGBM</w:t>
      </w:r>
      <w:proofErr w:type="spellEnd"/>
      <w:r w:rsidRPr="000E5285">
        <w:rPr>
          <w:rFonts w:ascii="Arial" w:hAnsi="Arial" w:cs="Arial"/>
          <w:sz w:val="22"/>
          <w:szCs w:val="22"/>
        </w:rPr>
        <w:t>).</w:t>
      </w:r>
      <w:r w:rsidR="007C30FF">
        <w:rPr>
          <w:rFonts w:ascii="Arial" w:hAnsi="Arial" w:cs="Arial"/>
          <w:sz w:val="22"/>
          <w:szCs w:val="22"/>
        </w:rPr>
        <w:t xml:space="preserve"> </w:t>
      </w:r>
      <w:r w:rsidRPr="000E5285">
        <w:rPr>
          <w:rFonts w:ascii="Arial" w:hAnsi="Arial" w:cs="Arial"/>
          <w:sz w:val="22"/>
          <w:szCs w:val="22"/>
        </w:rPr>
        <w:t>MRI</w:t>
      </w:r>
      <w:r w:rsidR="007C30FF">
        <w:rPr>
          <w:rFonts w:ascii="Arial" w:hAnsi="Arial" w:cs="Arial"/>
          <w:sz w:val="22"/>
          <w:szCs w:val="22"/>
        </w:rPr>
        <w:t>-</w:t>
      </w:r>
      <w:r w:rsidRPr="000E5285">
        <w:rPr>
          <w:rFonts w:ascii="Arial" w:hAnsi="Arial" w:cs="Arial"/>
          <w:sz w:val="22"/>
          <w:szCs w:val="22"/>
        </w:rPr>
        <w:t>particularly contrast-enhanced T1-weighted and T2-FLAIR sequences</w:t>
      </w:r>
      <w:r w:rsidR="00EC7992">
        <w:rPr>
          <w:rFonts w:ascii="Arial" w:hAnsi="Arial" w:cs="Arial"/>
          <w:sz w:val="22"/>
          <w:szCs w:val="22"/>
        </w:rPr>
        <w:t xml:space="preserve">, </w:t>
      </w:r>
      <w:r w:rsidRPr="000E5285">
        <w:rPr>
          <w:rFonts w:ascii="Arial" w:hAnsi="Arial" w:cs="Arial"/>
          <w:sz w:val="22"/>
          <w:szCs w:val="22"/>
        </w:rPr>
        <w:t xml:space="preserve">remains the primary modality for </w:t>
      </w:r>
      <w:proofErr w:type="spellStart"/>
      <w:r w:rsidRPr="000E5285">
        <w:rPr>
          <w:rFonts w:ascii="Arial" w:hAnsi="Arial" w:cs="Arial"/>
          <w:sz w:val="22"/>
          <w:szCs w:val="22"/>
        </w:rPr>
        <w:t>mGBM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detection. Imaging and histopathologic studies reveal that radiologically unifocal GBMs may harbor microscopic secondary foci that later coalesce or become visible on follow-up imaging [6]. These observations suggest that </w:t>
      </w:r>
      <w:proofErr w:type="spellStart"/>
      <w:r w:rsidRPr="000E5285">
        <w:rPr>
          <w:rFonts w:ascii="Arial" w:hAnsi="Arial" w:cs="Arial"/>
          <w:sz w:val="22"/>
          <w:szCs w:val="22"/>
        </w:rPr>
        <w:t>mGBMs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often evolve from early unifocal stages through </w:t>
      </w:r>
      <w:r w:rsidRPr="007C30FF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>clonal migration and spatial diversification</w:t>
      </w:r>
      <w:r w:rsidRPr="000E5285">
        <w:rPr>
          <w:rFonts w:ascii="Arial" w:hAnsi="Arial" w:cs="Arial"/>
          <w:sz w:val="22"/>
          <w:szCs w:val="22"/>
        </w:rPr>
        <w:t>, rather than arising as independent lesions.</w:t>
      </w:r>
      <w:r w:rsidRPr="000E5285">
        <w:rPr>
          <w:rFonts w:ascii="Arial" w:hAnsi="Arial" w:cs="Arial"/>
          <w:sz w:val="22"/>
          <w:szCs w:val="22"/>
        </w:rPr>
        <w:br/>
        <w:t xml:space="preserve">Although prior machine-learning (ML) studies have stratified GBM patients using radiomic and prognostic features, </w:t>
      </w:r>
      <w:r w:rsidRPr="000E5285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 xml:space="preserve">no published AI/ML approaches have focused on predicting or detecting </w:t>
      </w:r>
      <w:proofErr w:type="spellStart"/>
      <w:r w:rsidRPr="000E5285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>mGBM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based on its correlation with imaging phenotypes. Early identification of </w:t>
      </w:r>
      <w:proofErr w:type="spellStart"/>
      <w:r w:rsidRPr="000E5285">
        <w:rPr>
          <w:rFonts w:ascii="Arial" w:hAnsi="Arial" w:cs="Arial"/>
          <w:sz w:val="22"/>
          <w:szCs w:val="22"/>
        </w:rPr>
        <w:t>mGBM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could enhance clinical decision-making, treatment planning, and surveillance strategies.</w:t>
      </w:r>
    </w:p>
    <w:p w14:paraId="43EE28BC" w14:textId="713CF7FA" w:rsidR="000E5285" w:rsidRDefault="000E5285" w:rsidP="000E5285">
      <w:pPr>
        <w:pStyle w:val="NormalWeb"/>
      </w:pPr>
      <w:r w:rsidRPr="000E5285">
        <w:rPr>
          <w:rStyle w:val="Strong"/>
          <w:rFonts w:ascii="Arial" w:eastAsiaTheme="majorEastAsia" w:hAnsi="Arial" w:cs="Arial"/>
          <w:sz w:val="22"/>
          <w:szCs w:val="22"/>
        </w:rPr>
        <w:t>Methods</w:t>
      </w:r>
      <w:r w:rsidRPr="000E5285">
        <w:rPr>
          <w:rFonts w:ascii="Arial" w:hAnsi="Arial" w:cs="Arial"/>
          <w:sz w:val="22"/>
          <w:szCs w:val="22"/>
        </w:rPr>
        <w:br/>
        <w:t>We trained a deep-learning segmentation model (</w:t>
      </w:r>
      <w:proofErr w:type="spellStart"/>
      <w:r w:rsidRPr="000E5285">
        <w:rPr>
          <w:rFonts w:ascii="Arial" w:hAnsi="Arial" w:cs="Arial"/>
          <w:sz w:val="22"/>
          <w:szCs w:val="22"/>
        </w:rPr>
        <w:t>nnU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-Net) using the curated unifocal GBM data from the multi-institutional </w:t>
      </w:r>
      <w:proofErr w:type="spellStart"/>
      <w:r w:rsidRPr="000E5285">
        <w:rPr>
          <w:rFonts w:ascii="Arial" w:hAnsi="Arial" w:cs="Arial"/>
          <w:sz w:val="22"/>
          <w:szCs w:val="22"/>
        </w:rPr>
        <w:t>BraTS</w:t>
      </w:r>
      <w:proofErr w:type="spellEnd"/>
      <w:r w:rsidRPr="000E5285">
        <w:rPr>
          <w:rFonts w:ascii="Arial" w:hAnsi="Arial" w:cs="Arial"/>
          <w:sz w:val="22"/>
          <w:szCs w:val="22"/>
        </w:rPr>
        <w:t xml:space="preserve"> 2017 </w:t>
      </w:r>
      <w:proofErr w:type="gramStart"/>
      <w:r w:rsidRPr="000E5285">
        <w:rPr>
          <w:rFonts w:ascii="Arial" w:hAnsi="Arial" w:cs="Arial"/>
          <w:sz w:val="22"/>
          <w:szCs w:val="22"/>
        </w:rPr>
        <w:t>dataset, and</w:t>
      </w:r>
      <w:proofErr w:type="gramEnd"/>
      <w:r w:rsidRPr="000E5285">
        <w:rPr>
          <w:rFonts w:ascii="Arial" w:hAnsi="Arial" w:cs="Arial"/>
          <w:sz w:val="22"/>
          <w:szCs w:val="22"/>
        </w:rPr>
        <w:t xml:space="preserve"> fine-tuned it on Johns Hopkins Hospital (JHH) data containing both unifocal and multifocal GBMs. Using the learned </w:t>
      </w:r>
      <w:proofErr w:type="spellStart"/>
      <w:r w:rsidRPr="000E5285">
        <w:rPr>
          <w:rFonts w:ascii="Arial" w:hAnsi="Arial" w:cs="Arial"/>
          <w:sz w:val="22"/>
          <w:szCs w:val="22"/>
        </w:rPr>
        <w:t>nnU</w:t>
      </w:r>
      <w:proofErr w:type="spellEnd"/>
      <w:r w:rsidRPr="000E5285">
        <w:rPr>
          <w:rFonts w:ascii="Arial" w:hAnsi="Arial" w:cs="Arial"/>
          <w:sz w:val="22"/>
          <w:szCs w:val="22"/>
        </w:rPr>
        <w:t>-Net feature representations, we then trained a classifier on JHH unifocal GBMs with known clinical recurrenc</w:t>
      </w:r>
      <w:r w:rsidR="00F27502">
        <w:rPr>
          <w:rFonts w:ascii="Arial" w:hAnsi="Arial" w:cs="Arial"/>
          <w:sz w:val="22"/>
          <w:szCs w:val="22"/>
        </w:rPr>
        <w:t xml:space="preserve">e, </w:t>
      </w:r>
      <w:r w:rsidRPr="000E5285">
        <w:rPr>
          <w:rFonts w:ascii="Arial" w:hAnsi="Arial" w:cs="Arial"/>
          <w:sz w:val="22"/>
          <w:szCs w:val="22"/>
        </w:rPr>
        <w:t>balanced between unifocal and multifocal outcomes</w:t>
      </w:r>
      <w:r w:rsidR="009B48D6">
        <w:rPr>
          <w:rFonts w:ascii="Arial" w:hAnsi="Arial" w:cs="Arial"/>
          <w:sz w:val="22"/>
          <w:szCs w:val="22"/>
        </w:rPr>
        <w:t>,</w:t>
      </w:r>
      <w:r w:rsidR="00F27502">
        <w:rPr>
          <w:rFonts w:ascii="Arial" w:hAnsi="Arial" w:cs="Arial"/>
          <w:sz w:val="22"/>
          <w:szCs w:val="22"/>
        </w:rPr>
        <w:t xml:space="preserve"> </w:t>
      </w:r>
      <w:r w:rsidRPr="000E5285">
        <w:rPr>
          <w:rFonts w:ascii="Arial" w:hAnsi="Arial" w:cs="Arial"/>
          <w:sz w:val="22"/>
          <w:szCs w:val="22"/>
        </w:rPr>
        <w:t xml:space="preserve">to predict whether a unifocal GBM would recur as unifocal or multifocal (binary outcome). Finally, we identified and visualized the </w:t>
      </w:r>
      <w:proofErr w:type="spellStart"/>
      <w:r w:rsidRPr="000E5285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>nnU</w:t>
      </w:r>
      <w:proofErr w:type="spellEnd"/>
      <w:r w:rsidRPr="000E5285">
        <w:rPr>
          <w:rStyle w:val="Strong"/>
          <w:rFonts w:ascii="Arial" w:eastAsiaTheme="majorEastAsia" w:hAnsi="Arial" w:cs="Arial"/>
          <w:b w:val="0"/>
          <w:bCs w:val="0"/>
          <w:sz w:val="22"/>
          <w:szCs w:val="22"/>
        </w:rPr>
        <w:t>-Net feature kernels most influential</w:t>
      </w:r>
      <w:r w:rsidRPr="000E5285">
        <w:rPr>
          <w:rFonts w:ascii="Arial" w:hAnsi="Arial" w:cs="Arial"/>
          <w:sz w:val="22"/>
          <w:szCs w:val="22"/>
        </w:rPr>
        <w:t xml:space="preserve"> to the classifier’s ability to distinguish recurrence patterns</w:t>
      </w:r>
      <w:r>
        <w:t>.</w:t>
      </w:r>
    </w:p>
    <w:p w14:paraId="632CA2EE" w14:textId="77777777" w:rsidR="006E4B20" w:rsidRPr="00654AB9" w:rsidRDefault="006E4B20" w:rsidP="000E5285">
      <w:pPr>
        <w:pStyle w:val="NormalWeb"/>
        <w:spacing w:before="0" w:beforeAutospacing="0" w:after="0" w:afterAutospacing="0"/>
        <w:rPr>
          <w:rStyle w:val="Strong"/>
          <w:rFonts w:ascii="Arial" w:eastAsiaTheme="majorEastAsia" w:hAnsi="Arial" w:cs="Arial"/>
          <w:sz w:val="22"/>
          <w:szCs w:val="22"/>
        </w:rPr>
      </w:pPr>
      <w:r w:rsidRPr="00654AB9">
        <w:rPr>
          <w:rStyle w:val="Strong"/>
          <w:rFonts w:ascii="Arial" w:eastAsiaTheme="majorEastAsia" w:hAnsi="Arial" w:cs="Arial"/>
          <w:sz w:val="22"/>
          <w:szCs w:val="22"/>
        </w:rPr>
        <w:t>Results</w:t>
      </w:r>
    </w:p>
    <w:p w14:paraId="6A52CEE1" w14:textId="5CD7F05A" w:rsidR="006E4B20" w:rsidRPr="00654AB9" w:rsidRDefault="006E4B20" w:rsidP="000E5285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654AB9">
        <w:rPr>
          <w:rFonts w:ascii="Arial" w:hAnsi="Arial" w:cs="Arial"/>
          <w:sz w:val="22"/>
          <w:szCs w:val="22"/>
        </w:rPr>
        <w:t>Preliminary findings show that the model captures characteristic texture patterns associated with multifocal morphology and recurrence risk.</w:t>
      </w:r>
    </w:p>
    <w:p w14:paraId="7AE85863" w14:textId="77777777" w:rsidR="006E4B20" w:rsidRPr="00654AB9" w:rsidRDefault="006E4B20" w:rsidP="009B48D6">
      <w:pPr>
        <w:pStyle w:val="NormalWeb"/>
        <w:spacing w:before="0" w:beforeAutospacing="0" w:after="0" w:afterAutospacing="0"/>
        <w:rPr>
          <w:rStyle w:val="Strong"/>
          <w:rFonts w:ascii="Arial" w:eastAsiaTheme="majorEastAsia" w:hAnsi="Arial" w:cs="Arial"/>
          <w:sz w:val="22"/>
          <w:szCs w:val="22"/>
        </w:rPr>
      </w:pPr>
      <w:r w:rsidRPr="00654AB9">
        <w:rPr>
          <w:rStyle w:val="Strong"/>
          <w:rFonts w:ascii="Arial" w:eastAsiaTheme="majorEastAsia" w:hAnsi="Arial" w:cs="Arial"/>
          <w:sz w:val="22"/>
          <w:szCs w:val="22"/>
        </w:rPr>
        <w:t>Conclusion</w:t>
      </w:r>
    </w:p>
    <w:p w14:paraId="05D78E3F" w14:textId="3DC2F2C6" w:rsidR="006E4B20" w:rsidRPr="00654AB9" w:rsidRDefault="006E4B20" w:rsidP="009B48D6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654AB9">
        <w:rPr>
          <w:rFonts w:ascii="Arial" w:hAnsi="Arial" w:cs="Arial"/>
          <w:sz w:val="22"/>
          <w:szCs w:val="22"/>
        </w:rPr>
        <w:t>This framework demonstrates the potential of deep learning to identify multifocal recurrence in GBM and to provide interpretable imaging biomarkers that could guide patient monitoring and personalized treatment strategies.</w:t>
      </w:r>
    </w:p>
    <w:p w14:paraId="131B1CB1" w14:textId="77777777" w:rsidR="009B48D6" w:rsidRDefault="009B48D6" w:rsidP="006E4B20">
      <w:pPr>
        <w:rPr>
          <w:rFonts w:ascii="Arial" w:hAnsi="Arial" w:cs="Arial"/>
          <w:sz w:val="22"/>
          <w:szCs w:val="22"/>
        </w:rPr>
      </w:pPr>
    </w:p>
    <w:p w14:paraId="76B2CFF4" w14:textId="091F5C0D" w:rsidR="00640400" w:rsidRPr="009B48D6" w:rsidRDefault="000E5285" w:rsidP="006E4B20">
      <w:pPr>
        <w:rPr>
          <w:rFonts w:ascii="Arial" w:hAnsi="Arial" w:cs="Arial"/>
          <w:b/>
          <w:bCs/>
          <w:sz w:val="22"/>
          <w:szCs w:val="22"/>
        </w:rPr>
      </w:pPr>
      <w:r w:rsidRPr="009B48D6">
        <w:rPr>
          <w:rFonts w:ascii="Arial" w:hAnsi="Arial" w:cs="Arial"/>
          <w:b/>
          <w:bCs/>
          <w:sz w:val="22"/>
          <w:szCs w:val="22"/>
        </w:rPr>
        <w:t>Reference</w:t>
      </w:r>
    </w:p>
    <w:p w14:paraId="48CC74F2" w14:textId="39F0E9AA" w:rsidR="006141A0" w:rsidRPr="00764B20" w:rsidRDefault="006141A0" w:rsidP="006141A0">
      <w:pPr>
        <w:pStyle w:val="Heading2"/>
        <w:rPr>
          <w:rFonts w:ascii="Arial" w:hAnsi="Arial" w:cs="Arial"/>
          <w:sz w:val="22"/>
          <w:szCs w:val="22"/>
        </w:rPr>
      </w:pP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>[1</w:t>
      </w:r>
      <w:r>
        <w:rPr>
          <w:rFonts w:ascii="Arial" w:hAnsi="Arial" w:cs="Arial"/>
          <w:color w:val="2A2A2A"/>
          <w:sz w:val="22"/>
          <w:szCs w:val="22"/>
          <w:shd w:val="clear" w:color="auto" w:fill="FFFFFF"/>
        </w:rPr>
        <w:t>]</w:t>
      </w: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 xml:space="preserve"> Quinn T Ostrom, Gino Cioffi, Kristin Waite, Carol Kruchko, Jill S Barnholtz-Sloan, CBTRUS Statistical Report: Primary Brain and Other Central Nervous System Tumors Diagnosed in the United States in 2014–2018, </w:t>
      </w:r>
      <w:r w:rsidRPr="00764B20">
        <w:rPr>
          <w:rStyle w:val="Emphasis"/>
          <w:rFonts w:ascii="Arial" w:hAnsi="Arial" w:cs="Arial"/>
          <w:color w:val="2A2A2A"/>
          <w:sz w:val="22"/>
          <w:szCs w:val="22"/>
          <w:bdr w:val="none" w:sz="0" w:space="0" w:color="auto" w:frame="1"/>
          <w:shd w:val="clear" w:color="auto" w:fill="FFFFFF"/>
        </w:rPr>
        <w:t>Neuro-Oncology</w:t>
      </w:r>
      <w:r w:rsidRPr="00764B20">
        <w:rPr>
          <w:rFonts w:ascii="Arial" w:hAnsi="Arial" w:cs="Arial"/>
          <w:color w:val="2A2A2A"/>
          <w:sz w:val="22"/>
          <w:szCs w:val="22"/>
          <w:shd w:val="clear" w:color="auto" w:fill="FFFFFF"/>
        </w:rPr>
        <w:t>, Volume 23, Issue Supplement_3, October 2021, Pages iii1–iii105, </w:t>
      </w:r>
      <w:hyperlink r:id="rId5" w:history="1">
        <w:r w:rsidRPr="00764B20">
          <w:rPr>
            <w:rStyle w:val="Hyperlink"/>
            <w:rFonts w:ascii="Arial" w:hAnsi="Arial" w:cs="Arial"/>
            <w:color w:val="006FB7"/>
            <w:sz w:val="22"/>
            <w:szCs w:val="22"/>
            <w:bdr w:val="none" w:sz="0" w:space="0" w:color="auto" w:frame="1"/>
            <w:shd w:val="clear" w:color="auto" w:fill="FFFFFF"/>
          </w:rPr>
          <w:t>https://doi.org/10.1093/neuonc/noab200</w:t>
        </w:r>
      </w:hyperlink>
    </w:p>
    <w:p w14:paraId="66AF4832" w14:textId="77777777" w:rsidR="006141A0" w:rsidRPr="00764B20" w:rsidRDefault="006141A0" w:rsidP="006141A0">
      <w:pPr>
        <w:rPr>
          <w:rFonts w:ascii="Arial" w:hAnsi="Arial" w:cs="Arial"/>
          <w:sz w:val="22"/>
          <w:szCs w:val="22"/>
        </w:rPr>
      </w:pPr>
      <w:r w:rsidRPr="00764B20">
        <w:rPr>
          <w:rFonts w:ascii="Arial" w:hAnsi="Arial" w:cs="Arial"/>
          <w:sz w:val="22"/>
          <w:szCs w:val="22"/>
        </w:rPr>
        <w:t xml:space="preserve">[2] Stupp, R., </w:t>
      </w:r>
      <w:proofErr w:type="spellStart"/>
      <w:r w:rsidRPr="00764B20">
        <w:rPr>
          <w:rFonts w:ascii="Arial" w:hAnsi="Arial" w:cs="Arial"/>
          <w:sz w:val="22"/>
          <w:szCs w:val="22"/>
        </w:rPr>
        <w:t>Taillibert</w:t>
      </w:r>
      <w:proofErr w:type="spellEnd"/>
      <w:r w:rsidRPr="00764B20">
        <w:rPr>
          <w:rFonts w:ascii="Arial" w:hAnsi="Arial" w:cs="Arial"/>
          <w:sz w:val="22"/>
          <w:szCs w:val="22"/>
        </w:rPr>
        <w:t>, S., Kanner, A., Read, W., Steinberg, D. M., Lhermitte, B., ... &amp; Ram, Z. (2017). Effect of tumor-treating fields plus maintenance temozolomide vs maintenance temozolomide alone on survival in patients with glioblastoma: a randomized clinical trial. Jama, 318(23), 2306-2316.</w:t>
      </w:r>
    </w:p>
    <w:p w14:paraId="4E45E75A" w14:textId="3BA73410" w:rsidR="006141A0" w:rsidRPr="00962012" w:rsidRDefault="00962012" w:rsidP="006E4B2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[3] 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Baro, V., Cerretti, G.,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Todoverto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M., Della Puppa, A., Chioffi, F.,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Volpin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F., Causin, F., Busato, F., Fiduccia, P., Landi, A.,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d'Avella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 xml:space="preserve">, D., </w:t>
      </w:r>
      <w:proofErr w:type="spellStart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Zagonel</w:t>
      </w:r>
      <w:proofErr w:type="spellEnd"/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, V., Denaro, L., &amp; Lombardi, G. (2022). Newly Diagnosed Multifocal GBM: A Monocentric Experience and Literature Review. </w:t>
      </w:r>
      <w:r w:rsidRPr="00962012">
        <w:rPr>
          <w:rFonts w:ascii="Arial" w:hAnsi="Arial" w:cs="Arial"/>
          <w:i/>
          <w:iCs/>
          <w:color w:val="1B1B1B"/>
          <w:sz w:val="22"/>
          <w:szCs w:val="22"/>
          <w:shd w:val="clear" w:color="auto" w:fill="FFFFFF"/>
        </w:rPr>
        <w:t>Current oncology (Toronto, Ont.)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, </w:t>
      </w:r>
      <w:r w:rsidRPr="00962012">
        <w:rPr>
          <w:rFonts w:ascii="Arial" w:hAnsi="Arial" w:cs="Arial"/>
          <w:i/>
          <w:iCs/>
          <w:color w:val="1B1B1B"/>
          <w:sz w:val="22"/>
          <w:szCs w:val="22"/>
          <w:shd w:val="clear" w:color="auto" w:fill="FFFFFF"/>
        </w:rPr>
        <w:t>29</w:t>
      </w:r>
      <w:r w:rsidRPr="00962012">
        <w:rPr>
          <w:rFonts w:ascii="Arial" w:hAnsi="Arial" w:cs="Arial"/>
          <w:color w:val="1B1B1B"/>
          <w:sz w:val="22"/>
          <w:szCs w:val="22"/>
          <w:shd w:val="clear" w:color="auto" w:fill="FFFFFF"/>
        </w:rPr>
        <w:t>(5), 3472–3488. https://doi.org/10.3390/curroncol29050280</w:t>
      </w:r>
    </w:p>
    <w:p w14:paraId="5A4E3156" w14:textId="623400E1" w:rsidR="00F73C5C" w:rsidRPr="00F73C5C" w:rsidRDefault="00F73C5C" w:rsidP="00F73C5C">
      <w:r>
        <w:rPr>
          <w:rFonts w:ascii="Arial" w:hAnsi="Arial" w:cs="Arial"/>
          <w:sz w:val="22"/>
          <w:szCs w:val="22"/>
        </w:rPr>
        <w:t>[4</w:t>
      </w:r>
      <w:proofErr w:type="gramStart"/>
      <w:r>
        <w:rPr>
          <w:rFonts w:ascii="Arial" w:hAnsi="Arial" w:cs="Arial"/>
          <w:sz w:val="22"/>
          <w:szCs w:val="22"/>
        </w:rPr>
        <w:t>]</w:t>
      </w:r>
      <w:r w:rsidRPr="00F73C5C">
        <w:t xml:space="preserve"> </w:t>
      </w:r>
      <w:r>
        <w:t xml:space="preserve"> </w:t>
      </w:r>
      <w:r w:rsidRPr="00F73C5C">
        <w:rPr>
          <w:rFonts w:ascii="Arial" w:hAnsi="Arial" w:cs="Arial"/>
          <w:sz w:val="22"/>
          <w:szCs w:val="22"/>
        </w:rPr>
        <w:t>Farhat</w:t>
      </w:r>
      <w:proofErr w:type="gramEnd"/>
      <w:r w:rsidRPr="00F73C5C">
        <w:rPr>
          <w:rFonts w:ascii="Arial" w:hAnsi="Arial" w:cs="Arial"/>
          <w:sz w:val="22"/>
          <w:szCs w:val="22"/>
        </w:rPr>
        <w:t xml:space="preserve"> M, Fuller GN, </w:t>
      </w:r>
      <w:proofErr w:type="spellStart"/>
      <w:r w:rsidRPr="00F73C5C">
        <w:rPr>
          <w:rFonts w:ascii="Arial" w:hAnsi="Arial" w:cs="Arial"/>
          <w:sz w:val="22"/>
          <w:szCs w:val="22"/>
        </w:rPr>
        <w:t>Wintermark</w:t>
      </w:r>
      <w:proofErr w:type="spellEnd"/>
      <w:r w:rsidRPr="00F73C5C">
        <w:rPr>
          <w:rFonts w:ascii="Arial" w:hAnsi="Arial" w:cs="Arial"/>
          <w:sz w:val="22"/>
          <w:szCs w:val="22"/>
        </w:rPr>
        <w:t xml:space="preserve"> M, Chung C, Kumar VA, Chen M. Multifocal and multicentric glioblastoma: Imaging signature, molecular characterization, patterns of spread, and treatment. </w:t>
      </w:r>
      <w:r w:rsidRPr="00F73C5C">
        <w:rPr>
          <w:rFonts w:ascii="Arial" w:hAnsi="Arial" w:cs="Arial"/>
          <w:i/>
          <w:iCs/>
          <w:sz w:val="22"/>
          <w:szCs w:val="22"/>
        </w:rPr>
        <w:t>The Neuroradiology Journal</w:t>
      </w:r>
      <w:r w:rsidRPr="00F73C5C">
        <w:rPr>
          <w:rFonts w:ascii="Arial" w:hAnsi="Arial" w:cs="Arial"/>
          <w:sz w:val="22"/>
          <w:szCs w:val="22"/>
        </w:rPr>
        <w:t>. 2023;0(0). doi:</w:t>
      </w:r>
      <w:hyperlink r:id="rId6" w:history="1">
        <w:r w:rsidRPr="00F73C5C">
          <w:rPr>
            <w:rStyle w:val="Hyperlink"/>
            <w:rFonts w:ascii="Arial" w:hAnsi="Arial" w:cs="Arial"/>
            <w:sz w:val="22"/>
            <w:szCs w:val="22"/>
          </w:rPr>
          <w:t>10.1177/19714009231193162</w:t>
        </w:r>
      </w:hyperlink>
    </w:p>
    <w:p w14:paraId="1E28EE19" w14:textId="5967E177" w:rsidR="00EC7E74" w:rsidRPr="00EC7E74" w:rsidRDefault="00EC7E74" w:rsidP="00EC7E7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[5] </w:t>
      </w:r>
      <w:r w:rsidRPr="00EC7E74">
        <w:rPr>
          <w:rFonts w:ascii="Arial" w:hAnsi="Arial" w:cs="Arial"/>
          <w:sz w:val="22"/>
          <w:szCs w:val="22"/>
        </w:rPr>
        <w:t>J. Pérez-Beteta, D. Molina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García, M. Villena, M.J. Rodríguez, C. Velásquez, J. Martino, B. Meléndez</w:t>
      </w:r>
      <w:r>
        <w:rPr>
          <w:rFonts w:ascii="Arial" w:hAnsi="Arial" w:cs="Arial"/>
          <w:sz w:val="22"/>
          <w:szCs w:val="22"/>
        </w:rPr>
        <w:t>-</w:t>
      </w:r>
      <w:r w:rsidRPr="00EC7E74">
        <w:rPr>
          <w:rFonts w:ascii="Arial" w:hAnsi="Arial" w:cs="Arial"/>
          <w:sz w:val="22"/>
          <w:szCs w:val="22"/>
        </w:rPr>
        <w:t>Asensio, Á. Rodríguez de Lope, R. Morcillo, J.M. Sepúlveda, A. Hernández-Laín, A. Ramos, J.A. Barcia, P.C. Lara, D. Albillo, A. Revert, E. Arana, V.M. Pérez-García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Morphologic Features on MR Imaging Classify Multifocal Glioblastomas in Different Prognostic Groups</w:t>
      </w:r>
      <w:r>
        <w:rPr>
          <w:rFonts w:ascii="Arial" w:hAnsi="Arial" w:cs="Arial"/>
          <w:sz w:val="22"/>
          <w:szCs w:val="22"/>
        </w:rPr>
        <w:t xml:space="preserve"> </w:t>
      </w:r>
      <w:r w:rsidRPr="00EC7E74">
        <w:rPr>
          <w:rFonts w:ascii="Arial" w:hAnsi="Arial" w:cs="Arial"/>
          <w:sz w:val="22"/>
          <w:szCs w:val="22"/>
        </w:rPr>
        <w:t>American Journal of Neuroradiology Mar 2019, DOI: 10.3174/ajnr.A6019</w:t>
      </w:r>
    </w:p>
    <w:p w14:paraId="6DA27301" w14:textId="1A244C34" w:rsidR="000E5285" w:rsidRPr="00F16580" w:rsidRDefault="00B607D3" w:rsidP="006E4B2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[6] </w:t>
      </w:r>
      <w:r w:rsidR="00F16580"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 xml:space="preserve">Eidel O, Burth S, Neumann J-O, Kieslich PJ, Sahm F, Jungk C, et al. (2017) Tumor Infiltration in Enhancing and Non-Enhancing Parts of Glioblastoma: A Correlation with Histopathology. </w:t>
      </w:r>
      <w:proofErr w:type="spellStart"/>
      <w:r w:rsidR="00F16580"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>PLoS</w:t>
      </w:r>
      <w:proofErr w:type="spellEnd"/>
      <w:r w:rsidR="00F16580" w:rsidRPr="00F16580">
        <w:rPr>
          <w:rFonts w:ascii="Arial" w:hAnsi="Arial" w:cs="Arial"/>
          <w:color w:val="202020"/>
          <w:sz w:val="22"/>
          <w:szCs w:val="22"/>
          <w:shd w:val="clear" w:color="auto" w:fill="FFFFFF"/>
        </w:rPr>
        <w:t xml:space="preserve"> ONE 12(1): e0169292. https://doi.org/10.1371/journal.pone.0169292</w:t>
      </w:r>
    </w:p>
    <w:sectPr w:rsidR="000E5285" w:rsidRPr="00F16580" w:rsidSect="00906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C9A"/>
    <w:multiLevelType w:val="hybridMultilevel"/>
    <w:tmpl w:val="5E44DD18"/>
    <w:lvl w:ilvl="0" w:tplc="850A633C">
      <w:start w:val="917"/>
      <w:numFmt w:val="bullet"/>
      <w:lvlText w:val=""/>
      <w:lvlJc w:val="left"/>
      <w:pPr>
        <w:ind w:left="36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EF03D6"/>
    <w:multiLevelType w:val="hybridMultilevel"/>
    <w:tmpl w:val="9C8637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C0AFD"/>
    <w:multiLevelType w:val="hybridMultilevel"/>
    <w:tmpl w:val="87D0D9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F7E2542"/>
    <w:multiLevelType w:val="hybridMultilevel"/>
    <w:tmpl w:val="4FC80802"/>
    <w:lvl w:ilvl="0" w:tplc="850A633C">
      <w:start w:val="91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752A2"/>
    <w:multiLevelType w:val="hybridMultilevel"/>
    <w:tmpl w:val="A90A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BB3715"/>
    <w:multiLevelType w:val="hybridMultilevel"/>
    <w:tmpl w:val="D5C43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119762">
    <w:abstractNumId w:val="1"/>
  </w:num>
  <w:num w:numId="2" w16cid:durableId="1539665779">
    <w:abstractNumId w:val="5"/>
  </w:num>
  <w:num w:numId="3" w16cid:durableId="1683238930">
    <w:abstractNumId w:val="4"/>
  </w:num>
  <w:num w:numId="4" w16cid:durableId="150100986">
    <w:abstractNumId w:val="2"/>
  </w:num>
  <w:num w:numId="5" w16cid:durableId="1225140134">
    <w:abstractNumId w:val="3"/>
  </w:num>
  <w:num w:numId="6" w16cid:durableId="85133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E75"/>
    <w:rsid w:val="00003941"/>
    <w:rsid w:val="0004267B"/>
    <w:rsid w:val="00074022"/>
    <w:rsid w:val="00076807"/>
    <w:rsid w:val="0008188A"/>
    <w:rsid w:val="000A08BA"/>
    <w:rsid w:val="000D4B70"/>
    <w:rsid w:val="000E4A25"/>
    <w:rsid w:val="000E5285"/>
    <w:rsid w:val="00133914"/>
    <w:rsid w:val="00162E1B"/>
    <w:rsid w:val="001B3179"/>
    <w:rsid w:val="001C08E3"/>
    <w:rsid w:val="001E6AAA"/>
    <w:rsid w:val="001F2086"/>
    <w:rsid w:val="00202ACC"/>
    <w:rsid w:val="00261462"/>
    <w:rsid w:val="0027417A"/>
    <w:rsid w:val="00274525"/>
    <w:rsid w:val="00276ABF"/>
    <w:rsid w:val="00287CDD"/>
    <w:rsid w:val="002A0CE9"/>
    <w:rsid w:val="00313086"/>
    <w:rsid w:val="00365B4E"/>
    <w:rsid w:val="00367DCB"/>
    <w:rsid w:val="003771FF"/>
    <w:rsid w:val="003930A2"/>
    <w:rsid w:val="003B21C4"/>
    <w:rsid w:val="003E3469"/>
    <w:rsid w:val="003E5F32"/>
    <w:rsid w:val="00406599"/>
    <w:rsid w:val="00425CBB"/>
    <w:rsid w:val="004D1154"/>
    <w:rsid w:val="004E0776"/>
    <w:rsid w:val="004F4809"/>
    <w:rsid w:val="004F5163"/>
    <w:rsid w:val="005012C2"/>
    <w:rsid w:val="00527F35"/>
    <w:rsid w:val="00533DC7"/>
    <w:rsid w:val="00536611"/>
    <w:rsid w:val="005557C3"/>
    <w:rsid w:val="00590C6C"/>
    <w:rsid w:val="005A34D2"/>
    <w:rsid w:val="005B1BE9"/>
    <w:rsid w:val="005E0ACA"/>
    <w:rsid w:val="005E45B2"/>
    <w:rsid w:val="005E56A5"/>
    <w:rsid w:val="005F1EC6"/>
    <w:rsid w:val="005F5FA0"/>
    <w:rsid w:val="005F6F7D"/>
    <w:rsid w:val="00605155"/>
    <w:rsid w:val="006141A0"/>
    <w:rsid w:val="00627E75"/>
    <w:rsid w:val="00640400"/>
    <w:rsid w:val="006416A7"/>
    <w:rsid w:val="00654AB9"/>
    <w:rsid w:val="00665562"/>
    <w:rsid w:val="006A10ED"/>
    <w:rsid w:val="006A3E8A"/>
    <w:rsid w:val="006B4020"/>
    <w:rsid w:val="006E3B5A"/>
    <w:rsid w:val="006E4B20"/>
    <w:rsid w:val="006F283F"/>
    <w:rsid w:val="006F436D"/>
    <w:rsid w:val="00716A76"/>
    <w:rsid w:val="007435F7"/>
    <w:rsid w:val="007A0B8C"/>
    <w:rsid w:val="007A2BF6"/>
    <w:rsid w:val="007B7BB0"/>
    <w:rsid w:val="007C30FF"/>
    <w:rsid w:val="007E2AD9"/>
    <w:rsid w:val="007E541A"/>
    <w:rsid w:val="007E6B70"/>
    <w:rsid w:val="008227E0"/>
    <w:rsid w:val="0083215C"/>
    <w:rsid w:val="00836C72"/>
    <w:rsid w:val="00885F71"/>
    <w:rsid w:val="008B2777"/>
    <w:rsid w:val="0090616C"/>
    <w:rsid w:val="00914538"/>
    <w:rsid w:val="00962012"/>
    <w:rsid w:val="009A1290"/>
    <w:rsid w:val="009B48D6"/>
    <w:rsid w:val="009C5BF5"/>
    <w:rsid w:val="009F5567"/>
    <w:rsid w:val="00A259DE"/>
    <w:rsid w:val="00A43BD9"/>
    <w:rsid w:val="00A548BC"/>
    <w:rsid w:val="00A63E60"/>
    <w:rsid w:val="00A84984"/>
    <w:rsid w:val="00A9058E"/>
    <w:rsid w:val="00AA3E06"/>
    <w:rsid w:val="00AC0F4F"/>
    <w:rsid w:val="00AD29D8"/>
    <w:rsid w:val="00AE6DE8"/>
    <w:rsid w:val="00B3599F"/>
    <w:rsid w:val="00B44235"/>
    <w:rsid w:val="00B54050"/>
    <w:rsid w:val="00B54C87"/>
    <w:rsid w:val="00B607D3"/>
    <w:rsid w:val="00B61E7C"/>
    <w:rsid w:val="00B6627E"/>
    <w:rsid w:val="00B87CBD"/>
    <w:rsid w:val="00B9407A"/>
    <w:rsid w:val="00BA15B1"/>
    <w:rsid w:val="00C0539B"/>
    <w:rsid w:val="00C94D1E"/>
    <w:rsid w:val="00CC6435"/>
    <w:rsid w:val="00CD4DD2"/>
    <w:rsid w:val="00CE246B"/>
    <w:rsid w:val="00D00CE2"/>
    <w:rsid w:val="00D2777F"/>
    <w:rsid w:val="00D467A2"/>
    <w:rsid w:val="00D73BC8"/>
    <w:rsid w:val="00D82374"/>
    <w:rsid w:val="00DE2565"/>
    <w:rsid w:val="00E10911"/>
    <w:rsid w:val="00E212A6"/>
    <w:rsid w:val="00E33490"/>
    <w:rsid w:val="00E34FF0"/>
    <w:rsid w:val="00E4532F"/>
    <w:rsid w:val="00E47AF8"/>
    <w:rsid w:val="00E625B3"/>
    <w:rsid w:val="00E8062B"/>
    <w:rsid w:val="00EB0482"/>
    <w:rsid w:val="00EC5911"/>
    <w:rsid w:val="00EC7992"/>
    <w:rsid w:val="00EC7E74"/>
    <w:rsid w:val="00EE4DFE"/>
    <w:rsid w:val="00F0398E"/>
    <w:rsid w:val="00F041BE"/>
    <w:rsid w:val="00F16580"/>
    <w:rsid w:val="00F21C1B"/>
    <w:rsid w:val="00F27502"/>
    <w:rsid w:val="00F40CD6"/>
    <w:rsid w:val="00F6448F"/>
    <w:rsid w:val="00F66A51"/>
    <w:rsid w:val="00F73C5C"/>
    <w:rsid w:val="00F946C0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D752E"/>
  <w15:chartTrackingRefBased/>
  <w15:docId w15:val="{63DA338E-5FE5-C641-93FE-5CBD5EB9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E7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7E75"/>
    <w:pPr>
      <w:spacing w:after="0" w:line="240" w:lineRule="auto"/>
    </w:pPr>
    <w:rPr>
      <w:rFonts w:ascii="Arial" w:eastAsia="Times New Roman" w:hAnsi="Arial" w:cs="Arial"/>
      <w:color w:val="6D6D6D"/>
      <w:kern w:val="0"/>
      <w:sz w:val="13"/>
      <w:szCs w:val="13"/>
      <w14:ligatures w14:val="none"/>
    </w:rPr>
  </w:style>
  <w:style w:type="character" w:styleId="Hyperlink">
    <w:name w:val="Hyperlink"/>
    <w:basedOn w:val="DefaultParagraphFont"/>
    <w:uiPriority w:val="99"/>
    <w:unhideWhenUsed/>
    <w:rsid w:val="00E109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911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A63E6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E4B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E4B20"/>
    <w:rPr>
      <w:b/>
      <w:bCs/>
    </w:rPr>
  </w:style>
  <w:style w:type="character" w:styleId="Emphasis">
    <w:name w:val="Emphasis"/>
    <w:basedOn w:val="DefaultParagraphFont"/>
    <w:uiPriority w:val="20"/>
    <w:qFormat/>
    <w:rsid w:val="000E5285"/>
    <w:rPr>
      <w:i/>
      <w:iCs/>
    </w:rPr>
  </w:style>
  <w:style w:type="character" w:customStyle="1" w:styleId="highwire-citation-authors">
    <w:name w:val="highwire-citation-authors"/>
    <w:basedOn w:val="DefaultParagraphFont"/>
    <w:rsid w:val="00EC7E74"/>
  </w:style>
  <w:style w:type="character" w:customStyle="1" w:styleId="highwire-citation-author">
    <w:name w:val="highwire-citation-author"/>
    <w:basedOn w:val="DefaultParagraphFont"/>
    <w:rsid w:val="00EC7E74"/>
  </w:style>
  <w:style w:type="character" w:customStyle="1" w:styleId="nlm-given-names">
    <w:name w:val="nlm-given-names"/>
    <w:basedOn w:val="DefaultParagraphFont"/>
    <w:rsid w:val="00EC7E74"/>
  </w:style>
  <w:style w:type="character" w:customStyle="1" w:styleId="nlm-surname">
    <w:name w:val="nlm-surname"/>
    <w:basedOn w:val="DefaultParagraphFont"/>
    <w:rsid w:val="00EC7E74"/>
  </w:style>
  <w:style w:type="character" w:customStyle="1" w:styleId="highwire-cite-metadata-journal">
    <w:name w:val="highwire-cite-metadata-journal"/>
    <w:basedOn w:val="DefaultParagraphFont"/>
    <w:rsid w:val="00EC7E74"/>
  </w:style>
  <w:style w:type="character" w:customStyle="1" w:styleId="highwire-cite-metadata-date">
    <w:name w:val="highwire-cite-metadata-date"/>
    <w:basedOn w:val="DefaultParagraphFont"/>
    <w:rsid w:val="00EC7E74"/>
  </w:style>
  <w:style w:type="character" w:customStyle="1" w:styleId="highwire-cite-metadata-doi">
    <w:name w:val="highwire-cite-metadata-doi"/>
    <w:basedOn w:val="DefaultParagraphFont"/>
    <w:rsid w:val="00EC7E74"/>
  </w:style>
  <w:style w:type="character" w:customStyle="1" w:styleId="label">
    <w:name w:val="label"/>
    <w:basedOn w:val="DefaultParagraphFont"/>
    <w:rsid w:val="00EC7E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77/19714009231193162" TargetMode="External"/><Relationship Id="rId5" Type="http://schemas.openxmlformats.org/officeDocument/2006/relationships/hyperlink" Target="https://doi.org/10.1093/neuonc/noab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702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3</cp:revision>
  <dcterms:created xsi:type="dcterms:W3CDTF">2025-10-21T18:25:00Z</dcterms:created>
  <dcterms:modified xsi:type="dcterms:W3CDTF">2025-10-21T18:26:00Z</dcterms:modified>
</cp:coreProperties>
</file>