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04AE3" w14:textId="3CE6AFC9" w:rsidR="00406599" w:rsidRDefault="00B176B7" w:rsidP="00627E75">
      <w:pPr>
        <w:pStyle w:val="p1"/>
        <w:rPr>
          <w:color w:val="000000"/>
          <w:sz w:val="22"/>
          <w:szCs w:val="22"/>
        </w:rPr>
      </w:pPr>
      <w:r>
        <w:rPr>
          <w:color w:val="000000"/>
          <w:sz w:val="22"/>
          <w:szCs w:val="22"/>
        </w:rPr>
        <w:t>10</w:t>
      </w:r>
      <w:r w:rsidR="00406599" w:rsidRPr="00A84984">
        <w:rPr>
          <w:color w:val="000000"/>
          <w:sz w:val="22"/>
          <w:szCs w:val="22"/>
        </w:rPr>
        <w:t>/</w:t>
      </w:r>
      <w:r>
        <w:rPr>
          <w:color w:val="000000"/>
          <w:sz w:val="22"/>
          <w:szCs w:val="22"/>
        </w:rPr>
        <w:t>05</w:t>
      </w:r>
      <w:r w:rsidR="00406599" w:rsidRPr="00A84984">
        <w:rPr>
          <w:color w:val="000000"/>
          <w:sz w:val="22"/>
          <w:szCs w:val="22"/>
        </w:rPr>
        <w:t>/2025 Brian</w:t>
      </w:r>
      <w:r w:rsidR="00F946C0" w:rsidRPr="00A84984">
        <w:rPr>
          <w:color w:val="000000"/>
          <w:sz w:val="22"/>
          <w:szCs w:val="22"/>
        </w:rPr>
        <w:t>a</w:t>
      </w:r>
      <w:r w:rsidR="00406599" w:rsidRPr="00A84984">
        <w:rPr>
          <w:color w:val="000000"/>
          <w:sz w:val="22"/>
          <w:szCs w:val="22"/>
        </w:rPr>
        <w:t>-Yves 1-1 Meeting Minutes</w:t>
      </w:r>
    </w:p>
    <w:p w14:paraId="5D9DCCDF" w14:textId="77777777" w:rsidR="00406599" w:rsidRDefault="00406599" w:rsidP="00627E75">
      <w:pPr>
        <w:pStyle w:val="p1"/>
        <w:rPr>
          <w:color w:val="000000"/>
          <w:sz w:val="22"/>
          <w:szCs w:val="22"/>
        </w:rPr>
      </w:pPr>
    </w:p>
    <w:p w14:paraId="492D6CDD" w14:textId="07C8CDB0" w:rsidR="00175B2E" w:rsidRDefault="006E1A77" w:rsidP="00F90CE1">
      <w:pPr>
        <w:pStyle w:val="Heading2"/>
        <w:rPr>
          <w:rFonts w:ascii="Merriweather" w:hAnsi="Merriweather"/>
          <w:color w:val="2A2A2A"/>
          <w:sz w:val="23"/>
          <w:szCs w:val="23"/>
          <w:shd w:val="clear" w:color="auto" w:fill="FCFCFC"/>
        </w:rPr>
      </w:pPr>
      <w:r>
        <w:rPr>
          <w:rFonts w:ascii="Merriweather" w:hAnsi="Merriweather"/>
          <w:color w:val="2A2A2A"/>
          <w:sz w:val="23"/>
          <w:szCs w:val="23"/>
          <w:shd w:val="clear" w:color="auto" w:fill="FCFCFC"/>
        </w:rPr>
        <w:t xml:space="preserve">Glioblastoma </w:t>
      </w:r>
      <w:r w:rsidR="00175B2E">
        <w:rPr>
          <w:rFonts w:ascii="Merriweather" w:hAnsi="Merriweather"/>
          <w:color w:val="2A2A2A"/>
          <w:kern w:val="0"/>
          <w:sz w:val="23"/>
          <w:szCs w:val="23"/>
          <w:shd w:val="clear" w:color="auto" w:fill="FCFCFC"/>
          <w14:ligatures w14:val="none"/>
        </w:rPr>
        <w:t>(GBM) is the most aggressive adult primary brain cancer; it affects patients older than 60 years and males specifically</w:t>
      </w:r>
      <w:r w:rsidR="00175B2E">
        <w:rPr>
          <w:rFonts w:ascii="Merriweather" w:hAnsi="Merriweather"/>
          <w:color w:val="2A2A2A"/>
          <w:kern w:val="0"/>
          <w:sz w:val="23"/>
          <w:szCs w:val="23"/>
          <w:shd w:val="clear" w:color="auto" w:fill="FCFCFC"/>
          <w14:ligatures w14:val="none"/>
        </w:rPr>
        <w:t xml:space="preserve"> with a median overall survival (OS) of 14.6-16.7</w:t>
      </w:r>
      <w:r w:rsidR="00175B2E">
        <w:rPr>
          <w:rFonts w:ascii="Merriweather" w:hAnsi="Merriweather"/>
          <w:color w:val="2A2A2A"/>
          <w:kern w:val="0"/>
          <w:sz w:val="23"/>
          <w:szCs w:val="23"/>
          <w:shd w:val="clear" w:color="auto" w:fill="FCFCFC"/>
          <w14:ligatures w14:val="none"/>
        </w:rPr>
        <w:t>.</w:t>
      </w:r>
      <w:r w:rsidR="00175B2E">
        <w:rPr>
          <w:rFonts w:ascii="Merriweather" w:hAnsi="Merriweather"/>
          <w:color w:val="2A2A2A"/>
          <w:kern w:val="0"/>
          <w:sz w:val="23"/>
          <w:szCs w:val="23"/>
          <w:shd w:val="clear" w:color="auto" w:fill="FCFCFC"/>
          <w14:ligatures w14:val="none"/>
        </w:rPr>
        <w:t xml:space="preserve"> The standard of care consists of </w:t>
      </w:r>
      <w:r w:rsidR="00175B2E">
        <w:rPr>
          <w:rFonts w:ascii="Merriweather" w:hAnsi="Merriweather"/>
          <w:color w:val="2A2A2A"/>
          <w:sz w:val="23"/>
          <w:szCs w:val="23"/>
          <w:shd w:val="clear" w:color="auto" w:fill="FCFCFC"/>
        </w:rPr>
        <w:t xml:space="preserve">  </w:t>
      </w:r>
    </w:p>
    <w:p w14:paraId="5FF775EA" w14:textId="77777777" w:rsidR="00175B2E" w:rsidRDefault="00175B2E" w:rsidP="00F90CE1">
      <w:pPr>
        <w:pStyle w:val="Heading2"/>
        <w:rPr>
          <w:rFonts w:ascii="Merriweather" w:hAnsi="Merriweather"/>
          <w:color w:val="2A2A2A"/>
          <w:sz w:val="23"/>
          <w:szCs w:val="23"/>
          <w:shd w:val="clear" w:color="auto" w:fill="FCFCFC"/>
        </w:rPr>
      </w:pPr>
    </w:p>
    <w:p w14:paraId="7FE8F3AC" w14:textId="6EB63AB7" w:rsidR="006E1A77" w:rsidRDefault="006E1A77" w:rsidP="00F90CE1">
      <w:pPr>
        <w:pStyle w:val="Heading2"/>
        <w:rPr>
          <w:rFonts w:ascii="Merriweather" w:hAnsi="Merriweather"/>
          <w:color w:val="2A2A2A"/>
          <w:sz w:val="23"/>
          <w:szCs w:val="23"/>
          <w:shd w:val="clear" w:color="auto" w:fill="FCFCFC"/>
        </w:rPr>
      </w:pPr>
      <w:r>
        <w:rPr>
          <w:rFonts w:ascii="Merriweather" w:hAnsi="Merriweather"/>
          <w:color w:val="2A2A2A"/>
          <w:sz w:val="23"/>
          <w:szCs w:val="23"/>
          <w:shd w:val="clear" w:color="auto" w:fill="FCFCFC"/>
        </w:rPr>
        <w:t>exhibits significant heterogeneity, complicating treatment planning and trial stratification.</w:t>
      </w:r>
    </w:p>
    <w:p w14:paraId="28A082C2" w14:textId="25527D72" w:rsidR="006E1A77" w:rsidRDefault="006E1A77" w:rsidP="006E1A77">
      <w:pPr>
        <w:rPr>
          <w:rFonts w:ascii="Merriweather" w:hAnsi="Merriweather"/>
          <w:color w:val="2A2A2A"/>
          <w:sz w:val="23"/>
          <w:szCs w:val="23"/>
          <w:shd w:val="clear" w:color="auto" w:fill="FFFFFF"/>
        </w:rPr>
      </w:pPr>
      <w:r>
        <w:rPr>
          <w:rFonts w:ascii="Merriweather" w:hAnsi="Merriweather"/>
          <w:color w:val="2A2A2A"/>
          <w:sz w:val="23"/>
          <w:szCs w:val="23"/>
          <w:shd w:val="clear" w:color="auto" w:fill="FFFFFF"/>
        </w:rPr>
        <w:t>Glioblastoma (GBM) is the most common malignant primary central nervous system (CNS) neoplasm in adults with a median age of onset of 65 years and a median overall survival (OS) of 14.6–16.7 months.</w:t>
      </w:r>
      <w:r>
        <w:rPr>
          <w:rFonts w:ascii="Source Sans Pro" w:hAnsi="Source Sans Pro"/>
          <w:color w:val="2A2A2A"/>
          <w:bdr w:val="none" w:sz="0" w:space="0" w:color="auto" w:frame="1"/>
          <w:shd w:val="clear" w:color="auto" w:fill="FFFFFF"/>
          <w:vertAlign w:val="superscript"/>
        </w:rPr>
        <w:fldChar w:fldCharType="begin"/>
      </w:r>
      <w:r>
        <w:rPr>
          <w:rFonts w:ascii="Source Sans Pro" w:hAnsi="Source Sans Pro"/>
          <w:color w:val="2A2A2A"/>
          <w:bdr w:val="none" w:sz="0" w:space="0" w:color="auto" w:frame="1"/>
          <w:shd w:val="clear" w:color="auto" w:fill="FFFFFF"/>
          <w:vertAlign w:val="superscript"/>
        </w:rPr>
        <w:instrText>HYPERLINK "javascript:;"</w:instrText>
      </w:r>
      <w:r>
        <w:rPr>
          <w:rFonts w:ascii="Source Sans Pro" w:hAnsi="Source Sans Pro"/>
          <w:color w:val="2A2A2A"/>
          <w:bdr w:val="none" w:sz="0" w:space="0" w:color="auto" w:frame="1"/>
          <w:shd w:val="clear" w:color="auto" w:fill="FFFFFF"/>
          <w:vertAlign w:val="superscript"/>
        </w:rPr>
      </w:r>
      <w:r>
        <w:rPr>
          <w:rFonts w:ascii="Source Sans Pro" w:hAnsi="Source Sans Pro"/>
          <w:color w:val="2A2A2A"/>
          <w:bdr w:val="none" w:sz="0" w:space="0" w:color="auto" w:frame="1"/>
          <w:shd w:val="clear" w:color="auto" w:fill="FFFFFF"/>
          <w:vertAlign w:val="superscript"/>
        </w:rPr>
        <w:fldChar w:fldCharType="separate"/>
      </w:r>
      <w:r>
        <w:rPr>
          <w:rStyle w:val="Hyperlink"/>
          <w:rFonts w:ascii="Source Sans Pro" w:hAnsi="Source Sans Pro"/>
          <w:color w:val="006FB7"/>
          <w:bdr w:val="none" w:sz="0" w:space="0" w:color="auto" w:frame="1"/>
          <w:shd w:val="clear" w:color="auto" w:fill="FFFFFF"/>
        </w:rPr>
        <w:t>1</w:t>
      </w:r>
      <w:r>
        <w:rPr>
          <w:rFonts w:ascii="Source Sans Pro" w:hAnsi="Source Sans Pro"/>
          <w:color w:val="2A2A2A"/>
          <w:bdr w:val="none" w:sz="0" w:space="0" w:color="auto" w:frame="1"/>
          <w:shd w:val="clear" w:color="auto" w:fill="FFFFFF"/>
          <w:vertAlign w:val="superscript"/>
        </w:rPr>
        <w:fldChar w:fldCharType="end"/>
      </w:r>
      <w:r>
        <w:rPr>
          <w:rFonts w:ascii="Source Sans Pro" w:hAnsi="Source Sans Pro"/>
          <w:color w:val="2A2A2A"/>
          <w:bdr w:val="none" w:sz="0" w:space="0" w:color="auto" w:frame="1"/>
          <w:shd w:val="clear" w:color="auto" w:fill="FFFFFF"/>
          <w:vertAlign w:val="superscript"/>
        </w:rPr>
        <w:t>,</w:t>
      </w:r>
      <w:hyperlink r:id="rId5" w:history="1">
        <w:r>
          <w:rPr>
            <w:rStyle w:val="Hyperlink"/>
            <w:rFonts w:ascii="Source Sans Pro" w:hAnsi="Source Sans Pro"/>
            <w:color w:val="006FB7"/>
            <w:bdr w:val="none" w:sz="0" w:space="0" w:color="auto" w:frame="1"/>
            <w:shd w:val="clear" w:color="auto" w:fill="FFFFFF"/>
          </w:rPr>
          <w:t>2</w:t>
        </w:r>
      </w:hyperlink>
      <w:r>
        <w:rPr>
          <w:rFonts w:ascii="Merriweather" w:hAnsi="Merriweather"/>
          <w:color w:val="2A2A2A"/>
          <w:sz w:val="23"/>
          <w:szCs w:val="23"/>
          <w:shd w:val="clear" w:color="auto" w:fill="FFFFFF"/>
        </w:rPr>
        <w:t> Despite aggressive multimodal treatment, including maximal safe surgical resection, radiation therapy and chemotherapy, OS in GBM remains poor and highly variable.</w:t>
      </w:r>
    </w:p>
    <w:p w14:paraId="4F1674AF" w14:textId="5D3F1837" w:rsidR="006E1A77" w:rsidRDefault="006E1A77" w:rsidP="006E1A77">
      <w:pPr>
        <w:rPr>
          <w:rFonts w:ascii="Merriweather" w:hAnsi="Merriweather"/>
          <w:color w:val="2A2A2A"/>
          <w:sz w:val="23"/>
          <w:szCs w:val="23"/>
          <w:shd w:val="clear" w:color="auto" w:fill="FFFFFF"/>
        </w:rPr>
      </w:pPr>
      <w:r>
        <w:rPr>
          <w:rFonts w:ascii="Merriweather" w:hAnsi="Merriweather"/>
          <w:color w:val="2A2A2A"/>
          <w:sz w:val="23"/>
          <w:szCs w:val="23"/>
          <w:shd w:val="clear" w:color="auto" w:fill="FFFFFF"/>
        </w:rPr>
        <w:t>A</w:t>
      </w:r>
      <w:r>
        <w:rPr>
          <w:rFonts w:ascii="Merriweather" w:hAnsi="Merriweather"/>
          <w:color w:val="2A2A2A"/>
          <w:sz w:val="23"/>
          <w:szCs w:val="23"/>
          <w:shd w:val="clear" w:color="auto" w:fill="FFFFFF"/>
        </w:rPr>
        <w:t> tumor can develop in any part of the brain. Some tumor locations may negatively affect critical parts of the brain and some tumors are more difficult to resect or irradiate due to their location, as doing so could result in potential neurologic deficit. Maximal surgical resection consistent with preservation of neurologic function is the standard of care</w:t>
      </w:r>
    </w:p>
    <w:p w14:paraId="185B5946" w14:textId="77777777" w:rsidR="002B4D34" w:rsidRDefault="002B4D34" w:rsidP="006E1A77">
      <w:pPr>
        <w:rPr>
          <w:rFonts w:ascii="Merriweather" w:hAnsi="Merriweather"/>
          <w:color w:val="2A2A2A"/>
          <w:sz w:val="23"/>
          <w:szCs w:val="23"/>
          <w:shd w:val="clear" w:color="auto" w:fill="FFFFFF"/>
        </w:rPr>
      </w:pPr>
    </w:p>
    <w:p w14:paraId="5DF5A6C0" w14:textId="76A0A8E1" w:rsidR="002B4D34" w:rsidRDefault="002B4D34" w:rsidP="006E1A77">
      <w:pPr>
        <w:rPr>
          <w:rFonts w:ascii="Merriweather" w:hAnsi="Merriweather"/>
          <w:color w:val="2A2A2A"/>
          <w:sz w:val="23"/>
          <w:szCs w:val="23"/>
          <w:shd w:val="clear" w:color="auto" w:fill="FFFFFF"/>
        </w:rPr>
      </w:pPr>
      <w:r>
        <w:rPr>
          <w:rFonts w:ascii="Merriweather" w:hAnsi="Merriweather"/>
          <w:color w:val="2A2A2A"/>
          <w:sz w:val="23"/>
          <w:szCs w:val="23"/>
          <w:shd w:val="clear" w:color="auto" w:fill="FFFFFF"/>
        </w:rPr>
        <w:t> A tumor located within, or even in close proximity to, regions of critical function is less treatable via resection or radiation therapy; therefore, the benefits of maximal therapy are often counterbalanced by increasing risks of permanent morbidity and decreased quality of life</w:t>
      </w:r>
    </w:p>
    <w:p w14:paraId="739C82F3" w14:textId="56104BF0" w:rsidR="00FE0E80" w:rsidRDefault="00FE0E80" w:rsidP="006E1A77">
      <w:pPr>
        <w:rPr>
          <w:rFonts w:ascii="Merriweather" w:hAnsi="Merriweather"/>
          <w:color w:val="2A2A2A"/>
          <w:sz w:val="23"/>
          <w:szCs w:val="23"/>
          <w:shd w:val="clear" w:color="auto" w:fill="FFFFFF"/>
        </w:rPr>
      </w:pPr>
      <w:r>
        <w:rPr>
          <w:rFonts w:ascii="Merriweather" w:hAnsi="Merriweather"/>
          <w:color w:val="2A2A2A"/>
          <w:sz w:val="23"/>
          <w:szCs w:val="23"/>
          <w:shd w:val="clear" w:color="auto" w:fill="FFFFFF"/>
        </w:rPr>
        <w:t>There have been different ML approaches to predict stratify GBM patients into different prognostics grups using imaging features.</w:t>
      </w:r>
    </w:p>
    <w:p w14:paraId="0C4D45B0" w14:textId="3FE1B63B" w:rsidR="00D55D72" w:rsidRDefault="00D55D72" w:rsidP="006E1A77">
      <w:pPr>
        <w:rPr>
          <w:rFonts w:ascii="Merriweather" w:hAnsi="Merriweather"/>
          <w:color w:val="2A2A2A"/>
          <w:sz w:val="23"/>
          <w:szCs w:val="23"/>
          <w:shd w:val="clear" w:color="auto" w:fill="FFFFFF"/>
        </w:rPr>
      </w:pPr>
      <w:r>
        <w:rPr>
          <w:rFonts w:ascii="Merriweather" w:hAnsi="Merriweather"/>
          <w:color w:val="2A2A2A"/>
          <w:sz w:val="23"/>
          <w:szCs w:val="23"/>
          <w:shd w:val="clear" w:color="auto" w:fill="FFFFFF"/>
        </w:rPr>
        <w:t xml:space="preserve">Respond </w:t>
      </w:r>
      <w:r>
        <w:rPr>
          <w:rFonts w:ascii="Merriweather" w:hAnsi="Merriweather"/>
          <w:color w:val="2A2A2A"/>
          <w:sz w:val="23"/>
          <w:szCs w:val="23"/>
          <w:shd w:val="clear" w:color="auto" w:fill="FFFFFF"/>
        </w:rPr>
        <w:t> including (1) volumetric measurements of each tumor sub-compartment, (2) tumor location, (3) morphologic features, and (4) number of tumor cores (TC), conveying characteristics related to the growth vectors and tumor infiltration patterns. </w:t>
      </w:r>
    </w:p>
    <w:p w14:paraId="480CAAE2" w14:textId="77777777" w:rsidR="00D55D72" w:rsidRDefault="00D55D72" w:rsidP="006E1A77">
      <w:pPr>
        <w:rPr>
          <w:rFonts w:ascii="Merriweather" w:hAnsi="Merriweather"/>
          <w:color w:val="2A2A2A"/>
          <w:sz w:val="23"/>
          <w:szCs w:val="23"/>
          <w:shd w:val="clear" w:color="auto" w:fill="FFFFFF"/>
        </w:rPr>
      </w:pPr>
    </w:p>
    <w:p w14:paraId="4A0AED70" w14:textId="77777777" w:rsidR="00FE0E80" w:rsidRDefault="00FE0E80" w:rsidP="006E1A77">
      <w:pPr>
        <w:rPr>
          <w:rFonts w:ascii="Merriweather" w:hAnsi="Merriweather"/>
          <w:color w:val="2A2A2A"/>
          <w:sz w:val="23"/>
          <w:szCs w:val="23"/>
          <w:shd w:val="clear" w:color="auto" w:fill="FFFFFF"/>
        </w:rPr>
      </w:pPr>
    </w:p>
    <w:p w14:paraId="5A67DABB" w14:textId="77777777" w:rsidR="006E1A77" w:rsidRPr="006E1A77" w:rsidRDefault="006E1A77" w:rsidP="006E1A77"/>
    <w:p w14:paraId="5DECB4F3" w14:textId="77777777" w:rsidR="00175B2E" w:rsidRDefault="00175B2E" w:rsidP="00F90CE1">
      <w:pPr>
        <w:pStyle w:val="Heading2"/>
      </w:pPr>
    </w:p>
    <w:p w14:paraId="17C698D5" w14:textId="3ACBBAC8" w:rsidR="00175B2E" w:rsidRDefault="00175B2E" w:rsidP="00F90CE1">
      <w:pPr>
        <w:pStyle w:val="Heading2"/>
      </w:pPr>
      <w:r>
        <w:rPr>
          <w:rFonts w:ascii="Source Sans Pro" w:hAnsi="Source Sans Pro"/>
          <w:color w:val="2A2A2A"/>
          <w:sz w:val="23"/>
          <w:szCs w:val="23"/>
          <w:shd w:val="clear" w:color="auto" w:fill="FFFFFF"/>
        </w:rPr>
        <w:t>Quinn T Ostrom, Gino Cioffi, Kristin Waite, Carol Kruchko, Jill S Barnholtz-Sloan, CBTRUS Statistical Report: Primary Brain and Other Central Nervous System Tumors Diagnosed in the United States in 2014–2018, </w:t>
      </w:r>
      <w:r>
        <w:rPr>
          <w:rStyle w:val="Emphasis"/>
          <w:rFonts w:ascii="Source Sans Pro" w:hAnsi="Source Sans Pro"/>
          <w:color w:val="2A2A2A"/>
          <w:sz w:val="23"/>
          <w:szCs w:val="23"/>
          <w:bdr w:val="none" w:sz="0" w:space="0" w:color="auto" w:frame="1"/>
          <w:shd w:val="clear" w:color="auto" w:fill="FFFFFF"/>
        </w:rPr>
        <w:t>Neuro-Oncology</w:t>
      </w:r>
      <w:r>
        <w:rPr>
          <w:rFonts w:ascii="Source Sans Pro" w:hAnsi="Source Sans Pro"/>
          <w:color w:val="2A2A2A"/>
          <w:sz w:val="23"/>
          <w:szCs w:val="23"/>
          <w:shd w:val="clear" w:color="auto" w:fill="FFFFFF"/>
        </w:rPr>
        <w:t>, Volume 23, Issue Supplement_3, October 2021, Pages iii1–iii105, </w:t>
      </w:r>
      <w:hyperlink r:id="rId6" w:history="1">
        <w:r>
          <w:rPr>
            <w:rStyle w:val="Hyperlink"/>
            <w:rFonts w:ascii="Source Sans Pro" w:hAnsi="Source Sans Pro"/>
            <w:color w:val="006FB7"/>
            <w:sz w:val="23"/>
            <w:szCs w:val="23"/>
            <w:bdr w:val="none" w:sz="0" w:space="0" w:color="auto" w:frame="1"/>
            <w:shd w:val="clear" w:color="auto" w:fill="FFFFFF"/>
          </w:rPr>
          <w:t>https://doi.org/10.1093/neuonc/noab200</w:t>
        </w:r>
      </w:hyperlink>
    </w:p>
    <w:p w14:paraId="28177FC2" w14:textId="77777777" w:rsidR="00C746BA" w:rsidRDefault="00C746BA" w:rsidP="00C746BA">
      <w:pPr>
        <w:pStyle w:val="Heading2"/>
      </w:pPr>
    </w:p>
    <w:p w14:paraId="4C2753C8" w14:textId="288D0F8B" w:rsidR="00175B2E" w:rsidRPr="00C746BA" w:rsidRDefault="00C746BA" w:rsidP="00C746BA">
      <w:r w:rsidRPr="00C746BA">
        <w:t>Stupp, R., Taillibert, S., Kanner, A., Read, W., Steinberg, D. M., Lhermitte, B., ... &amp; Ram, Z. (2017). Effect of tumor-treating fields plus maintenance temozolomide vs maintenance temozolomide alone on survival in patients with glioblastoma: a randomized clinical trial. Jama, 318(23), 2306-2316.</w:t>
      </w:r>
    </w:p>
    <w:p w14:paraId="1E269E25" w14:textId="77777777" w:rsidR="00C746BA" w:rsidRPr="00C746BA" w:rsidRDefault="00C746BA" w:rsidP="00C746BA"/>
    <w:p w14:paraId="3B29ECEF" w14:textId="77777777" w:rsidR="00C746BA" w:rsidRPr="00C746BA" w:rsidRDefault="00C746BA" w:rsidP="00C746BA"/>
    <w:p w14:paraId="30D018A6" w14:textId="38E1DEA6" w:rsidR="0049361D" w:rsidRDefault="0049361D" w:rsidP="00F90CE1">
      <w:pPr>
        <w:pStyle w:val="Heading2"/>
      </w:pPr>
      <w:r>
        <w:t>Problem Statement</w:t>
      </w:r>
    </w:p>
    <w:p w14:paraId="6F583D48" w14:textId="4AD3319A" w:rsidR="0049361D" w:rsidRDefault="00B61D97" w:rsidP="00432946">
      <w:pPr>
        <w:rPr>
          <w:rFonts w:ascii="Arial" w:hAnsi="Arial" w:cs="Arial"/>
          <w:sz w:val="22"/>
          <w:szCs w:val="22"/>
        </w:rPr>
      </w:pPr>
      <w:r>
        <w:rPr>
          <w:rFonts w:ascii="Arial" w:hAnsi="Arial" w:cs="Arial"/>
          <w:sz w:val="22"/>
          <w:szCs w:val="22"/>
        </w:rPr>
        <w:t>W</w:t>
      </w:r>
      <w:r w:rsidR="00432946" w:rsidRPr="00432946">
        <w:rPr>
          <w:rFonts w:ascii="Arial" w:hAnsi="Arial" w:cs="Arial"/>
          <w:sz w:val="22"/>
          <w:szCs w:val="22"/>
        </w:rPr>
        <w:t>e don’t have access to the CP images</w:t>
      </w:r>
      <w:r>
        <w:rPr>
          <w:rFonts w:ascii="Arial" w:hAnsi="Arial" w:cs="Arial"/>
          <w:sz w:val="22"/>
          <w:szCs w:val="22"/>
        </w:rPr>
        <w:t xml:space="preserve">. </w:t>
      </w:r>
    </w:p>
    <w:p w14:paraId="0E092DD0" w14:textId="687CFDFB" w:rsidR="0049361D" w:rsidRDefault="0049361D" w:rsidP="00F90CE1">
      <w:pPr>
        <w:pStyle w:val="Heading2"/>
      </w:pPr>
      <w:r>
        <w:t>Proposed workaround pipeline</w:t>
      </w:r>
    </w:p>
    <w:p w14:paraId="0A59B6DA" w14:textId="2733EC9E" w:rsidR="00432946" w:rsidRPr="00432946" w:rsidRDefault="00B61D97" w:rsidP="00432946">
      <w:pPr>
        <w:rPr>
          <w:rFonts w:ascii="Arial" w:hAnsi="Arial" w:cs="Arial"/>
          <w:sz w:val="22"/>
          <w:szCs w:val="22"/>
        </w:rPr>
      </w:pPr>
      <w:r>
        <w:rPr>
          <w:rFonts w:ascii="Arial" w:hAnsi="Arial" w:cs="Arial"/>
          <w:sz w:val="22"/>
          <w:szCs w:val="22"/>
        </w:rPr>
        <w:t>W</w:t>
      </w:r>
      <w:r w:rsidR="00432946" w:rsidRPr="00432946">
        <w:rPr>
          <w:rFonts w:ascii="Arial" w:hAnsi="Arial" w:cs="Arial"/>
          <w:sz w:val="22"/>
          <w:szCs w:val="22"/>
        </w:rPr>
        <w:t>e discussed several workaround strategies:</w:t>
      </w:r>
    </w:p>
    <w:p w14:paraId="2EC8727B" w14:textId="06D95315" w:rsidR="00432946" w:rsidRPr="00B61D97" w:rsidRDefault="00432946" w:rsidP="00B61D97">
      <w:pPr>
        <w:pStyle w:val="ListParagraph"/>
        <w:numPr>
          <w:ilvl w:val="0"/>
          <w:numId w:val="12"/>
        </w:numPr>
        <w:rPr>
          <w:rFonts w:ascii="Arial" w:hAnsi="Arial" w:cs="Arial"/>
          <w:sz w:val="22"/>
          <w:szCs w:val="22"/>
        </w:rPr>
      </w:pPr>
      <w:r w:rsidRPr="00B61D97">
        <w:rPr>
          <w:rFonts w:ascii="Arial" w:hAnsi="Arial" w:cs="Arial"/>
          <w:sz w:val="22"/>
          <w:szCs w:val="22"/>
        </w:rPr>
        <w:t>Train a segmentation model on a curated BraTS 2017 dataset.</w:t>
      </w:r>
    </w:p>
    <w:p w14:paraId="086F7235" w14:textId="3030CC56" w:rsidR="00B61D97" w:rsidRDefault="0049361D" w:rsidP="00B61D97">
      <w:pPr>
        <w:pStyle w:val="ListParagraph"/>
        <w:numPr>
          <w:ilvl w:val="0"/>
          <w:numId w:val="12"/>
        </w:numPr>
        <w:rPr>
          <w:rFonts w:ascii="Arial" w:hAnsi="Arial" w:cs="Arial"/>
          <w:sz w:val="22"/>
          <w:szCs w:val="22"/>
        </w:rPr>
      </w:pPr>
      <w:r>
        <w:rPr>
          <w:rFonts w:ascii="Arial" w:hAnsi="Arial" w:cs="Arial"/>
          <w:sz w:val="22"/>
          <w:szCs w:val="22"/>
        </w:rPr>
        <w:t>Then f</w:t>
      </w:r>
      <w:r w:rsidR="00432946" w:rsidRPr="00B61D97">
        <w:rPr>
          <w:rFonts w:ascii="Arial" w:hAnsi="Arial" w:cs="Arial"/>
          <w:sz w:val="22"/>
          <w:szCs w:val="22"/>
        </w:rPr>
        <w:t>ine-tun</w:t>
      </w:r>
      <w:r>
        <w:rPr>
          <w:rFonts w:ascii="Arial" w:hAnsi="Arial" w:cs="Arial"/>
          <w:sz w:val="22"/>
          <w:szCs w:val="22"/>
        </w:rPr>
        <w:t>e</w:t>
      </w:r>
      <w:r w:rsidR="00432946" w:rsidRPr="00B61D97">
        <w:rPr>
          <w:rFonts w:ascii="Arial" w:hAnsi="Arial" w:cs="Arial"/>
          <w:sz w:val="22"/>
          <w:szCs w:val="22"/>
        </w:rPr>
        <w:t xml:space="preserve"> </w:t>
      </w:r>
      <w:r>
        <w:rPr>
          <w:rFonts w:ascii="Arial" w:hAnsi="Arial" w:cs="Arial"/>
          <w:sz w:val="22"/>
          <w:szCs w:val="22"/>
        </w:rPr>
        <w:t xml:space="preserve">it </w:t>
      </w:r>
      <w:r w:rsidR="00432946" w:rsidRPr="00B61D97">
        <w:rPr>
          <w:rFonts w:ascii="Arial" w:hAnsi="Arial" w:cs="Arial"/>
          <w:sz w:val="22"/>
          <w:szCs w:val="22"/>
        </w:rPr>
        <w:t xml:space="preserve">on </w:t>
      </w:r>
      <w:r w:rsidR="00B61D97">
        <w:rPr>
          <w:rFonts w:ascii="Arial" w:hAnsi="Arial" w:cs="Arial"/>
          <w:sz w:val="22"/>
          <w:szCs w:val="22"/>
        </w:rPr>
        <w:t>available</w:t>
      </w:r>
      <w:r w:rsidR="00432946" w:rsidRPr="00B61D97">
        <w:rPr>
          <w:rFonts w:ascii="Arial" w:hAnsi="Arial" w:cs="Arial"/>
          <w:sz w:val="22"/>
          <w:szCs w:val="22"/>
        </w:rPr>
        <w:t xml:space="preserve"> data:</w:t>
      </w:r>
    </w:p>
    <w:p w14:paraId="6063CCC7" w14:textId="77777777" w:rsidR="00B61D97" w:rsidRPr="00B61D97" w:rsidRDefault="00B61D97" w:rsidP="00B61D97">
      <w:pPr>
        <w:pStyle w:val="ListParagraph"/>
        <w:ind w:left="360"/>
        <w:rPr>
          <w:rFonts w:ascii="Arial" w:hAnsi="Arial" w:cs="Arial"/>
          <w:sz w:val="22"/>
          <w:szCs w:val="22"/>
        </w:rPr>
      </w:pPr>
    </w:p>
    <w:p w14:paraId="5A0A43E8" w14:textId="0CB94499" w:rsidR="00432946" w:rsidRPr="00432946" w:rsidRDefault="00432946" w:rsidP="00432946">
      <w:pPr>
        <w:pStyle w:val="ListParagraph"/>
        <w:numPr>
          <w:ilvl w:val="0"/>
          <w:numId w:val="9"/>
        </w:numPr>
        <w:rPr>
          <w:rFonts w:ascii="Arial" w:hAnsi="Arial" w:cs="Arial"/>
          <w:sz w:val="22"/>
          <w:szCs w:val="22"/>
        </w:rPr>
      </w:pPr>
      <w:r w:rsidRPr="00432946">
        <w:rPr>
          <w:rFonts w:ascii="Arial" w:hAnsi="Arial" w:cs="Arial"/>
          <w:sz w:val="22"/>
          <w:szCs w:val="22"/>
        </w:rPr>
        <w:t>60 G</w:t>
      </w:r>
      <w:r w:rsidR="00B61D97">
        <w:rPr>
          <w:rFonts w:ascii="Arial" w:hAnsi="Arial" w:cs="Arial"/>
          <w:sz w:val="22"/>
          <w:szCs w:val="22"/>
        </w:rPr>
        <w:t>lioblastoma (G</w:t>
      </w:r>
      <w:r w:rsidRPr="00432946">
        <w:rPr>
          <w:rFonts w:ascii="Arial" w:hAnsi="Arial" w:cs="Arial"/>
          <w:sz w:val="22"/>
          <w:szCs w:val="22"/>
        </w:rPr>
        <w:t>BM</w:t>
      </w:r>
      <w:r w:rsidR="00B61D97">
        <w:rPr>
          <w:rFonts w:ascii="Arial" w:hAnsi="Arial" w:cs="Arial"/>
          <w:sz w:val="22"/>
          <w:szCs w:val="22"/>
        </w:rPr>
        <w:t>)</w:t>
      </w:r>
      <w:r w:rsidRPr="00432946">
        <w:rPr>
          <w:rFonts w:ascii="Arial" w:hAnsi="Arial" w:cs="Arial"/>
          <w:sz w:val="22"/>
          <w:szCs w:val="22"/>
        </w:rPr>
        <w:t xml:space="preserve"> cases</w:t>
      </w:r>
    </w:p>
    <w:p w14:paraId="2AB7FE51" w14:textId="77777777" w:rsidR="00B61D97" w:rsidRDefault="00432946" w:rsidP="00432946">
      <w:pPr>
        <w:pStyle w:val="ListParagraph"/>
        <w:numPr>
          <w:ilvl w:val="0"/>
          <w:numId w:val="9"/>
        </w:numPr>
        <w:rPr>
          <w:rFonts w:ascii="Arial" w:hAnsi="Arial" w:cs="Arial"/>
          <w:sz w:val="22"/>
          <w:szCs w:val="22"/>
        </w:rPr>
      </w:pPr>
      <w:r w:rsidRPr="00432946">
        <w:rPr>
          <w:rFonts w:ascii="Arial" w:hAnsi="Arial" w:cs="Arial"/>
          <w:sz w:val="22"/>
          <w:szCs w:val="22"/>
        </w:rPr>
        <w:t>A complete dataset of multifocal GBM cases, with validation performed through the disconnectomics tool</w:t>
      </w:r>
      <w:r w:rsidR="001F7620">
        <w:rPr>
          <w:rFonts w:ascii="Arial" w:hAnsi="Arial" w:cs="Arial"/>
          <w:sz w:val="22"/>
          <w:szCs w:val="22"/>
        </w:rPr>
        <w:t>s</w:t>
      </w:r>
      <w:r w:rsidRPr="00432946">
        <w:rPr>
          <w:rFonts w:ascii="Arial" w:hAnsi="Arial" w:cs="Arial"/>
          <w:sz w:val="22"/>
          <w:szCs w:val="22"/>
        </w:rPr>
        <w:t xml:space="preserve"> or </w:t>
      </w:r>
      <w:r w:rsidR="002A165F">
        <w:rPr>
          <w:rFonts w:ascii="Arial" w:hAnsi="Arial" w:cs="Arial"/>
          <w:sz w:val="22"/>
          <w:szCs w:val="22"/>
        </w:rPr>
        <w:t xml:space="preserve">the </w:t>
      </w:r>
      <w:r w:rsidRPr="00432946">
        <w:rPr>
          <w:rFonts w:ascii="Arial" w:hAnsi="Arial" w:cs="Arial"/>
          <w:sz w:val="22"/>
          <w:szCs w:val="22"/>
        </w:rPr>
        <w:t>lesion quantification toolkit</w:t>
      </w:r>
      <w:r w:rsidR="002A165F">
        <w:rPr>
          <w:rFonts w:ascii="Arial" w:hAnsi="Arial" w:cs="Arial"/>
          <w:sz w:val="22"/>
          <w:szCs w:val="22"/>
        </w:rPr>
        <w:t xml:space="preserve"> (LQT)</w:t>
      </w:r>
      <w:r w:rsidR="001F7620">
        <w:rPr>
          <w:rFonts w:ascii="Arial" w:hAnsi="Arial" w:cs="Arial"/>
          <w:sz w:val="22"/>
          <w:szCs w:val="22"/>
        </w:rPr>
        <w:t>.</w:t>
      </w:r>
    </w:p>
    <w:p w14:paraId="684AEB15" w14:textId="56A40A68" w:rsidR="0049361D" w:rsidRPr="00F90CE1" w:rsidRDefault="00432946" w:rsidP="00F90CE1">
      <w:pPr>
        <w:pStyle w:val="ListParagraph"/>
        <w:numPr>
          <w:ilvl w:val="0"/>
          <w:numId w:val="9"/>
        </w:numPr>
        <w:rPr>
          <w:rFonts w:ascii="Arial" w:hAnsi="Arial" w:cs="Arial"/>
          <w:sz w:val="22"/>
          <w:szCs w:val="22"/>
        </w:rPr>
      </w:pPr>
      <w:r w:rsidRPr="00B61D97">
        <w:rPr>
          <w:rFonts w:ascii="Arial" w:hAnsi="Arial" w:cs="Arial"/>
          <w:sz w:val="22"/>
          <w:szCs w:val="22"/>
        </w:rPr>
        <w:t>Once available, validate the model on the 90 CP scans.</w:t>
      </w:r>
    </w:p>
    <w:p w14:paraId="2BE7AE01" w14:textId="32596401" w:rsidR="00F90CE1" w:rsidRDefault="00F90CE1" w:rsidP="0049361D">
      <w:pPr>
        <w:pStyle w:val="ListParagraph"/>
        <w:rPr>
          <w:rFonts w:ascii="Arial" w:hAnsi="Arial" w:cs="Arial"/>
          <w:sz w:val="22"/>
          <w:szCs w:val="22"/>
        </w:rPr>
      </w:pPr>
      <w:r>
        <w:rPr>
          <w:rFonts w:ascii="Arial" w:hAnsi="Arial" w:cs="Arial"/>
          <w:noProof/>
          <w:sz w:val="22"/>
          <w:szCs w:val="22"/>
        </w:rPr>
        <w:drawing>
          <wp:inline distT="0" distB="0" distL="0" distR="0" wp14:anchorId="2A5E4DC3" wp14:editId="7A8A7C02">
            <wp:extent cx="4029307" cy="1356732"/>
            <wp:effectExtent l="0" t="0" r="9525" b="0"/>
            <wp:docPr id="1689886351"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57986D93" w14:textId="29A57309" w:rsidR="0049361D" w:rsidRPr="00B61D97" w:rsidRDefault="0049361D" w:rsidP="00F90CE1">
      <w:pPr>
        <w:pStyle w:val="Heading2"/>
      </w:pPr>
      <w:r>
        <w:t>Tool Description</w:t>
      </w:r>
    </w:p>
    <w:p w14:paraId="23EE8709" w14:textId="77777777" w:rsidR="00B61D97" w:rsidRPr="00B61D97" w:rsidRDefault="00D25239" w:rsidP="00B61D97">
      <w:pPr>
        <w:spacing w:after="0" w:line="240" w:lineRule="auto"/>
        <w:rPr>
          <w:rFonts w:ascii="Arial" w:hAnsi="Arial" w:cs="Arial"/>
          <w:sz w:val="22"/>
          <w:szCs w:val="22"/>
        </w:rPr>
      </w:pPr>
      <w:r w:rsidRPr="00B61D97">
        <w:rPr>
          <w:rFonts w:ascii="Arial" w:hAnsi="Arial" w:cs="Arial"/>
          <w:sz w:val="22"/>
          <w:szCs w:val="22"/>
        </w:rPr>
        <w:t xml:space="preserve">We also discussed different tools that could be evaluated in relation to MRI scans: </w:t>
      </w:r>
    </w:p>
    <w:p w14:paraId="11E71F0E" w14:textId="77777777" w:rsidR="00B61D97" w:rsidRPr="00B61D97" w:rsidRDefault="00B61D97" w:rsidP="00B61D97">
      <w:pPr>
        <w:spacing w:after="0" w:line="240" w:lineRule="auto"/>
        <w:rPr>
          <w:rFonts w:ascii="Arial" w:hAnsi="Arial" w:cs="Arial"/>
          <w:sz w:val="22"/>
          <w:szCs w:val="22"/>
        </w:rPr>
      </w:pPr>
    </w:p>
    <w:p w14:paraId="2237CB83" w14:textId="053F4FE3" w:rsidR="00D25239" w:rsidRPr="00B61D97" w:rsidRDefault="00D25239" w:rsidP="00B61D97">
      <w:pPr>
        <w:pStyle w:val="ListParagraph"/>
        <w:numPr>
          <w:ilvl w:val="0"/>
          <w:numId w:val="11"/>
        </w:numPr>
        <w:spacing w:after="0" w:line="240" w:lineRule="auto"/>
        <w:rPr>
          <w:rFonts w:ascii="Arial" w:hAnsi="Arial" w:cs="Arial"/>
          <w:sz w:val="22"/>
          <w:szCs w:val="22"/>
        </w:rPr>
      </w:pPr>
      <w:r w:rsidRPr="00B61D97">
        <w:rPr>
          <w:rFonts w:ascii="Arial" w:hAnsi="Arial" w:cs="Arial"/>
          <w:sz w:val="22"/>
          <w:szCs w:val="22"/>
        </w:rPr>
        <w:lastRenderedPageBreak/>
        <w:t>Neuroimaging-based lesion analyses</w:t>
      </w:r>
      <w:r w:rsidR="00B61D97">
        <w:rPr>
          <w:rFonts w:ascii="Arial" w:hAnsi="Arial" w:cs="Arial"/>
          <w:sz w:val="22"/>
          <w:szCs w:val="22"/>
        </w:rPr>
        <w:t>,</w:t>
      </w:r>
      <w:r w:rsidRPr="00B61D97">
        <w:rPr>
          <w:rFonts w:ascii="Arial" w:hAnsi="Arial" w:cs="Arial"/>
          <w:sz w:val="22"/>
          <w:szCs w:val="22"/>
        </w:rPr>
        <w:t xml:space="preserve"> such as voxel-based lesion-symptom mapping (VLSM</w:t>
      </w:r>
      <w:r w:rsidR="00316DDE">
        <w:rPr>
          <w:rFonts w:ascii="Arial" w:hAnsi="Arial" w:cs="Arial"/>
          <w:sz w:val="22"/>
          <w:szCs w:val="22"/>
        </w:rPr>
        <w:t xml:space="preserve">, </w:t>
      </w:r>
      <w:r w:rsidR="00842E28">
        <w:rPr>
          <w:rFonts w:ascii="Arial" w:hAnsi="Arial" w:cs="Arial"/>
          <w:sz w:val="22"/>
          <w:szCs w:val="22"/>
        </w:rPr>
        <w:t xml:space="preserve"> [1]</w:t>
      </w:r>
      <w:r w:rsidRPr="00B61D97">
        <w:rPr>
          <w:rFonts w:ascii="Arial" w:hAnsi="Arial" w:cs="Arial"/>
          <w:sz w:val="22"/>
          <w:szCs w:val="22"/>
        </w:rPr>
        <w:t xml:space="preserve">), </w:t>
      </w:r>
      <w:r w:rsidR="00B61D97">
        <w:rPr>
          <w:rFonts w:ascii="Arial" w:hAnsi="Arial" w:cs="Arial"/>
          <w:sz w:val="22"/>
          <w:szCs w:val="22"/>
        </w:rPr>
        <w:t>which show</w:t>
      </w:r>
      <w:r w:rsidRPr="00B61D97">
        <w:rPr>
          <w:rFonts w:ascii="Arial" w:hAnsi="Arial" w:cs="Arial"/>
          <w:sz w:val="22"/>
          <w:szCs w:val="22"/>
        </w:rPr>
        <w:t xml:space="preserve"> a lesion’s spatial localization.</w:t>
      </w:r>
    </w:p>
    <w:p w14:paraId="51872E71" w14:textId="77777777" w:rsidR="00D25239" w:rsidRPr="00D25239" w:rsidRDefault="00D25239" w:rsidP="00D25239">
      <w:pPr>
        <w:spacing w:after="0" w:line="240" w:lineRule="auto"/>
        <w:rPr>
          <w:rFonts w:ascii="Arial" w:hAnsi="Arial" w:cs="Arial"/>
          <w:sz w:val="22"/>
          <w:szCs w:val="22"/>
        </w:rPr>
      </w:pPr>
    </w:p>
    <w:p w14:paraId="4A0D7453" w14:textId="6CA1732C" w:rsidR="00D25239" w:rsidRPr="00D25239" w:rsidRDefault="00D25239" w:rsidP="00D25239">
      <w:pPr>
        <w:pStyle w:val="ListParagraph"/>
        <w:numPr>
          <w:ilvl w:val="0"/>
          <w:numId w:val="10"/>
        </w:numPr>
        <w:spacing w:after="0" w:line="240" w:lineRule="auto"/>
        <w:rPr>
          <w:rFonts w:ascii="Arial" w:hAnsi="Arial" w:cs="Arial"/>
          <w:sz w:val="22"/>
          <w:szCs w:val="22"/>
        </w:rPr>
      </w:pPr>
      <w:r w:rsidRPr="00D25239">
        <w:rPr>
          <w:rFonts w:ascii="Arial" w:hAnsi="Arial" w:cs="Arial"/>
          <w:sz w:val="22"/>
          <w:szCs w:val="22"/>
        </w:rPr>
        <w:t>Atlas-based approaches, which measure a lesion’s impact on gray matter regions and white matter connections, as well as the disruption of white matter pathways. One such publicly available tool is the MATLAB Lesion Quantification Toolkit</w:t>
      </w:r>
      <w:r w:rsidR="00842E28">
        <w:rPr>
          <w:rFonts w:ascii="Arial" w:hAnsi="Arial" w:cs="Arial"/>
          <w:sz w:val="22"/>
          <w:szCs w:val="22"/>
        </w:rPr>
        <w:t xml:space="preserve"> [2]</w:t>
      </w:r>
      <w:r w:rsidRPr="00D25239">
        <w:rPr>
          <w:rFonts w:ascii="Arial" w:hAnsi="Arial" w:cs="Arial"/>
          <w:sz w:val="22"/>
          <w:szCs w:val="22"/>
        </w:rPr>
        <w:t>.</w:t>
      </w:r>
    </w:p>
    <w:p w14:paraId="013474BD" w14:textId="77777777" w:rsidR="00D25239" w:rsidRPr="00D25239" w:rsidRDefault="00D25239" w:rsidP="00D25239">
      <w:pPr>
        <w:spacing w:after="0" w:line="240" w:lineRule="auto"/>
        <w:rPr>
          <w:rFonts w:ascii="Arial" w:hAnsi="Arial" w:cs="Arial"/>
          <w:sz w:val="22"/>
          <w:szCs w:val="22"/>
        </w:rPr>
      </w:pPr>
    </w:p>
    <w:p w14:paraId="546F2F4E" w14:textId="026A3F30" w:rsidR="00D25239" w:rsidRPr="00D25239" w:rsidRDefault="00D25239" w:rsidP="00D25239">
      <w:pPr>
        <w:pStyle w:val="ListParagraph"/>
        <w:numPr>
          <w:ilvl w:val="0"/>
          <w:numId w:val="10"/>
        </w:numPr>
        <w:spacing w:after="0" w:line="240" w:lineRule="auto"/>
        <w:rPr>
          <w:rFonts w:ascii="Arial" w:hAnsi="Arial" w:cs="Arial"/>
          <w:sz w:val="22"/>
          <w:szCs w:val="22"/>
        </w:rPr>
      </w:pPr>
      <w:r w:rsidRPr="00D25239">
        <w:rPr>
          <w:rFonts w:ascii="Arial" w:hAnsi="Arial" w:cs="Arial"/>
          <w:sz w:val="22"/>
          <w:szCs w:val="22"/>
        </w:rPr>
        <w:t xml:space="preserve">Another related analysis is a supervised machine learning method, </w:t>
      </w:r>
      <w:r w:rsidR="004631A8">
        <w:rPr>
          <w:rFonts w:ascii="Arial" w:hAnsi="Arial" w:cs="Arial"/>
          <w:sz w:val="22"/>
          <w:szCs w:val="22"/>
        </w:rPr>
        <w:t xml:space="preserve">the </w:t>
      </w:r>
      <w:r w:rsidRPr="00D25239">
        <w:rPr>
          <w:rFonts w:ascii="Arial" w:hAnsi="Arial" w:cs="Arial"/>
          <w:sz w:val="22"/>
          <w:szCs w:val="22"/>
        </w:rPr>
        <w:t>Support Vector Regression-based Lesion Symptom Mapping (SVR-LSM), which models the relationship between lesion data and behavioral scores</w:t>
      </w:r>
      <w:r w:rsidR="00785F13">
        <w:rPr>
          <w:rFonts w:ascii="Arial" w:hAnsi="Arial" w:cs="Arial"/>
          <w:sz w:val="22"/>
          <w:szCs w:val="22"/>
        </w:rPr>
        <w:t xml:space="preserve"> [3]</w:t>
      </w:r>
      <w:r w:rsidRPr="00D25239">
        <w:rPr>
          <w:rFonts w:ascii="Arial" w:hAnsi="Arial" w:cs="Arial"/>
          <w:sz w:val="22"/>
          <w:szCs w:val="22"/>
        </w:rPr>
        <w:t>.</w:t>
      </w:r>
    </w:p>
    <w:p w14:paraId="4876A977" w14:textId="77777777" w:rsidR="00D25239" w:rsidRPr="00D25239" w:rsidRDefault="00D25239" w:rsidP="00D25239">
      <w:pPr>
        <w:spacing w:after="0" w:line="240" w:lineRule="auto"/>
        <w:rPr>
          <w:rFonts w:ascii="Arial" w:hAnsi="Arial" w:cs="Arial"/>
          <w:sz w:val="22"/>
          <w:szCs w:val="22"/>
        </w:rPr>
      </w:pPr>
    </w:p>
    <w:p w14:paraId="3D0B71C8" w14:textId="77C2E771" w:rsidR="00D269B1" w:rsidRPr="00D25239" w:rsidRDefault="00D25239" w:rsidP="00D25239">
      <w:pPr>
        <w:pStyle w:val="ListParagraph"/>
        <w:numPr>
          <w:ilvl w:val="0"/>
          <w:numId w:val="10"/>
        </w:numPr>
        <w:spacing w:after="0" w:line="240" w:lineRule="auto"/>
        <w:rPr>
          <w:rFonts w:ascii="Arial" w:eastAsia="Times New Roman" w:hAnsi="Arial" w:cs="Arial"/>
          <w:color w:val="000000"/>
          <w:kern w:val="0"/>
          <w:sz w:val="22"/>
          <w:szCs w:val="22"/>
          <w14:ligatures w14:val="none"/>
        </w:rPr>
      </w:pPr>
      <w:r w:rsidRPr="00D25239">
        <w:rPr>
          <w:rFonts w:ascii="Arial" w:hAnsi="Arial" w:cs="Arial"/>
          <w:sz w:val="22"/>
          <w:szCs w:val="22"/>
        </w:rPr>
        <w:t>Other techniques include disconnection mapping (DSM</w:t>
      </w:r>
      <w:r w:rsidR="00316DDE">
        <w:rPr>
          <w:rFonts w:ascii="Arial" w:hAnsi="Arial" w:cs="Arial"/>
          <w:sz w:val="22"/>
          <w:szCs w:val="22"/>
        </w:rPr>
        <w:t>, [4]</w:t>
      </w:r>
      <w:r w:rsidRPr="00D25239">
        <w:rPr>
          <w:rFonts w:ascii="Arial" w:hAnsi="Arial" w:cs="Arial"/>
          <w:sz w:val="22"/>
          <w:szCs w:val="22"/>
        </w:rPr>
        <w:t>) or connectome lesion-symptom mapping (CLSM</w:t>
      </w:r>
      <w:r w:rsidR="00316DDE">
        <w:rPr>
          <w:rFonts w:ascii="Arial" w:hAnsi="Arial" w:cs="Arial"/>
          <w:sz w:val="22"/>
          <w:szCs w:val="22"/>
        </w:rPr>
        <w:t>, [5]</w:t>
      </w:r>
      <w:r w:rsidRPr="00D25239">
        <w:rPr>
          <w:rFonts w:ascii="Arial" w:eastAsia="Times New Roman" w:hAnsi="Arial" w:cs="Arial"/>
          <w:color w:val="000000"/>
          <w:kern w:val="0"/>
          <w:sz w:val="22"/>
          <w:szCs w:val="22"/>
          <w14:ligatures w14:val="none"/>
        </w:rPr>
        <w:t>)</w:t>
      </w:r>
    </w:p>
    <w:p w14:paraId="4EC7106E" w14:textId="3D4D710B" w:rsidR="002A165F" w:rsidRPr="00432946" w:rsidRDefault="002A165F" w:rsidP="00432946">
      <w:pPr>
        <w:rPr>
          <w:rFonts w:ascii="Arial" w:hAnsi="Arial" w:cs="Arial"/>
          <w:sz w:val="22"/>
          <w:szCs w:val="22"/>
        </w:rPr>
      </w:pPr>
    </w:p>
    <w:p w14:paraId="76B2CFF4" w14:textId="2A26006E" w:rsidR="00640400" w:rsidRDefault="002A165F" w:rsidP="002A165F">
      <w:pPr>
        <w:spacing w:before="120" w:after="0" w:line="240" w:lineRule="auto"/>
        <w:jc w:val="center"/>
        <w:rPr>
          <w:rFonts w:ascii="Arial" w:hAnsi="Arial" w:cs="Arial"/>
          <w:b/>
          <w:bCs/>
          <w:sz w:val="22"/>
          <w:szCs w:val="22"/>
        </w:rPr>
      </w:pPr>
      <w:r>
        <w:rPr>
          <w:rFonts w:ascii="Arial" w:hAnsi="Arial" w:cs="Arial"/>
          <w:b/>
          <w:bCs/>
          <w:noProof/>
          <w:sz w:val="22"/>
          <w:szCs w:val="22"/>
        </w:rPr>
        <w:drawing>
          <wp:inline distT="0" distB="0" distL="0" distR="0" wp14:anchorId="0EEB4C4A" wp14:editId="2A7ECB9D">
            <wp:extent cx="4616605" cy="2559355"/>
            <wp:effectExtent l="0" t="0" r="0" b="6350"/>
            <wp:docPr id="559275829" name="Picture 1" descr="A diagram of a b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275829" name="Picture 1" descr="A diagram of a brain&#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25050" cy="2564037"/>
                    </a:xfrm>
                    <a:prstGeom prst="rect">
                      <a:avLst/>
                    </a:prstGeom>
                  </pic:spPr>
                </pic:pic>
              </a:graphicData>
            </a:graphic>
          </wp:inline>
        </w:drawing>
      </w:r>
    </w:p>
    <w:p w14:paraId="301906DC" w14:textId="2EE28BE2" w:rsidR="002A165F" w:rsidRDefault="002A165F" w:rsidP="002A165F">
      <w:pPr>
        <w:spacing w:before="120" w:after="0" w:line="240" w:lineRule="auto"/>
        <w:jc w:val="center"/>
        <w:rPr>
          <w:rFonts w:ascii="Arial" w:hAnsi="Arial" w:cs="Arial"/>
          <w:b/>
          <w:bCs/>
          <w:sz w:val="22"/>
          <w:szCs w:val="22"/>
        </w:rPr>
      </w:pPr>
      <w:bookmarkStart w:id="0" w:name="OLE_LINK1"/>
      <w:r>
        <w:rPr>
          <w:rFonts w:ascii="Arial" w:hAnsi="Arial" w:cs="Arial"/>
          <w:b/>
          <w:bCs/>
          <w:sz w:val="22"/>
          <w:szCs w:val="22"/>
        </w:rPr>
        <w:t>White matter disconnection severity trac</w:t>
      </w:r>
      <w:r w:rsidR="001A3C76">
        <w:rPr>
          <w:rFonts w:ascii="Arial" w:hAnsi="Arial" w:cs="Arial"/>
          <w:b/>
          <w:bCs/>
          <w:sz w:val="22"/>
          <w:szCs w:val="22"/>
        </w:rPr>
        <w:t>t</w:t>
      </w:r>
      <w:r>
        <w:rPr>
          <w:rFonts w:ascii="Arial" w:hAnsi="Arial" w:cs="Arial"/>
          <w:b/>
          <w:bCs/>
          <w:sz w:val="22"/>
          <w:szCs w:val="22"/>
        </w:rPr>
        <w:t>s identified by LQT</w:t>
      </w:r>
    </w:p>
    <w:bookmarkEnd w:id="0"/>
    <w:p w14:paraId="2F980FCF" w14:textId="77777777" w:rsidR="001A3C76" w:rsidRDefault="001A3C76" w:rsidP="002A165F">
      <w:pPr>
        <w:spacing w:before="120" w:after="0" w:line="240" w:lineRule="auto"/>
        <w:jc w:val="center"/>
        <w:rPr>
          <w:rFonts w:ascii="Arial" w:hAnsi="Arial" w:cs="Arial"/>
          <w:b/>
          <w:bCs/>
          <w:sz w:val="22"/>
          <w:szCs w:val="22"/>
        </w:rPr>
      </w:pPr>
    </w:p>
    <w:p w14:paraId="50585240" w14:textId="77777777" w:rsidR="001A3C76" w:rsidRDefault="001A3C76" w:rsidP="002A165F">
      <w:pPr>
        <w:spacing w:before="120" w:after="0" w:line="240" w:lineRule="auto"/>
        <w:jc w:val="center"/>
        <w:rPr>
          <w:rFonts w:ascii="Arial" w:hAnsi="Arial" w:cs="Arial"/>
          <w:b/>
          <w:bCs/>
          <w:sz w:val="22"/>
          <w:szCs w:val="22"/>
        </w:rPr>
      </w:pPr>
    </w:p>
    <w:p w14:paraId="5938B8B6" w14:textId="0B35DD41" w:rsidR="00842E28" w:rsidRDefault="00842E28" w:rsidP="00842E28">
      <w:pPr>
        <w:spacing w:before="120" w:after="0" w:line="240" w:lineRule="auto"/>
        <w:rPr>
          <w:rFonts w:ascii="Arial" w:hAnsi="Arial" w:cs="Arial"/>
          <w:b/>
          <w:bCs/>
          <w:sz w:val="22"/>
          <w:szCs w:val="22"/>
        </w:rPr>
      </w:pPr>
      <w:r>
        <w:rPr>
          <w:rFonts w:ascii="Arial" w:hAnsi="Arial" w:cs="Arial"/>
          <w:b/>
          <w:bCs/>
          <w:sz w:val="22"/>
          <w:szCs w:val="22"/>
        </w:rPr>
        <w:t>References</w:t>
      </w:r>
    </w:p>
    <w:p w14:paraId="13AD3239" w14:textId="394ED1F1" w:rsidR="00842E28" w:rsidRPr="00316DDE" w:rsidRDefault="00842E28" w:rsidP="00842E28">
      <w:pPr>
        <w:spacing w:before="120" w:after="0" w:line="240" w:lineRule="auto"/>
        <w:rPr>
          <w:rFonts w:ascii="Arial" w:hAnsi="Arial" w:cs="Arial"/>
          <w:color w:val="000000" w:themeColor="text1"/>
          <w:sz w:val="22"/>
          <w:szCs w:val="22"/>
          <w:shd w:val="clear" w:color="auto" w:fill="FFFFFF"/>
        </w:rPr>
      </w:pPr>
      <w:r w:rsidRPr="00316DDE">
        <w:rPr>
          <w:rFonts w:ascii="Arial" w:hAnsi="Arial" w:cs="Arial"/>
          <w:color w:val="000000" w:themeColor="text1"/>
          <w:sz w:val="22"/>
          <w:szCs w:val="22"/>
          <w:shd w:val="clear" w:color="auto" w:fill="FFFFFF"/>
        </w:rPr>
        <w:t>[1] Bates, E., Wilson, S., Saygin, A. </w:t>
      </w:r>
      <w:r w:rsidRPr="00316DDE">
        <w:rPr>
          <w:rFonts w:ascii="Arial" w:hAnsi="Arial" w:cs="Arial"/>
          <w:i/>
          <w:iCs/>
          <w:color w:val="000000" w:themeColor="text1"/>
          <w:sz w:val="22"/>
          <w:szCs w:val="22"/>
          <w:shd w:val="clear" w:color="auto" w:fill="FFFFFF"/>
        </w:rPr>
        <w:t>et al.</w:t>
      </w:r>
      <w:r w:rsidRPr="00316DDE">
        <w:rPr>
          <w:rFonts w:ascii="Arial" w:hAnsi="Arial" w:cs="Arial"/>
          <w:color w:val="000000" w:themeColor="text1"/>
          <w:sz w:val="22"/>
          <w:szCs w:val="22"/>
          <w:shd w:val="clear" w:color="auto" w:fill="FFFFFF"/>
        </w:rPr>
        <w:t> Voxel-based lesion–symptom mapping. </w:t>
      </w:r>
      <w:r w:rsidRPr="00316DDE">
        <w:rPr>
          <w:rFonts w:ascii="Arial" w:hAnsi="Arial" w:cs="Arial"/>
          <w:i/>
          <w:iCs/>
          <w:color w:val="000000" w:themeColor="text1"/>
          <w:sz w:val="22"/>
          <w:szCs w:val="22"/>
          <w:shd w:val="clear" w:color="auto" w:fill="FFFFFF"/>
        </w:rPr>
        <w:t>Nat Neurosci</w:t>
      </w:r>
      <w:r w:rsidRPr="00316DDE">
        <w:rPr>
          <w:rFonts w:ascii="Arial" w:hAnsi="Arial" w:cs="Arial"/>
          <w:color w:val="000000" w:themeColor="text1"/>
          <w:sz w:val="22"/>
          <w:szCs w:val="22"/>
          <w:shd w:val="clear" w:color="auto" w:fill="FFFFFF"/>
        </w:rPr>
        <w:t> 6, 448–450 (2003). https://doi.org/10.1038/nn1050</w:t>
      </w:r>
    </w:p>
    <w:p w14:paraId="3BB418E8" w14:textId="5F64DE53" w:rsidR="00842E28" w:rsidRPr="00316DDE" w:rsidRDefault="00842E28" w:rsidP="00842E28">
      <w:pPr>
        <w:spacing w:before="120" w:after="0" w:line="240" w:lineRule="auto"/>
        <w:rPr>
          <w:rFonts w:ascii="Arial" w:hAnsi="Arial" w:cs="Arial"/>
          <w:color w:val="000000" w:themeColor="text1"/>
          <w:sz w:val="22"/>
          <w:szCs w:val="22"/>
          <w:shd w:val="clear" w:color="auto" w:fill="FFFFFF"/>
        </w:rPr>
      </w:pPr>
      <w:r w:rsidRPr="00316DDE">
        <w:rPr>
          <w:rFonts w:ascii="Arial" w:hAnsi="Arial" w:cs="Arial"/>
          <w:color w:val="000000" w:themeColor="text1"/>
          <w:sz w:val="22"/>
          <w:szCs w:val="22"/>
          <w:shd w:val="clear" w:color="auto" w:fill="FFFFFF"/>
        </w:rPr>
        <w:t>[2] Griffis, J. C., Metcalf, N. V., Corbetta, M., &amp; Shulman, G. L. (2021). Lesion Quantification Toolkit: A MATLAB software tool for estimating grey matter damage and white matter disconnections in patients with focal brain lesions. </w:t>
      </w:r>
      <w:r w:rsidRPr="00316DDE">
        <w:rPr>
          <w:rFonts w:ascii="Arial" w:hAnsi="Arial" w:cs="Arial"/>
          <w:i/>
          <w:iCs/>
          <w:color w:val="000000" w:themeColor="text1"/>
          <w:sz w:val="22"/>
          <w:szCs w:val="22"/>
          <w:shd w:val="clear" w:color="auto" w:fill="FFFFFF"/>
        </w:rPr>
        <w:t>NeuroImage: Clinical</w:t>
      </w:r>
      <w:r w:rsidRPr="00316DDE">
        <w:rPr>
          <w:rFonts w:ascii="Arial" w:hAnsi="Arial" w:cs="Arial"/>
          <w:color w:val="000000" w:themeColor="text1"/>
          <w:sz w:val="22"/>
          <w:szCs w:val="22"/>
          <w:shd w:val="clear" w:color="auto" w:fill="FFFFFF"/>
        </w:rPr>
        <w:t>, </w:t>
      </w:r>
      <w:r w:rsidRPr="00316DDE">
        <w:rPr>
          <w:rFonts w:ascii="Arial" w:hAnsi="Arial" w:cs="Arial"/>
          <w:i/>
          <w:iCs/>
          <w:color w:val="000000" w:themeColor="text1"/>
          <w:sz w:val="22"/>
          <w:szCs w:val="22"/>
          <w:shd w:val="clear" w:color="auto" w:fill="FFFFFF"/>
        </w:rPr>
        <w:t>30</w:t>
      </w:r>
      <w:r w:rsidRPr="00316DDE">
        <w:rPr>
          <w:rFonts w:ascii="Arial" w:hAnsi="Arial" w:cs="Arial"/>
          <w:color w:val="000000" w:themeColor="text1"/>
          <w:sz w:val="22"/>
          <w:szCs w:val="22"/>
          <w:shd w:val="clear" w:color="auto" w:fill="FFFFFF"/>
        </w:rPr>
        <w:t>, 102639.</w:t>
      </w:r>
    </w:p>
    <w:p w14:paraId="5043E566" w14:textId="5BACAEBF" w:rsidR="00842E28" w:rsidRPr="00316DDE" w:rsidRDefault="00785F13" w:rsidP="00842E28">
      <w:pPr>
        <w:spacing w:before="120" w:after="0" w:line="240" w:lineRule="auto"/>
        <w:rPr>
          <w:rFonts w:ascii="Arial" w:hAnsi="Arial" w:cs="Arial"/>
          <w:color w:val="000000" w:themeColor="text1"/>
          <w:sz w:val="22"/>
          <w:szCs w:val="22"/>
          <w:shd w:val="clear" w:color="auto" w:fill="FFFFFF"/>
        </w:rPr>
      </w:pPr>
      <w:r w:rsidRPr="00316DDE">
        <w:rPr>
          <w:rFonts w:ascii="Arial" w:hAnsi="Arial" w:cs="Arial"/>
          <w:color w:val="000000" w:themeColor="text1"/>
          <w:sz w:val="22"/>
          <w:szCs w:val="22"/>
          <w:shd w:val="clear" w:color="auto" w:fill="FFFFFF"/>
        </w:rPr>
        <w:t>[3] Zhang, Y., Kimberg, D. Y., Coslett, H. B., Schwartz, M. F., &amp; Wang, Z. (2014). Multivariate lesion-symptom mapping using support vector regression. </w:t>
      </w:r>
      <w:r w:rsidRPr="00316DDE">
        <w:rPr>
          <w:rFonts w:ascii="Arial" w:hAnsi="Arial" w:cs="Arial"/>
          <w:i/>
          <w:iCs/>
          <w:color w:val="000000" w:themeColor="text1"/>
          <w:sz w:val="22"/>
          <w:szCs w:val="22"/>
          <w:shd w:val="clear" w:color="auto" w:fill="FFFFFF"/>
        </w:rPr>
        <w:t>Human brain mapping</w:t>
      </w:r>
      <w:r w:rsidRPr="00316DDE">
        <w:rPr>
          <w:rFonts w:ascii="Arial" w:hAnsi="Arial" w:cs="Arial"/>
          <w:color w:val="000000" w:themeColor="text1"/>
          <w:sz w:val="22"/>
          <w:szCs w:val="22"/>
          <w:shd w:val="clear" w:color="auto" w:fill="FFFFFF"/>
        </w:rPr>
        <w:t>, </w:t>
      </w:r>
      <w:r w:rsidRPr="00316DDE">
        <w:rPr>
          <w:rFonts w:ascii="Arial" w:hAnsi="Arial" w:cs="Arial"/>
          <w:i/>
          <w:iCs/>
          <w:color w:val="000000" w:themeColor="text1"/>
          <w:sz w:val="22"/>
          <w:szCs w:val="22"/>
          <w:shd w:val="clear" w:color="auto" w:fill="FFFFFF"/>
        </w:rPr>
        <w:t>35</w:t>
      </w:r>
      <w:r w:rsidRPr="00316DDE">
        <w:rPr>
          <w:rFonts w:ascii="Arial" w:hAnsi="Arial" w:cs="Arial"/>
          <w:color w:val="000000" w:themeColor="text1"/>
          <w:sz w:val="22"/>
          <w:szCs w:val="22"/>
          <w:shd w:val="clear" w:color="auto" w:fill="FFFFFF"/>
        </w:rPr>
        <w:t xml:space="preserve">(12), 5861–5876. </w:t>
      </w:r>
      <w:hyperlink r:id="rId13" w:history="1">
        <w:r w:rsidRPr="00316DDE">
          <w:rPr>
            <w:rStyle w:val="Hyperlink"/>
            <w:rFonts w:ascii="Arial" w:hAnsi="Arial" w:cs="Arial"/>
            <w:color w:val="000000" w:themeColor="text1"/>
            <w:sz w:val="22"/>
            <w:szCs w:val="22"/>
            <w:shd w:val="clear" w:color="auto" w:fill="FFFFFF"/>
          </w:rPr>
          <w:t>https://doi.org/10.1002/hbm.22590</w:t>
        </w:r>
      </w:hyperlink>
    </w:p>
    <w:p w14:paraId="33F18038" w14:textId="3A9C3EBC" w:rsidR="00785F13" w:rsidRPr="00316DDE" w:rsidRDefault="00785F13" w:rsidP="00842E28">
      <w:pPr>
        <w:spacing w:before="120" w:after="0" w:line="240" w:lineRule="auto"/>
        <w:rPr>
          <w:rFonts w:ascii="Arial" w:hAnsi="Arial" w:cs="Arial"/>
          <w:color w:val="000000" w:themeColor="text1"/>
          <w:sz w:val="22"/>
          <w:szCs w:val="22"/>
          <w:shd w:val="clear" w:color="auto" w:fill="FFFFFF"/>
        </w:rPr>
      </w:pPr>
      <w:r w:rsidRPr="00316DDE">
        <w:rPr>
          <w:rFonts w:ascii="Arial" w:hAnsi="Arial" w:cs="Arial"/>
          <w:color w:val="000000" w:themeColor="text1"/>
          <w:sz w:val="22"/>
          <w:szCs w:val="22"/>
          <w:shd w:val="clear" w:color="auto" w:fill="FFFFFF"/>
        </w:rPr>
        <w:t>[4] Wiesen, D., Bonilha, L., Rorden, C. </w:t>
      </w:r>
      <w:r w:rsidRPr="00316DDE">
        <w:rPr>
          <w:rFonts w:ascii="Arial" w:hAnsi="Arial" w:cs="Arial"/>
          <w:i/>
          <w:iCs/>
          <w:color w:val="000000" w:themeColor="text1"/>
          <w:sz w:val="22"/>
          <w:szCs w:val="22"/>
          <w:shd w:val="clear" w:color="auto" w:fill="FFFFFF"/>
        </w:rPr>
        <w:t>et al.</w:t>
      </w:r>
      <w:r w:rsidRPr="00316DDE">
        <w:rPr>
          <w:rFonts w:ascii="Arial" w:hAnsi="Arial" w:cs="Arial"/>
          <w:color w:val="000000" w:themeColor="text1"/>
          <w:sz w:val="22"/>
          <w:szCs w:val="22"/>
          <w:shd w:val="clear" w:color="auto" w:fill="FFFFFF"/>
        </w:rPr>
        <w:t> Disconnectomics to unravel the network underlying deficits of spatial exploration and attention. </w:t>
      </w:r>
      <w:r w:rsidRPr="00316DDE">
        <w:rPr>
          <w:rFonts w:ascii="Arial" w:hAnsi="Arial" w:cs="Arial"/>
          <w:i/>
          <w:iCs/>
          <w:color w:val="000000" w:themeColor="text1"/>
          <w:sz w:val="22"/>
          <w:szCs w:val="22"/>
          <w:shd w:val="clear" w:color="auto" w:fill="FFFFFF"/>
        </w:rPr>
        <w:t>Sci Rep</w:t>
      </w:r>
      <w:r w:rsidRPr="00316DDE">
        <w:rPr>
          <w:rFonts w:ascii="Arial" w:hAnsi="Arial" w:cs="Arial"/>
          <w:color w:val="000000" w:themeColor="text1"/>
          <w:sz w:val="22"/>
          <w:szCs w:val="22"/>
          <w:shd w:val="clear" w:color="auto" w:fill="FFFFFF"/>
        </w:rPr>
        <w:t xml:space="preserve"> 12, 22315 (2022). </w:t>
      </w:r>
      <w:hyperlink r:id="rId14" w:history="1">
        <w:r w:rsidRPr="00316DDE">
          <w:rPr>
            <w:rStyle w:val="Hyperlink"/>
            <w:rFonts w:ascii="Arial" w:hAnsi="Arial" w:cs="Arial"/>
            <w:color w:val="000000" w:themeColor="text1"/>
            <w:sz w:val="22"/>
            <w:szCs w:val="22"/>
            <w:shd w:val="clear" w:color="auto" w:fill="FFFFFF"/>
          </w:rPr>
          <w:t>https://doi.org/10.1038/s41598-022-26491-6</w:t>
        </w:r>
      </w:hyperlink>
    </w:p>
    <w:p w14:paraId="45E2FCC8" w14:textId="77777777" w:rsidR="00785F13" w:rsidRPr="00316DDE" w:rsidRDefault="00785F13" w:rsidP="00842E28">
      <w:pPr>
        <w:spacing w:before="120" w:after="0" w:line="240" w:lineRule="auto"/>
        <w:rPr>
          <w:rFonts w:ascii="Arial" w:hAnsi="Arial" w:cs="Arial"/>
          <w:color w:val="000000" w:themeColor="text1"/>
          <w:sz w:val="22"/>
          <w:szCs w:val="22"/>
          <w:shd w:val="clear" w:color="auto" w:fill="FFFFFF"/>
        </w:rPr>
      </w:pPr>
    </w:p>
    <w:p w14:paraId="2748F998" w14:textId="463AD8CC" w:rsidR="00785F13" w:rsidRPr="00316DDE" w:rsidRDefault="001C4235" w:rsidP="00842E28">
      <w:pPr>
        <w:spacing w:before="120" w:after="0" w:line="240" w:lineRule="auto"/>
        <w:rPr>
          <w:rFonts w:ascii="Arial" w:hAnsi="Arial" w:cs="Arial"/>
          <w:color w:val="000000" w:themeColor="text1"/>
          <w:sz w:val="22"/>
          <w:szCs w:val="22"/>
          <w:shd w:val="clear" w:color="auto" w:fill="FFFFFF"/>
        </w:rPr>
      </w:pPr>
      <w:r w:rsidRPr="00316DDE">
        <w:rPr>
          <w:rFonts w:ascii="Arial" w:hAnsi="Arial" w:cs="Arial"/>
          <w:color w:val="000000" w:themeColor="text1"/>
          <w:sz w:val="22"/>
          <w:szCs w:val="22"/>
          <w:shd w:val="clear" w:color="auto" w:fill="FFFFFF"/>
        </w:rPr>
        <w:t xml:space="preserve">[5] </w:t>
      </w:r>
      <w:r w:rsidR="00785F13" w:rsidRPr="00316DDE">
        <w:rPr>
          <w:rFonts w:ascii="Arial" w:hAnsi="Arial" w:cs="Arial"/>
          <w:color w:val="000000" w:themeColor="text1"/>
          <w:sz w:val="22"/>
          <w:szCs w:val="22"/>
          <w:shd w:val="clear" w:color="auto" w:fill="FFFFFF"/>
        </w:rPr>
        <w:t>Gleichgerrcht, E., Fridriksson, J., Rorden, C., &amp; Bonilha, L. (2017). Connectome-based lesion-symptom mapping (CLSM): A novel approach to map neurological function. </w:t>
      </w:r>
      <w:r w:rsidR="00785F13" w:rsidRPr="00316DDE">
        <w:rPr>
          <w:rFonts w:ascii="Arial" w:hAnsi="Arial" w:cs="Arial"/>
          <w:i/>
          <w:iCs/>
          <w:color w:val="000000" w:themeColor="text1"/>
          <w:sz w:val="22"/>
          <w:szCs w:val="22"/>
          <w:shd w:val="clear" w:color="auto" w:fill="FFFFFF"/>
        </w:rPr>
        <w:t>NeuroImage. Clinical</w:t>
      </w:r>
      <w:r w:rsidR="00785F13" w:rsidRPr="00316DDE">
        <w:rPr>
          <w:rFonts w:ascii="Arial" w:hAnsi="Arial" w:cs="Arial"/>
          <w:color w:val="000000" w:themeColor="text1"/>
          <w:sz w:val="22"/>
          <w:szCs w:val="22"/>
          <w:shd w:val="clear" w:color="auto" w:fill="FFFFFF"/>
        </w:rPr>
        <w:t>, </w:t>
      </w:r>
      <w:r w:rsidR="00785F13" w:rsidRPr="00316DDE">
        <w:rPr>
          <w:rFonts w:ascii="Arial" w:hAnsi="Arial" w:cs="Arial"/>
          <w:i/>
          <w:iCs/>
          <w:color w:val="000000" w:themeColor="text1"/>
          <w:sz w:val="22"/>
          <w:szCs w:val="22"/>
          <w:shd w:val="clear" w:color="auto" w:fill="FFFFFF"/>
        </w:rPr>
        <w:t>16</w:t>
      </w:r>
      <w:r w:rsidR="00785F13" w:rsidRPr="00316DDE">
        <w:rPr>
          <w:rFonts w:ascii="Arial" w:hAnsi="Arial" w:cs="Arial"/>
          <w:color w:val="000000" w:themeColor="text1"/>
          <w:sz w:val="22"/>
          <w:szCs w:val="22"/>
          <w:shd w:val="clear" w:color="auto" w:fill="FFFFFF"/>
        </w:rPr>
        <w:t xml:space="preserve">, 461–467. </w:t>
      </w:r>
      <w:hyperlink r:id="rId15" w:history="1">
        <w:r w:rsidR="00785F13" w:rsidRPr="00316DDE">
          <w:rPr>
            <w:rStyle w:val="Hyperlink"/>
            <w:rFonts w:ascii="Arial" w:hAnsi="Arial" w:cs="Arial"/>
            <w:color w:val="000000" w:themeColor="text1"/>
            <w:sz w:val="22"/>
            <w:szCs w:val="22"/>
            <w:shd w:val="clear" w:color="auto" w:fill="FFFFFF"/>
          </w:rPr>
          <w:t>https://doi.org/10.1016/j.nicl.2017.08.018</w:t>
        </w:r>
      </w:hyperlink>
    </w:p>
    <w:p w14:paraId="62DD22B4" w14:textId="77777777" w:rsidR="00785F13" w:rsidRPr="00316DDE" w:rsidRDefault="00785F13" w:rsidP="00842E28">
      <w:pPr>
        <w:spacing w:before="120" w:after="0" w:line="240" w:lineRule="auto"/>
        <w:rPr>
          <w:rFonts w:ascii="Arial" w:hAnsi="Arial" w:cs="Arial"/>
          <w:color w:val="000000" w:themeColor="text1"/>
          <w:sz w:val="22"/>
          <w:szCs w:val="22"/>
          <w:shd w:val="clear" w:color="auto" w:fill="FFFFFF"/>
        </w:rPr>
      </w:pPr>
    </w:p>
    <w:p w14:paraId="294449F5" w14:textId="66C09B91" w:rsidR="00842E28" w:rsidRPr="00316DDE" w:rsidRDefault="001C4235" w:rsidP="00842E28">
      <w:pPr>
        <w:pStyle w:val="Heading1"/>
        <w:shd w:val="clear" w:color="auto" w:fill="FFFFFF"/>
        <w:spacing w:before="0" w:after="300" w:line="293" w:lineRule="atLeast"/>
        <w:textAlignment w:val="baseline"/>
        <w:rPr>
          <w:rFonts w:ascii="Arial" w:hAnsi="Arial" w:cs="Arial"/>
          <w:color w:val="000000" w:themeColor="text1"/>
          <w:spacing w:val="-7"/>
          <w:sz w:val="22"/>
          <w:szCs w:val="22"/>
        </w:rPr>
      </w:pPr>
      <w:r w:rsidRPr="00316DDE">
        <w:rPr>
          <w:rStyle w:val="highwire-citation-author"/>
          <w:rFonts w:ascii="Arial" w:hAnsi="Arial" w:cs="Arial"/>
          <w:color w:val="000000" w:themeColor="text1"/>
          <w:sz w:val="22"/>
          <w:szCs w:val="22"/>
          <w:bdr w:val="none" w:sz="0" w:space="0" w:color="auto" w:frame="1"/>
          <w:shd w:val="clear" w:color="auto" w:fill="FFFFFF"/>
        </w:rPr>
        <w:t xml:space="preserve">[6] </w:t>
      </w:r>
      <w:r w:rsidR="00842E28" w:rsidRPr="00316DDE">
        <w:rPr>
          <w:rStyle w:val="highwire-citation-author"/>
          <w:rFonts w:ascii="Arial" w:hAnsi="Arial" w:cs="Arial"/>
          <w:color w:val="000000" w:themeColor="text1"/>
          <w:sz w:val="22"/>
          <w:szCs w:val="22"/>
          <w:bdr w:val="none" w:sz="0" w:space="0" w:color="auto" w:frame="1"/>
          <w:shd w:val="clear" w:color="auto" w:fill="FFFFFF"/>
        </w:rPr>
        <w:t>J.D. Dworkin</w:t>
      </w:r>
      <w:r w:rsidR="00842E28" w:rsidRPr="00316DDE">
        <w:rPr>
          <w:rFonts w:ascii="Arial" w:hAnsi="Arial" w:cs="Arial"/>
          <w:color w:val="000000" w:themeColor="text1"/>
          <w:sz w:val="22"/>
          <w:szCs w:val="22"/>
          <w:shd w:val="clear" w:color="auto" w:fill="FFFFFF"/>
        </w:rPr>
        <w:t>, </w:t>
      </w:r>
      <w:r w:rsidR="00842E28" w:rsidRPr="00316DDE">
        <w:rPr>
          <w:rStyle w:val="highwire-citation-author"/>
          <w:rFonts w:ascii="Arial" w:hAnsi="Arial" w:cs="Arial"/>
          <w:color w:val="000000" w:themeColor="text1"/>
          <w:sz w:val="22"/>
          <w:szCs w:val="22"/>
          <w:bdr w:val="none" w:sz="0" w:space="0" w:color="auto" w:frame="1"/>
          <w:shd w:val="clear" w:color="auto" w:fill="FFFFFF"/>
        </w:rPr>
        <w:t>K.A. Linn</w:t>
      </w:r>
      <w:r w:rsidR="00842E28" w:rsidRPr="00316DDE">
        <w:rPr>
          <w:rFonts w:ascii="Arial" w:hAnsi="Arial" w:cs="Arial"/>
          <w:color w:val="000000" w:themeColor="text1"/>
          <w:sz w:val="22"/>
          <w:szCs w:val="22"/>
          <w:shd w:val="clear" w:color="auto" w:fill="FFFFFF"/>
        </w:rPr>
        <w:t>, </w:t>
      </w:r>
      <w:r w:rsidR="00842E28" w:rsidRPr="00316DDE">
        <w:rPr>
          <w:rStyle w:val="highwire-citation-author"/>
          <w:rFonts w:ascii="Arial" w:hAnsi="Arial" w:cs="Arial"/>
          <w:color w:val="000000" w:themeColor="text1"/>
          <w:sz w:val="22"/>
          <w:szCs w:val="22"/>
          <w:bdr w:val="none" w:sz="0" w:space="0" w:color="auto" w:frame="1"/>
          <w:shd w:val="clear" w:color="auto" w:fill="FFFFFF"/>
        </w:rPr>
        <w:t>I. Oguz</w:t>
      </w:r>
      <w:r w:rsidR="00842E28" w:rsidRPr="00316DDE">
        <w:rPr>
          <w:rFonts w:ascii="Arial" w:hAnsi="Arial" w:cs="Arial"/>
          <w:color w:val="000000" w:themeColor="text1"/>
          <w:sz w:val="22"/>
          <w:szCs w:val="22"/>
          <w:shd w:val="clear" w:color="auto" w:fill="FFFFFF"/>
        </w:rPr>
        <w:t>, </w:t>
      </w:r>
      <w:r w:rsidR="00842E28" w:rsidRPr="00316DDE">
        <w:rPr>
          <w:rStyle w:val="highwire-citation-author"/>
          <w:rFonts w:ascii="Arial" w:hAnsi="Arial" w:cs="Arial"/>
          <w:color w:val="000000" w:themeColor="text1"/>
          <w:sz w:val="22"/>
          <w:szCs w:val="22"/>
          <w:bdr w:val="none" w:sz="0" w:space="0" w:color="auto" w:frame="1"/>
          <w:shd w:val="clear" w:color="auto" w:fill="FFFFFF"/>
        </w:rPr>
        <w:t>G.M. Fleishman</w:t>
      </w:r>
      <w:r w:rsidR="00842E28" w:rsidRPr="00316DDE">
        <w:rPr>
          <w:rFonts w:ascii="Arial" w:hAnsi="Arial" w:cs="Arial"/>
          <w:color w:val="000000" w:themeColor="text1"/>
          <w:sz w:val="22"/>
          <w:szCs w:val="22"/>
          <w:shd w:val="clear" w:color="auto" w:fill="FFFFFF"/>
        </w:rPr>
        <w:t>, </w:t>
      </w:r>
      <w:r w:rsidR="00842E28" w:rsidRPr="00316DDE">
        <w:rPr>
          <w:rStyle w:val="highwire-citation-author"/>
          <w:rFonts w:ascii="Arial" w:hAnsi="Arial" w:cs="Arial"/>
          <w:color w:val="000000" w:themeColor="text1"/>
          <w:sz w:val="22"/>
          <w:szCs w:val="22"/>
          <w:bdr w:val="none" w:sz="0" w:space="0" w:color="auto" w:frame="1"/>
          <w:shd w:val="clear" w:color="auto" w:fill="FFFFFF"/>
        </w:rPr>
        <w:t>R. Bakshi</w:t>
      </w:r>
      <w:r w:rsidR="00842E28" w:rsidRPr="00316DDE">
        <w:rPr>
          <w:rFonts w:ascii="Arial" w:hAnsi="Arial" w:cs="Arial"/>
          <w:color w:val="000000" w:themeColor="text1"/>
          <w:sz w:val="22"/>
          <w:szCs w:val="22"/>
          <w:shd w:val="clear" w:color="auto" w:fill="FFFFFF"/>
        </w:rPr>
        <w:t>, </w:t>
      </w:r>
      <w:r w:rsidR="00842E28" w:rsidRPr="00316DDE">
        <w:rPr>
          <w:rStyle w:val="highwire-citation-author"/>
          <w:rFonts w:ascii="Arial" w:hAnsi="Arial" w:cs="Arial"/>
          <w:color w:val="000000" w:themeColor="text1"/>
          <w:sz w:val="22"/>
          <w:szCs w:val="22"/>
          <w:bdr w:val="none" w:sz="0" w:space="0" w:color="auto" w:frame="1"/>
          <w:shd w:val="clear" w:color="auto" w:fill="FFFFFF"/>
        </w:rPr>
        <w:t>G. Nair</w:t>
      </w:r>
      <w:r w:rsidR="00842E28" w:rsidRPr="00316DDE">
        <w:rPr>
          <w:rFonts w:ascii="Arial" w:hAnsi="Arial" w:cs="Arial"/>
          <w:color w:val="000000" w:themeColor="text1"/>
          <w:sz w:val="22"/>
          <w:szCs w:val="22"/>
          <w:shd w:val="clear" w:color="auto" w:fill="FFFFFF"/>
        </w:rPr>
        <w:t>, </w:t>
      </w:r>
      <w:r w:rsidR="00842E28" w:rsidRPr="00316DDE">
        <w:rPr>
          <w:rStyle w:val="highwire-citation-author"/>
          <w:rFonts w:ascii="Arial" w:hAnsi="Arial" w:cs="Arial"/>
          <w:color w:val="000000" w:themeColor="text1"/>
          <w:sz w:val="22"/>
          <w:szCs w:val="22"/>
          <w:bdr w:val="none" w:sz="0" w:space="0" w:color="auto" w:frame="1"/>
          <w:shd w:val="clear" w:color="auto" w:fill="FFFFFF"/>
        </w:rPr>
        <w:t>P.A. Calabresi</w:t>
      </w:r>
      <w:r w:rsidR="00842E28" w:rsidRPr="00316DDE">
        <w:rPr>
          <w:rFonts w:ascii="Arial" w:hAnsi="Arial" w:cs="Arial"/>
          <w:color w:val="000000" w:themeColor="text1"/>
          <w:sz w:val="22"/>
          <w:szCs w:val="22"/>
          <w:shd w:val="clear" w:color="auto" w:fill="FFFFFF"/>
        </w:rPr>
        <w:t>, </w:t>
      </w:r>
      <w:r w:rsidR="00842E28" w:rsidRPr="00316DDE">
        <w:rPr>
          <w:rStyle w:val="highwire-citation-author"/>
          <w:rFonts w:ascii="Arial" w:hAnsi="Arial" w:cs="Arial"/>
          <w:color w:val="000000" w:themeColor="text1"/>
          <w:sz w:val="22"/>
          <w:szCs w:val="22"/>
          <w:bdr w:val="none" w:sz="0" w:space="0" w:color="auto" w:frame="1"/>
          <w:shd w:val="clear" w:color="auto" w:fill="FFFFFF"/>
        </w:rPr>
        <w:t>R.G. Henry</w:t>
      </w:r>
      <w:r w:rsidR="00842E28" w:rsidRPr="00316DDE">
        <w:rPr>
          <w:rFonts w:ascii="Arial" w:hAnsi="Arial" w:cs="Arial"/>
          <w:color w:val="000000" w:themeColor="text1"/>
          <w:sz w:val="22"/>
          <w:szCs w:val="22"/>
          <w:shd w:val="clear" w:color="auto" w:fill="FFFFFF"/>
        </w:rPr>
        <w:t>, </w:t>
      </w:r>
      <w:r w:rsidR="00842E28" w:rsidRPr="00316DDE">
        <w:rPr>
          <w:rStyle w:val="highwire-citation-author"/>
          <w:rFonts w:ascii="Arial" w:hAnsi="Arial" w:cs="Arial"/>
          <w:color w:val="000000" w:themeColor="text1"/>
          <w:sz w:val="22"/>
          <w:szCs w:val="22"/>
          <w:bdr w:val="none" w:sz="0" w:space="0" w:color="auto" w:frame="1"/>
          <w:shd w:val="clear" w:color="auto" w:fill="FFFFFF"/>
        </w:rPr>
        <w:t>J. Oh</w:t>
      </w:r>
      <w:r w:rsidR="00842E28" w:rsidRPr="00316DDE">
        <w:rPr>
          <w:rFonts w:ascii="Arial" w:hAnsi="Arial" w:cs="Arial"/>
          <w:color w:val="000000" w:themeColor="text1"/>
          <w:sz w:val="22"/>
          <w:szCs w:val="22"/>
          <w:shd w:val="clear" w:color="auto" w:fill="FFFFFF"/>
        </w:rPr>
        <w:t>, </w:t>
      </w:r>
      <w:r w:rsidR="00842E28" w:rsidRPr="00316DDE">
        <w:rPr>
          <w:rStyle w:val="highwire-citation-author"/>
          <w:rFonts w:ascii="Arial" w:hAnsi="Arial" w:cs="Arial"/>
          <w:color w:val="000000" w:themeColor="text1"/>
          <w:sz w:val="22"/>
          <w:szCs w:val="22"/>
          <w:bdr w:val="none" w:sz="0" w:space="0" w:color="auto" w:frame="1"/>
          <w:shd w:val="clear" w:color="auto" w:fill="FFFFFF"/>
        </w:rPr>
        <w:t>N. Papinutto</w:t>
      </w:r>
      <w:r w:rsidR="00842E28" w:rsidRPr="00316DDE">
        <w:rPr>
          <w:rFonts w:ascii="Arial" w:hAnsi="Arial" w:cs="Arial"/>
          <w:color w:val="000000" w:themeColor="text1"/>
          <w:sz w:val="22"/>
          <w:szCs w:val="22"/>
          <w:shd w:val="clear" w:color="auto" w:fill="FFFFFF"/>
        </w:rPr>
        <w:t>, </w:t>
      </w:r>
      <w:r w:rsidR="00842E28" w:rsidRPr="00316DDE">
        <w:rPr>
          <w:rStyle w:val="highwire-citation-author"/>
          <w:rFonts w:ascii="Arial" w:hAnsi="Arial" w:cs="Arial"/>
          <w:color w:val="000000" w:themeColor="text1"/>
          <w:sz w:val="22"/>
          <w:szCs w:val="22"/>
          <w:bdr w:val="none" w:sz="0" w:space="0" w:color="auto" w:frame="1"/>
          <w:shd w:val="clear" w:color="auto" w:fill="FFFFFF"/>
        </w:rPr>
        <w:t>D. Pelletier</w:t>
      </w:r>
      <w:r w:rsidR="00842E28" w:rsidRPr="00316DDE">
        <w:rPr>
          <w:rFonts w:ascii="Arial" w:hAnsi="Arial" w:cs="Arial"/>
          <w:color w:val="000000" w:themeColor="text1"/>
          <w:sz w:val="22"/>
          <w:szCs w:val="22"/>
          <w:shd w:val="clear" w:color="auto" w:fill="FFFFFF"/>
        </w:rPr>
        <w:t>, </w:t>
      </w:r>
      <w:r w:rsidR="00842E28" w:rsidRPr="00316DDE">
        <w:rPr>
          <w:rStyle w:val="highwire-citation-author"/>
          <w:rFonts w:ascii="Arial" w:hAnsi="Arial" w:cs="Arial"/>
          <w:color w:val="000000" w:themeColor="text1"/>
          <w:sz w:val="22"/>
          <w:szCs w:val="22"/>
          <w:bdr w:val="none" w:sz="0" w:space="0" w:color="auto" w:frame="1"/>
          <w:shd w:val="clear" w:color="auto" w:fill="FFFFFF"/>
        </w:rPr>
        <w:t>W. Rooney</w:t>
      </w:r>
      <w:r w:rsidR="00842E28" w:rsidRPr="00316DDE">
        <w:rPr>
          <w:rFonts w:ascii="Arial" w:hAnsi="Arial" w:cs="Arial"/>
          <w:color w:val="000000" w:themeColor="text1"/>
          <w:sz w:val="22"/>
          <w:szCs w:val="22"/>
          <w:shd w:val="clear" w:color="auto" w:fill="FFFFFF"/>
        </w:rPr>
        <w:t>, </w:t>
      </w:r>
      <w:r w:rsidR="00842E28" w:rsidRPr="00316DDE">
        <w:rPr>
          <w:rStyle w:val="highwire-citation-author"/>
          <w:rFonts w:ascii="Arial" w:hAnsi="Arial" w:cs="Arial"/>
          <w:color w:val="000000" w:themeColor="text1"/>
          <w:sz w:val="22"/>
          <w:szCs w:val="22"/>
          <w:bdr w:val="none" w:sz="0" w:space="0" w:color="auto" w:frame="1"/>
          <w:shd w:val="clear" w:color="auto" w:fill="FFFFFF"/>
        </w:rPr>
        <w:t>W. Stern</w:t>
      </w:r>
      <w:r w:rsidR="00842E28" w:rsidRPr="00316DDE">
        <w:rPr>
          <w:rFonts w:ascii="Arial" w:hAnsi="Arial" w:cs="Arial"/>
          <w:color w:val="000000" w:themeColor="text1"/>
          <w:sz w:val="22"/>
          <w:szCs w:val="22"/>
          <w:shd w:val="clear" w:color="auto" w:fill="FFFFFF"/>
        </w:rPr>
        <w:t>, </w:t>
      </w:r>
      <w:r w:rsidR="00842E28" w:rsidRPr="00316DDE">
        <w:rPr>
          <w:rStyle w:val="highwire-citation-author"/>
          <w:rFonts w:ascii="Arial" w:hAnsi="Arial" w:cs="Arial"/>
          <w:color w:val="000000" w:themeColor="text1"/>
          <w:sz w:val="22"/>
          <w:szCs w:val="22"/>
          <w:bdr w:val="none" w:sz="0" w:space="0" w:color="auto" w:frame="1"/>
          <w:shd w:val="clear" w:color="auto" w:fill="FFFFFF"/>
        </w:rPr>
        <w:t>N.L. Sicotte</w:t>
      </w:r>
      <w:r w:rsidR="00842E28" w:rsidRPr="00316DDE">
        <w:rPr>
          <w:rFonts w:ascii="Arial" w:hAnsi="Arial" w:cs="Arial"/>
          <w:color w:val="000000" w:themeColor="text1"/>
          <w:sz w:val="22"/>
          <w:szCs w:val="22"/>
          <w:shd w:val="clear" w:color="auto" w:fill="FFFFFF"/>
        </w:rPr>
        <w:t>, </w:t>
      </w:r>
      <w:r w:rsidR="00842E28" w:rsidRPr="00316DDE">
        <w:rPr>
          <w:rStyle w:val="highwire-citation-author"/>
          <w:rFonts w:ascii="Arial" w:hAnsi="Arial" w:cs="Arial"/>
          <w:color w:val="000000" w:themeColor="text1"/>
          <w:sz w:val="22"/>
          <w:szCs w:val="22"/>
          <w:bdr w:val="none" w:sz="0" w:space="0" w:color="auto" w:frame="1"/>
          <w:shd w:val="clear" w:color="auto" w:fill="FFFFFF"/>
        </w:rPr>
        <w:t>D.S. Reich</w:t>
      </w:r>
      <w:r w:rsidR="00842E28" w:rsidRPr="00316DDE">
        <w:rPr>
          <w:rFonts w:ascii="Arial" w:hAnsi="Arial" w:cs="Arial"/>
          <w:color w:val="000000" w:themeColor="text1"/>
          <w:sz w:val="22"/>
          <w:szCs w:val="22"/>
          <w:shd w:val="clear" w:color="auto" w:fill="FFFFFF"/>
        </w:rPr>
        <w:t> and </w:t>
      </w:r>
      <w:r w:rsidR="00842E28" w:rsidRPr="00316DDE">
        <w:rPr>
          <w:rStyle w:val="highwire-citation-author"/>
          <w:rFonts w:ascii="Arial" w:hAnsi="Arial" w:cs="Arial"/>
          <w:color w:val="000000" w:themeColor="text1"/>
          <w:sz w:val="22"/>
          <w:szCs w:val="22"/>
          <w:bdr w:val="none" w:sz="0" w:space="0" w:color="auto" w:frame="1"/>
          <w:shd w:val="clear" w:color="auto" w:fill="FFFFFF"/>
        </w:rPr>
        <w:t>R.T. Shinohara</w:t>
      </w:r>
      <w:r w:rsidR="00842E28" w:rsidRPr="00316DDE">
        <w:rPr>
          <w:rFonts w:ascii="Arial" w:hAnsi="Arial" w:cs="Arial"/>
          <w:color w:val="000000" w:themeColor="text1"/>
          <w:sz w:val="22"/>
          <w:szCs w:val="22"/>
          <w:shd w:val="clear" w:color="auto" w:fill="FFFFFF"/>
        </w:rPr>
        <w:t> </w:t>
      </w:r>
      <w:r w:rsidR="00842E28" w:rsidRPr="00316DDE">
        <w:rPr>
          <w:rStyle w:val="span"/>
          <w:rFonts w:ascii="Arial" w:hAnsi="Arial" w:cs="Arial"/>
          <w:color w:val="000000" w:themeColor="text1"/>
          <w:sz w:val="22"/>
          <w:szCs w:val="22"/>
          <w:bdr w:val="none" w:sz="0" w:space="0" w:color="auto" w:frame="1"/>
          <w:shd w:val="clear" w:color="auto" w:fill="FFFFFF"/>
        </w:rPr>
        <w:t>the North American Imaging in Multiple Sclerosis Cooperative -</w:t>
      </w:r>
      <w:r w:rsidR="00842E28" w:rsidRPr="00316DDE">
        <w:rPr>
          <w:rFonts w:ascii="Arial" w:hAnsi="Arial" w:cs="Arial"/>
          <w:color w:val="000000" w:themeColor="text1"/>
          <w:spacing w:val="-7"/>
          <w:sz w:val="22"/>
          <w:szCs w:val="22"/>
        </w:rPr>
        <w:t xml:space="preserve"> An Automated Statistical Technique for Counting Distinct Multiple Sclerosis Lesions</w:t>
      </w:r>
    </w:p>
    <w:p w14:paraId="3A4D8DB7" w14:textId="1D2E52E0" w:rsidR="00842E28" w:rsidRPr="00842E28" w:rsidRDefault="001C4235" w:rsidP="00842E28">
      <w:pPr>
        <w:shd w:val="clear" w:color="auto" w:fill="FFFFFF"/>
        <w:spacing w:after="0" w:line="319" w:lineRule="atLeast"/>
        <w:textAlignment w:val="baseline"/>
        <w:rPr>
          <w:rFonts w:ascii="Arial" w:eastAsia="Times New Roman" w:hAnsi="Arial" w:cs="Arial"/>
          <w:color w:val="000000" w:themeColor="text1"/>
          <w:kern w:val="0"/>
          <w:sz w:val="22"/>
          <w:szCs w:val="22"/>
          <w14:ligatures w14:val="none"/>
        </w:rPr>
      </w:pPr>
      <w:r w:rsidRPr="00316DDE">
        <w:rPr>
          <w:rFonts w:ascii="Arial" w:eastAsia="Times New Roman" w:hAnsi="Arial" w:cs="Arial"/>
          <w:color w:val="000000" w:themeColor="text1"/>
          <w:kern w:val="0"/>
          <w:sz w:val="22"/>
          <w:szCs w:val="22"/>
          <w:bdr w:val="none" w:sz="0" w:space="0" w:color="auto" w:frame="1"/>
          <w14:ligatures w14:val="none"/>
        </w:rPr>
        <w:t xml:space="preserve">[7] </w:t>
      </w:r>
      <w:r w:rsidR="00842E28" w:rsidRPr="00842E28">
        <w:rPr>
          <w:rFonts w:ascii="Arial" w:eastAsia="Times New Roman" w:hAnsi="Arial" w:cs="Arial"/>
          <w:color w:val="000000" w:themeColor="text1"/>
          <w:kern w:val="0"/>
          <w:sz w:val="22"/>
          <w:szCs w:val="22"/>
          <w:bdr w:val="none" w:sz="0" w:space="0" w:color="auto" w:frame="1"/>
          <w14:ligatures w14:val="none"/>
        </w:rPr>
        <w:t>J.D. Dworkin, P. Sati, A. Solomon, D.L. Pham, R. Watts, M.L. Martin, D. Ontaneda, M.K. Schindler, D.S. Reich and R.T. Shinohara</w:t>
      </w:r>
    </w:p>
    <w:p w14:paraId="62F21477" w14:textId="79009DAC" w:rsidR="00842E28" w:rsidRPr="00842E28" w:rsidRDefault="009C77AF" w:rsidP="00842E28">
      <w:pPr>
        <w:shd w:val="clear" w:color="auto" w:fill="FFFFFF"/>
        <w:spacing w:after="0" w:line="319" w:lineRule="atLeast"/>
        <w:textAlignment w:val="baseline"/>
        <w:rPr>
          <w:rFonts w:ascii="Arial" w:eastAsia="Times New Roman" w:hAnsi="Arial" w:cs="Arial"/>
          <w:kern w:val="0"/>
          <w:sz w:val="22"/>
          <w:szCs w:val="22"/>
          <w14:ligatures w14:val="none"/>
        </w:rPr>
      </w:pPr>
      <w:r>
        <w:rPr>
          <w:rFonts w:ascii="Arial" w:eastAsia="Times New Roman" w:hAnsi="Arial" w:cs="Arial"/>
          <w:color w:val="000000" w:themeColor="text1"/>
          <w:kern w:val="0"/>
          <w:sz w:val="22"/>
          <w:szCs w:val="22"/>
          <w:bdr w:val="none" w:sz="0" w:space="0" w:color="auto" w:frame="1"/>
          <w14:ligatures w14:val="none"/>
        </w:rPr>
        <w:t xml:space="preserve">[8] </w:t>
      </w:r>
      <w:r w:rsidR="00842E28" w:rsidRPr="00842E28">
        <w:rPr>
          <w:rFonts w:ascii="Arial" w:eastAsia="Times New Roman" w:hAnsi="Arial" w:cs="Arial"/>
          <w:color w:val="000000" w:themeColor="text1"/>
          <w:kern w:val="0"/>
          <w:sz w:val="22"/>
          <w:szCs w:val="22"/>
          <w:bdr w:val="none" w:sz="0" w:space="0" w:color="auto" w:frame="1"/>
          <w14:ligatures w14:val="none"/>
        </w:rPr>
        <w:t xml:space="preserve">American Journal of Neuroradiology October 2018, 39 (10) 1806-1813; DOI: </w:t>
      </w:r>
      <w:hyperlink r:id="rId16" w:history="1">
        <w:r w:rsidR="00842E28" w:rsidRPr="00842E28">
          <w:rPr>
            <w:rStyle w:val="Hyperlink"/>
            <w:rFonts w:ascii="Arial" w:eastAsia="Times New Roman" w:hAnsi="Arial" w:cs="Arial"/>
            <w:color w:val="000000" w:themeColor="text1"/>
            <w:kern w:val="0"/>
            <w:sz w:val="22"/>
            <w:szCs w:val="22"/>
            <w:bdr w:val="none" w:sz="0" w:space="0" w:color="auto" w:frame="1"/>
            <w14:ligatures w14:val="none"/>
          </w:rPr>
          <w:t>https://doi.org/10.3174/ajnr.A5765</w:t>
        </w:r>
      </w:hyperlink>
      <w:r w:rsidR="00842E28" w:rsidRPr="00316DDE">
        <w:rPr>
          <w:rFonts w:ascii="Arial" w:eastAsia="Times New Roman" w:hAnsi="Arial" w:cs="Arial"/>
          <w:color w:val="000000" w:themeColor="text1"/>
          <w:kern w:val="0"/>
          <w:sz w:val="22"/>
          <w:szCs w:val="22"/>
          <w14:ligatures w14:val="none"/>
        </w:rPr>
        <w:t xml:space="preserve"> - </w:t>
      </w:r>
      <w:r w:rsidR="00842E28" w:rsidRPr="00842E28">
        <w:rPr>
          <w:rFonts w:ascii="Arial" w:eastAsia="Times New Roman" w:hAnsi="Arial" w:cs="Arial"/>
          <w:color w:val="000000" w:themeColor="text1"/>
          <w:kern w:val="36"/>
          <w:sz w:val="22"/>
          <w:szCs w:val="22"/>
          <w14:ligatures w14:val="none"/>
        </w:rPr>
        <w:t>Automated Integration of Multimodal MRI for the Probabilistic Detection of the Central Vein Sign in White Matter Lesions</w:t>
      </w:r>
    </w:p>
    <w:p w14:paraId="6A79E2E0" w14:textId="035D0C08" w:rsidR="00842E28" w:rsidRDefault="00842E28" w:rsidP="00842E28">
      <w:pPr>
        <w:spacing w:before="120" w:after="0" w:line="240" w:lineRule="auto"/>
        <w:rPr>
          <w:rFonts w:ascii="Arial" w:hAnsi="Arial" w:cs="Arial"/>
          <w:b/>
          <w:bCs/>
          <w:sz w:val="22"/>
          <w:szCs w:val="22"/>
        </w:rPr>
        <w:sectPr w:rsidR="00842E28" w:rsidSect="0090616C">
          <w:pgSz w:w="12240" w:h="15840"/>
          <w:pgMar w:top="1440" w:right="1440" w:bottom="1440" w:left="1440" w:header="720" w:footer="720" w:gutter="0"/>
          <w:cols w:space="720"/>
          <w:docGrid w:linePitch="360"/>
        </w:sectPr>
      </w:pPr>
    </w:p>
    <w:p w14:paraId="419193FD" w14:textId="410AEF5E" w:rsidR="001A3C76" w:rsidRDefault="00316DDE" w:rsidP="002A165F">
      <w:pPr>
        <w:spacing w:before="120" w:after="0" w:line="240" w:lineRule="auto"/>
        <w:jc w:val="center"/>
        <w:rPr>
          <w:rFonts w:ascii="Arial" w:hAnsi="Arial" w:cs="Arial"/>
          <w:b/>
          <w:bCs/>
          <w:sz w:val="22"/>
          <w:szCs w:val="22"/>
        </w:rPr>
      </w:pPr>
      <w:r>
        <w:rPr>
          <w:rFonts w:ascii="Arial" w:hAnsi="Arial" w:cs="Arial"/>
          <w:b/>
          <w:bCs/>
          <w:noProof/>
          <w:sz w:val="22"/>
          <w:szCs w:val="22"/>
        </w:rPr>
        <w:lastRenderedPageBreak/>
        <w:drawing>
          <wp:inline distT="0" distB="0" distL="0" distR="0" wp14:anchorId="5B8DCDB4" wp14:editId="5890DF7A">
            <wp:extent cx="8229600" cy="3467100"/>
            <wp:effectExtent l="0" t="0" r="0" b="0"/>
            <wp:docPr id="1099650005"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650005" name="Picture 1" descr="A table with text on it&#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8229600" cy="3467100"/>
                    </a:xfrm>
                    <a:prstGeom prst="rect">
                      <a:avLst/>
                    </a:prstGeom>
                  </pic:spPr>
                </pic:pic>
              </a:graphicData>
            </a:graphic>
          </wp:inline>
        </w:drawing>
      </w:r>
    </w:p>
    <w:p w14:paraId="2B5D9A05" w14:textId="3D8F9C78" w:rsidR="00316DDE" w:rsidRPr="007E541A" w:rsidRDefault="00316DDE" w:rsidP="002A165F">
      <w:pPr>
        <w:spacing w:before="120" w:after="0" w:line="240" w:lineRule="auto"/>
        <w:jc w:val="center"/>
        <w:rPr>
          <w:rFonts w:ascii="Arial" w:hAnsi="Arial" w:cs="Arial"/>
          <w:b/>
          <w:bCs/>
          <w:sz w:val="22"/>
          <w:szCs w:val="22"/>
        </w:rPr>
      </w:pPr>
      <w:r>
        <w:rPr>
          <w:rFonts w:ascii="Arial" w:hAnsi="Arial" w:cs="Arial"/>
          <w:b/>
          <w:bCs/>
          <w:sz w:val="22"/>
          <w:szCs w:val="22"/>
        </w:rPr>
        <w:t>Comparison of Lesion Analysis and Mapping Tools</w:t>
      </w:r>
    </w:p>
    <w:sectPr w:rsidR="00316DDE" w:rsidRPr="007E541A" w:rsidSect="001A3C76">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erriweather">
    <w:panose1 w:val="00000500000000000000"/>
    <w:charset w:val="4D"/>
    <w:family w:val="auto"/>
    <w:pitch w:val="variable"/>
    <w:sig w:usb0="20000207" w:usb1="00000002" w:usb2="00000000" w:usb3="00000000" w:csb0="00000197" w:csb1="00000000"/>
  </w:font>
  <w:font w:name="Source Sans Pro">
    <w:panose1 w:val="020B05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83C9A"/>
    <w:multiLevelType w:val="hybridMultilevel"/>
    <w:tmpl w:val="5E44DD18"/>
    <w:lvl w:ilvl="0" w:tplc="850A633C">
      <w:start w:val="917"/>
      <w:numFmt w:val="bullet"/>
      <w:lvlText w:val=""/>
      <w:lvlJc w:val="left"/>
      <w:pPr>
        <w:ind w:left="360" w:hanging="360"/>
      </w:pPr>
      <w:rPr>
        <w:rFonts w:ascii="Symbol" w:eastAsia="Times New Roman" w:hAnsi="Symbo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E772DB0"/>
    <w:multiLevelType w:val="hybridMultilevel"/>
    <w:tmpl w:val="F5ECFF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44653DE"/>
    <w:multiLevelType w:val="hybridMultilevel"/>
    <w:tmpl w:val="7166E4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8EF03D6"/>
    <w:multiLevelType w:val="hybridMultilevel"/>
    <w:tmpl w:val="9C8637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87C0AFD"/>
    <w:multiLevelType w:val="hybridMultilevel"/>
    <w:tmpl w:val="87D0D9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C9D5D3E"/>
    <w:multiLevelType w:val="hybridMultilevel"/>
    <w:tmpl w:val="6040125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93C2786"/>
    <w:multiLevelType w:val="hybridMultilevel"/>
    <w:tmpl w:val="E16A1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EF5354D"/>
    <w:multiLevelType w:val="hybridMultilevel"/>
    <w:tmpl w:val="05D886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F7E2542"/>
    <w:multiLevelType w:val="hybridMultilevel"/>
    <w:tmpl w:val="4FC80802"/>
    <w:lvl w:ilvl="0" w:tplc="850A633C">
      <w:start w:val="917"/>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13752A2"/>
    <w:multiLevelType w:val="hybridMultilevel"/>
    <w:tmpl w:val="A90A93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4BB3715"/>
    <w:multiLevelType w:val="hybridMultilevel"/>
    <w:tmpl w:val="D5C43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91346C2"/>
    <w:multiLevelType w:val="multilevel"/>
    <w:tmpl w:val="9EB61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1119762">
    <w:abstractNumId w:val="3"/>
  </w:num>
  <w:num w:numId="2" w16cid:durableId="1539665779">
    <w:abstractNumId w:val="10"/>
  </w:num>
  <w:num w:numId="3" w16cid:durableId="1683238930">
    <w:abstractNumId w:val="9"/>
  </w:num>
  <w:num w:numId="4" w16cid:durableId="150100986">
    <w:abstractNumId w:val="4"/>
  </w:num>
  <w:num w:numId="5" w16cid:durableId="1225140134">
    <w:abstractNumId w:val="8"/>
  </w:num>
  <w:num w:numId="6" w16cid:durableId="851339938">
    <w:abstractNumId w:val="0"/>
  </w:num>
  <w:num w:numId="7" w16cid:durableId="611937794">
    <w:abstractNumId w:val="2"/>
  </w:num>
  <w:num w:numId="8" w16cid:durableId="1222867050">
    <w:abstractNumId w:val="11"/>
  </w:num>
  <w:num w:numId="9" w16cid:durableId="1458910897">
    <w:abstractNumId w:val="6"/>
  </w:num>
  <w:num w:numId="10" w16cid:durableId="1309440647">
    <w:abstractNumId w:val="7"/>
  </w:num>
  <w:num w:numId="11" w16cid:durableId="123083760">
    <w:abstractNumId w:val="1"/>
  </w:num>
  <w:num w:numId="12" w16cid:durableId="12832223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E75"/>
    <w:rsid w:val="00003941"/>
    <w:rsid w:val="000067C9"/>
    <w:rsid w:val="00074022"/>
    <w:rsid w:val="00076807"/>
    <w:rsid w:val="0008188A"/>
    <w:rsid w:val="000A08BA"/>
    <w:rsid w:val="000D4B70"/>
    <w:rsid w:val="000E4A25"/>
    <w:rsid w:val="0014670C"/>
    <w:rsid w:val="00162E1B"/>
    <w:rsid w:val="00175B2E"/>
    <w:rsid w:val="001A3C76"/>
    <w:rsid w:val="001B3179"/>
    <w:rsid w:val="001C08E3"/>
    <w:rsid w:val="001C4235"/>
    <w:rsid w:val="001E6AAA"/>
    <w:rsid w:val="001E70AC"/>
    <w:rsid w:val="001F2086"/>
    <w:rsid w:val="001F7620"/>
    <w:rsid w:val="00202ACC"/>
    <w:rsid w:val="00252CCB"/>
    <w:rsid w:val="00261462"/>
    <w:rsid w:val="0027417A"/>
    <w:rsid w:val="00274525"/>
    <w:rsid w:val="00276ABF"/>
    <w:rsid w:val="002A0CE9"/>
    <w:rsid w:val="002A165F"/>
    <w:rsid w:val="002B4D34"/>
    <w:rsid w:val="00313086"/>
    <w:rsid w:val="00316DDE"/>
    <w:rsid w:val="00365B4E"/>
    <w:rsid w:val="00367DCB"/>
    <w:rsid w:val="003771FF"/>
    <w:rsid w:val="003930A2"/>
    <w:rsid w:val="003B21C4"/>
    <w:rsid w:val="003C48CB"/>
    <w:rsid w:val="003E3469"/>
    <w:rsid w:val="00406599"/>
    <w:rsid w:val="00425CBB"/>
    <w:rsid w:val="00432946"/>
    <w:rsid w:val="004631A8"/>
    <w:rsid w:val="00463769"/>
    <w:rsid w:val="0048561F"/>
    <w:rsid w:val="0049361D"/>
    <w:rsid w:val="004E0776"/>
    <w:rsid w:val="005012C2"/>
    <w:rsid w:val="00527F35"/>
    <w:rsid w:val="00533DC7"/>
    <w:rsid w:val="00536611"/>
    <w:rsid w:val="005557C3"/>
    <w:rsid w:val="00590C6C"/>
    <w:rsid w:val="005A34D2"/>
    <w:rsid w:val="005B1BE9"/>
    <w:rsid w:val="005E45B2"/>
    <w:rsid w:val="005E56A5"/>
    <w:rsid w:val="005F1EC6"/>
    <w:rsid w:val="005F3394"/>
    <w:rsid w:val="005F5FA0"/>
    <w:rsid w:val="00605155"/>
    <w:rsid w:val="00616211"/>
    <w:rsid w:val="00627E75"/>
    <w:rsid w:val="00640400"/>
    <w:rsid w:val="006416A7"/>
    <w:rsid w:val="00665562"/>
    <w:rsid w:val="006A10ED"/>
    <w:rsid w:val="006A3E8A"/>
    <w:rsid w:val="006B4020"/>
    <w:rsid w:val="006C5266"/>
    <w:rsid w:val="006E1A77"/>
    <w:rsid w:val="006E3B5A"/>
    <w:rsid w:val="006F436D"/>
    <w:rsid w:val="00716A76"/>
    <w:rsid w:val="007435F7"/>
    <w:rsid w:val="00785F13"/>
    <w:rsid w:val="007A0B8C"/>
    <w:rsid w:val="007B7BB0"/>
    <w:rsid w:val="007E2AD9"/>
    <w:rsid w:val="007E541A"/>
    <w:rsid w:val="007E6B70"/>
    <w:rsid w:val="008227E0"/>
    <w:rsid w:val="0083215C"/>
    <w:rsid w:val="00835991"/>
    <w:rsid w:val="00842E28"/>
    <w:rsid w:val="008B2777"/>
    <w:rsid w:val="008D5FEB"/>
    <w:rsid w:val="0090616C"/>
    <w:rsid w:val="00914538"/>
    <w:rsid w:val="0095015C"/>
    <w:rsid w:val="00993E85"/>
    <w:rsid w:val="009A1290"/>
    <w:rsid w:val="009C77AF"/>
    <w:rsid w:val="009F5567"/>
    <w:rsid w:val="00A43BD9"/>
    <w:rsid w:val="00A548BC"/>
    <w:rsid w:val="00A63E60"/>
    <w:rsid w:val="00A724BC"/>
    <w:rsid w:val="00A84984"/>
    <w:rsid w:val="00A9058E"/>
    <w:rsid w:val="00AA3E06"/>
    <w:rsid w:val="00AC0F4F"/>
    <w:rsid w:val="00AE6DE8"/>
    <w:rsid w:val="00B176B7"/>
    <w:rsid w:val="00B3599F"/>
    <w:rsid w:val="00B44235"/>
    <w:rsid w:val="00B54050"/>
    <w:rsid w:val="00B61D97"/>
    <w:rsid w:val="00B6627E"/>
    <w:rsid w:val="00B87CBD"/>
    <w:rsid w:val="00B9407A"/>
    <w:rsid w:val="00BA15B1"/>
    <w:rsid w:val="00C0539B"/>
    <w:rsid w:val="00C746BA"/>
    <w:rsid w:val="00C94D1E"/>
    <w:rsid w:val="00CC6435"/>
    <w:rsid w:val="00CD4016"/>
    <w:rsid w:val="00CD4DD2"/>
    <w:rsid w:val="00CE246B"/>
    <w:rsid w:val="00D00CE2"/>
    <w:rsid w:val="00D25239"/>
    <w:rsid w:val="00D269B1"/>
    <w:rsid w:val="00D2777F"/>
    <w:rsid w:val="00D467A2"/>
    <w:rsid w:val="00D55CE6"/>
    <w:rsid w:val="00D55D72"/>
    <w:rsid w:val="00D73BC8"/>
    <w:rsid w:val="00D82374"/>
    <w:rsid w:val="00DE2565"/>
    <w:rsid w:val="00E10911"/>
    <w:rsid w:val="00E212A6"/>
    <w:rsid w:val="00E33490"/>
    <w:rsid w:val="00E34FF0"/>
    <w:rsid w:val="00E4532F"/>
    <w:rsid w:val="00E47AF8"/>
    <w:rsid w:val="00E625B3"/>
    <w:rsid w:val="00E8062B"/>
    <w:rsid w:val="00EB0482"/>
    <w:rsid w:val="00EC5911"/>
    <w:rsid w:val="00EE4DFE"/>
    <w:rsid w:val="00F0398E"/>
    <w:rsid w:val="00F041BE"/>
    <w:rsid w:val="00F21C1B"/>
    <w:rsid w:val="00F40CD6"/>
    <w:rsid w:val="00F6448F"/>
    <w:rsid w:val="00F66A51"/>
    <w:rsid w:val="00F85EDB"/>
    <w:rsid w:val="00F90CE1"/>
    <w:rsid w:val="00F946C0"/>
    <w:rsid w:val="00FB0B09"/>
    <w:rsid w:val="00FE0E80"/>
    <w:rsid w:val="00FF6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D752E"/>
  <w15:chartTrackingRefBased/>
  <w15:docId w15:val="{63DA338E-5FE5-C641-93FE-5CBD5EB9B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7E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7E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7E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7E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7E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7E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E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E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E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E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7E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7E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7E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7E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7E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E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E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E75"/>
    <w:rPr>
      <w:rFonts w:eastAsiaTheme="majorEastAsia" w:cstheme="majorBidi"/>
      <w:color w:val="272727" w:themeColor="text1" w:themeTint="D8"/>
    </w:rPr>
  </w:style>
  <w:style w:type="paragraph" w:styleId="Title">
    <w:name w:val="Title"/>
    <w:basedOn w:val="Normal"/>
    <w:next w:val="Normal"/>
    <w:link w:val="TitleChar"/>
    <w:uiPriority w:val="10"/>
    <w:qFormat/>
    <w:rsid w:val="00627E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E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7E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E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7E75"/>
    <w:pPr>
      <w:spacing w:before="160"/>
      <w:jc w:val="center"/>
    </w:pPr>
    <w:rPr>
      <w:i/>
      <w:iCs/>
      <w:color w:val="404040" w:themeColor="text1" w:themeTint="BF"/>
    </w:rPr>
  </w:style>
  <w:style w:type="character" w:customStyle="1" w:styleId="QuoteChar">
    <w:name w:val="Quote Char"/>
    <w:basedOn w:val="DefaultParagraphFont"/>
    <w:link w:val="Quote"/>
    <w:uiPriority w:val="29"/>
    <w:rsid w:val="00627E75"/>
    <w:rPr>
      <w:i/>
      <w:iCs/>
      <w:color w:val="404040" w:themeColor="text1" w:themeTint="BF"/>
    </w:rPr>
  </w:style>
  <w:style w:type="paragraph" w:styleId="ListParagraph">
    <w:name w:val="List Paragraph"/>
    <w:basedOn w:val="Normal"/>
    <w:uiPriority w:val="34"/>
    <w:qFormat/>
    <w:rsid w:val="00627E75"/>
    <w:pPr>
      <w:ind w:left="720"/>
      <w:contextualSpacing/>
    </w:pPr>
  </w:style>
  <w:style w:type="character" w:styleId="IntenseEmphasis">
    <w:name w:val="Intense Emphasis"/>
    <w:basedOn w:val="DefaultParagraphFont"/>
    <w:uiPriority w:val="21"/>
    <w:qFormat/>
    <w:rsid w:val="00627E75"/>
    <w:rPr>
      <w:i/>
      <w:iCs/>
      <w:color w:val="0F4761" w:themeColor="accent1" w:themeShade="BF"/>
    </w:rPr>
  </w:style>
  <w:style w:type="paragraph" w:styleId="IntenseQuote">
    <w:name w:val="Intense Quote"/>
    <w:basedOn w:val="Normal"/>
    <w:next w:val="Normal"/>
    <w:link w:val="IntenseQuoteChar"/>
    <w:uiPriority w:val="30"/>
    <w:qFormat/>
    <w:rsid w:val="00627E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7E75"/>
    <w:rPr>
      <w:i/>
      <w:iCs/>
      <w:color w:val="0F4761" w:themeColor="accent1" w:themeShade="BF"/>
    </w:rPr>
  </w:style>
  <w:style w:type="character" w:styleId="IntenseReference">
    <w:name w:val="Intense Reference"/>
    <w:basedOn w:val="DefaultParagraphFont"/>
    <w:uiPriority w:val="32"/>
    <w:qFormat/>
    <w:rsid w:val="00627E75"/>
    <w:rPr>
      <w:b/>
      <w:bCs/>
      <w:smallCaps/>
      <w:color w:val="0F4761" w:themeColor="accent1" w:themeShade="BF"/>
      <w:spacing w:val="5"/>
    </w:rPr>
  </w:style>
  <w:style w:type="paragraph" w:customStyle="1" w:styleId="p1">
    <w:name w:val="p1"/>
    <w:basedOn w:val="Normal"/>
    <w:rsid w:val="00627E75"/>
    <w:pPr>
      <w:spacing w:after="0" w:line="240" w:lineRule="auto"/>
    </w:pPr>
    <w:rPr>
      <w:rFonts w:ascii="Arial" w:eastAsia="Times New Roman" w:hAnsi="Arial" w:cs="Arial"/>
      <w:color w:val="6D6D6D"/>
      <w:kern w:val="0"/>
      <w:sz w:val="13"/>
      <w:szCs w:val="13"/>
      <w14:ligatures w14:val="none"/>
    </w:rPr>
  </w:style>
  <w:style w:type="character" w:styleId="Hyperlink">
    <w:name w:val="Hyperlink"/>
    <w:basedOn w:val="DefaultParagraphFont"/>
    <w:uiPriority w:val="99"/>
    <w:unhideWhenUsed/>
    <w:rsid w:val="00E10911"/>
    <w:rPr>
      <w:color w:val="467886" w:themeColor="hyperlink"/>
      <w:u w:val="single"/>
    </w:rPr>
  </w:style>
  <w:style w:type="character" w:styleId="UnresolvedMention">
    <w:name w:val="Unresolved Mention"/>
    <w:basedOn w:val="DefaultParagraphFont"/>
    <w:uiPriority w:val="99"/>
    <w:semiHidden/>
    <w:unhideWhenUsed/>
    <w:rsid w:val="00E10911"/>
    <w:rPr>
      <w:color w:val="605E5C"/>
      <w:shd w:val="clear" w:color="auto" w:fill="E1DFDD"/>
    </w:rPr>
  </w:style>
  <w:style w:type="table" w:styleId="GridTable1Light">
    <w:name w:val="Grid Table 1 Light"/>
    <w:basedOn w:val="TableNormal"/>
    <w:uiPriority w:val="46"/>
    <w:rsid w:val="00A63E6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43294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32946"/>
    <w:rPr>
      <w:b/>
      <w:bCs/>
    </w:rPr>
  </w:style>
  <w:style w:type="character" w:customStyle="1" w:styleId="highwire-citation-authors">
    <w:name w:val="highwire-citation-authors"/>
    <w:basedOn w:val="DefaultParagraphFont"/>
    <w:rsid w:val="00842E28"/>
  </w:style>
  <w:style w:type="character" w:customStyle="1" w:styleId="highwire-citation-author">
    <w:name w:val="highwire-citation-author"/>
    <w:basedOn w:val="DefaultParagraphFont"/>
    <w:rsid w:val="00842E28"/>
  </w:style>
  <w:style w:type="character" w:customStyle="1" w:styleId="highwire-cite-metadata-journal">
    <w:name w:val="highwire-cite-metadata-journal"/>
    <w:basedOn w:val="DefaultParagraphFont"/>
    <w:rsid w:val="00842E28"/>
  </w:style>
  <w:style w:type="character" w:customStyle="1" w:styleId="highwire-cite-metadata-date">
    <w:name w:val="highwire-cite-metadata-date"/>
    <w:basedOn w:val="DefaultParagraphFont"/>
    <w:rsid w:val="00842E28"/>
  </w:style>
  <w:style w:type="character" w:customStyle="1" w:styleId="highwire-cite-metadata-volume">
    <w:name w:val="highwire-cite-metadata-volume"/>
    <w:basedOn w:val="DefaultParagraphFont"/>
    <w:rsid w:val="00842E28"/>
  </w:style>
  <w:style w:type="character" w:customStyle="1" w:styleId="highwire-cite-metadata-issue">
    <w:name w:val="highwire-cite-metadata-issue"/>
    <w:basedOn w:val="DefaultParagraphFont"/>
    <w:rsid w:val="00842E28"/>
  </w:style>
  <w:style w:type="character" w:customStyle="1" w:styleId="highwire-cite-metadata-pages">
    <w:name w:val="highwire-cite-metadata-pages"/>
    <w:basedOn w:val="DefaultParagraphFont"/>
    <w:rsid w:val="00842E28"/>
  </w:style>
  <w:style w:type="character" w:customStyle="1" w:styleId="highwire-cite-metadata-doi">
    <w:name w:val="highwire-cite-metadata-doi"/>
    <w:basedOn w:val="DefaultParagraphFont"/>
    <w:rsid w:val="00842E28"/>
  </w:style>
  <w:style w:type="character" w:customStyle="1" w:styleId="span">
    <w:name w:val="span"/>
    <w:basedOn w:val="DefaultParagraphFont"/>
    <w:rsid w:val="00842E28"/>
  </w:style>
  <w:style w:type="character" w:styleId="FollowedHyperlink">
    <w:name w:val="FollowedHyperlink"/>
    <w:basedOn w:val="DefaultParagraphFont"/>
    <w:uiPriority w:val="99"/>
    <w:semiHidden/>
    <w:unhideWhenUsed/>
    <w:rsid w:val="00175B2E"/>
    <w:rPr>
      <w:color w:val="96607D" w:themeColor="followedHyperlink"/>
      <w:u w:val="single"/>
    </w:rPr>
  </w:style>
  <w:style w:type="character" w:styleId="Emphasis">
    <w:name w:val="Emphasis"/>
    <w:basedOn w:val="DefaultParagraphFont"/>
    <w:uiPriority w:val="20"/>
    <w:qFormat/>
    <w:rsid w:val="00175B2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hyperlink" Target="https://doi.org/10.1002/hbm.22590"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diagramData" Target="diagrams/data1.xml"/><Relationship Id="rId12" Type="http://schemas.openxmlformats.org/officeDocument/2006/relationships/image" Target="media/image1.png"/><Relationship Id="rId1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https://doi.org/10.3174/ajnr.A5765" TargetMode="External"/><Relationship Id="rId1" Type="http://schemas.openxmlformats.org/officeDocument/2006/relationships/numbering" Target="numbering.xml"/><Relationship Id="rId6" Type="http://schemas.openxmlformats.org/officeDocument/2006/relationships/hyperlink" Target="https://doi.org/10.1093/neuonc/noab200" TargetMode="External"/><Relationship Id="rId11" Type="http://schemas.microsoft.com/office/2007/relationships/diagramDrawing" Target="diagrams/drawing1.xml"/><Relationship Id="rId5" Type="http://schemas.openxmlformats.org/officeDocument/2006/relationships/hyperlink" Target="javascript:;" TargetMode="External"/><Relationship Id="rId15" Type="http://schemas.openxmlformats.org/officeDocument/2006/relationships/hyperlink" Target="https://doi.org/10.1016/j.nicl.2017.08.018" TargetMode="External"/><Relationship Id="rId10" Type="http://schemas.openxmlformats.org/officeDocument/2006/relationships/diagramColors" Target="diagrams/colors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hyperlink" Target="https://doi.org/10.1038/s41598-022-26491-6"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9130F98-D1C9-7F4A-A124-4E6561168C26}" type="doc">
      <dgm:prSet loTypeId="urn:microsoft.com/office/officeart/2005/8/layout/process1" loCatId="" qsTypeId="urn:microsoft.com/office/officeart/2005/8/quickstyle/simple1" qsCatId="simple" csTypeId="urn:microsoft.com/office/officeart/2005/8/colors/accent1_2" csCatId="accent1" phldr="1"/>
      <dgm:spPr/>
    </dgm:pt>
    <dgm:pt modelId="{9E58EB7A-9AF3-A742-9A15-359E6B0AD31A}">
      <dgm:prSet phldrT="[Text]"/>
      <dgm:spPr/>
      <dgm:t>
        <a:bodyPr/>
        <a:lstStyle/>
        <a:p>
          <a:r>
            <a:rPr lang="en-US"/>
            <a:t>No CP</a:t>
          </a:r>
        </a:p>
      </dgm:t>
    </dgm:pt>
    <dgm:pt modelId="{5E63A0CC-DC68-C24E-BD45-01F9162255B9}" type="parTrans" cxnId="{89AE28D9-5F69-6C4A-9D24-487EF5BC323A}">
      <dgm:prSet/>
      <dgm:spPr/>
      <dgm:t>
        <a:bodyPr/>
        <a:lstStyle/>
        <a:p>
          <a:endParaRPr lang="en-US"/>
        </a:p>
      </dgm:t>
    </dgm:pt>
    <dgm:pt modelId="{14F0A89E-F12A-EB4A-BDC8-B32B0F6FC1CA}" type="sibTrans" cxnId="{89AE28D9-5F69-6C4A-9D24-487EF5BC323A}">
      <dgm:prSet/>
      <dgm:spPr/>
      <dgm:t>
        <a:bodyPr/>
        <a:lstStyle/>
        <a:p>
          <a:endParaRPr lang="en-US"/>
        </a:p>
      </dgm:t>
    </dgm:pt>
    <dgm:pt modelId="{293424E6-89B5-AD41-B759-7F845913586F}">
      <dgm:prSet phldrT="[Text]"/>
      <dgm:spPr/>
      <dgm:t>
        <a:bodyPr/>
        <a:lstStyle/>
        <a:p>
          <a:r>
            <a:rPr lang="en-US"/>
            <a:t>BraTS pretrain</a:t>
          </a:r>
        </a:p>
      </dgm:t>
    </dgm:pt>
    <dgm:pt modelId="{1342D6DE-D074-DD44-A439-7E5EFA97BD9A}" type="parTrans" cxnId="{34C6455E-6FAB-7A4A-A88A-37C90DA88CD7}">
      <dgm:prSet/>
      <dgm:spPr/>
      <dgm:t>
        <a:bodyPr/>
        <a:lstStyle/>
        <a:p>
          <a:endParaRPr lang="en-US"/>
        </a:p>
      </dgm:t>
    </dgm:pt>
    <dgm:pt modelId="{746DA67D-5D82-0A49-8CA5-EA446504FC9A}" type="sibTrans" cxnId="{34C6455E-6FAB-7A4A-A88A-37C90DA88CD7}">
      <dgm:prSet/>
      <dgm:spPr/>
      <dgm:t>
        <a:bodyPr/>
        <a:lstStyle/>
        <a:p>
          <a:endParaRPr lang="en-US"/>
        </a:p>
      </dgm:t>
    </dgm:pt>
    <dgm:pt modelId="{10E2D544-248E-844B-AC60-24F52E486B8E}">
      <dgm:prSet phldrT="[Text]"/>
      <dgm:spPr/>
      <dgm:t>
        <a:bodyPr/>
        <a:lstStyle/>
        <a:p>
          <a:r>
            <a:rPr lang="en-US"/>
            <a:t>Validate on CP when available</a:t>
          </a:r>
        </a:p>
      </dgm:t>
    </dgm:pt>
    <dgm:pt modelId="{CF65EE65-2CF1-2046-973B-BCEAF7A89D3E}" type="parTrans" cxnId="{45FBE299-DD8E-CA45-8A3D-9EE5C4BAD47E}">
      <dgm:prSet/>
      <dgm:spPr/>
      <dgm:t>
        <a:bodyPr/>
        <a:lstStyle/>
        <a:p>
          <a:endParaRPr lang="en-US"/>
        </a:p>
      </dgm:t>
    </dgm:pt>
    <dgm:pt modelId="{04182FC8-38A1-CC41-B1D0-57F892D51765}" type="sibTrans" cxnId="{45FBE299-DD8E-CA45-8A3D-9EE5C4BAD47E}">
      <dgm:prSet/>
      <dgm:spPr/>
      <dgm:t>
        <a:bodyPr/>
        <a:lstStyle/>
        <a:p>
          <a:endParaRPr lang="en-US"/>
        </a:p>
      </dgm:t>
    </dgm:pt>
    <dgm:pt modelId="{A23F13D1-E8CC-C040-A297-010952844D36}">
      <dgm:prSet phldrT="[Text]"/>
      <dgm:spPr/>
      <dgm:t>
        <a:bodyPr/>
        <a:lstStyle/>
        <a:p>
          <a:r>
            <a:rPr lang="en-US"/>
            <a:t>Fine-tune on GBM</a:t>
          </a:r>
        </a:p>
      </dgm:t>
    </dgm:pt>
    <dgm:pt modelId="{64D06FCF-636B-F941-9BDF-CE09AD99F220}" type="parTrans" cxnId="{9DC56AE3-442E-2F45-9111-459ED90D541F}">
      <dgm:prSet/>
      <dgm:spPr/>
      <dgm:t>
        <a:bodyPr/>
        <a:lstStyle/>
        <a:p>
          <a:endParaRPr lang="en-US"/>
        </a:p>
      </dgm:t>
    </dgm:pt>
    <dgm:pt modelId="{E58E091D-5E0C-A645-8EEC-041D38340E9F}" type="sibTrans" cxnId="{9DC56AE3-442E-2F45-9111-459ED90D541F}">
      <dgm:prSet/>
      <dgm:spPr/>
      <dgm:t>
        <a:bodyPr/>
        <a:lstStyle/>
        <a:p>
          <a:endParaRPr lang="en-US"/>
        </a:p>
      </dgm:t>
    </dgm:pt>
    <dgm:pt modelId="{2CDB0E49-80FB-A24F-B459-B492F72F9C10}" type="pres">
      <dgm:prSet presAssocID="{19130F98-D1C9-7F4A-A124-4E6561168C26}" presName="Name0" presStyleCnt="0">
        <dgm:presLayoutVars>
          <dgm:dir/>
          <dgm:resizeHandles val="exact"/>
        </dgm:presLayoutVars>
      </dgm:prSet>
      <dgm:spPr/>
    </dgm:pt>
    <dgm:pt modelId="{8A177CE9-797E-6A49-9E40-AA7A0B7C7DF2}" type="pres">
      <dgm:prSet presAssocID="{9E58EB7A-9AF3-A742-9A15-359E6B0AD31A}" presName="node" presStyleLbl="node1" presStyleIdx="0" presStyleCnt="4">
        <dgm:presLayoutVars>
          <dgm:bulletEnabled val="1"/>
        </dgm:presLayoutVars>
      </dgm:prSet>
      <dgm:spPr/>
    </dgm:pt>
    <dgm:pt modelId="{F76AA807-35F6-EA4F-8742-5D86B4FC38C1}" type="pres">
      <dgm:prSet presAssocID="{14F0A89E-F12A-EB4A-BDC8-B32B0F6FC1CA}" presName="sibTrans" presStyleLbl="sibTrans2D1" presStyleIdx="0" presStyleCnt="3"/>
      <dgm:spPr/>
    </dgm:pt>
    <dgm:pt modelId="{69188999-08DE-B947-8568-F83FF58B1E24}" type="pres">
      <dgm:prSet presAssocID="{14F0A89E-F12A-EB4A-BDC8-B32B0F6FC1CA}" presName="connectorText" presStyleLbl="sibTrans2D1" presStyleIdx="0" presStyleCnt="3"/>
      <dgm:spPr/>
    </dgm:pt>
    <dgm:pt modelId="{A38FBE53-6D31-0741-BC6C-F8B6A8F3F577}" type="pres">
      <dgm:prSet presAssocID="{293424E6-89B5-AD41-B759-7F845913586F}" presName="node" presStyleLbl="node1" presStyleIdx="1" presStyleCnt="4">
        <dgm:presLayoutVars>
          <dgm:bulletEnabled val="1"/>
        </dgm:presLayoutVars>
      </dgm:prSet>
      <dgm:spPr/>
    </dgm:pt>
    <dgm:pt modelId="{51CE48E2-AA1C-AB4B-8F39-531CB7FC222F}" type="pres">
      <dgm:prSet presAssocID="{746DA67D-5D82-0A49-8CA5-EA446504FC9A}" presName="sibTrans" presStyleLbl="sibTrans2D1" presStyleIdx="1" presStyleCnt="3"/>
      <dgm:spPr/>
    </dgm:pt>
    <dgm:pt modelId="{177BF69E-1F3C-4D48-A179-038FF81186B5}" type="pres">
      <dgm:prSet presAssocID="{746DA67D-5D82-0A49-8CA5-EA446504FC9A}" presName="connectorText" presStyleLbl="sibTrans2D1" presStyleIdx="1" presStyleCnt="3"/>
      <dgm:spPr/>
    </dgm:pt>
    <dgm:pt modelId="{8D697D55-77CF-1747-BB31-D9F5B90AD306}" type="pres">
      <dgm:prSet presAssocID="{A23F13D1-E8CC-C040-A297-010952844D36}" presName="node" presStyleLbl="node1" presStyleIdx="2" presStyleCnt="4">
        <dgm:presLayoutVars>
          <dgm:bulletEnabled val="1"/>
        </dgm:presLayoutVars>
      </dgm:prSet>
      <dgm:spPr/>
    </dgm:pt>
    <dgm:pt modelId="{E7C6E75C-36B2-0746-87CF-C2068759625D}" type="pres">
      <dgm:prSet presAssocID="{E58E091D-5E0C-A645-8EEC-041D38340E9F}" presName="sibTrans" presStyleLbl="sibTrans2D1" presStyleIdx="2" presStyleCnt="3"/>
      <dgm:spPr/>
    </dgm:pt>
    <dgm:pt modelId="{485EE8F5-D3F6-F347-B893-5F7818695756}" type="pres">
      <dgm:prSet presAssocID="{E58E091D-5E0C-A645-8EEC-041D38340E9F}" presName="connectorText" presStyleLbl="sibTrans2D1" presStyleIdx="2" presStyleCnt="3"/>
      <dgm:spPr/>
    </dgm:pt>
    <dgm:pt modelId="{634B7F48-83E4-8E48-9243-A24065436DA1}" type="pres">
      <dgm:prSet presAssocID="{10E2D544-248E-844B-AC60-24F52E486B8E}" presName="node" presStyleLbl="node1" presStyleIdx="3" presStyleCnt="4">
        <dgm:presLayoutVars>
          <dgm:bulletEnabled val="1"/>
        </dgm:presLayoutVars>
      </dgm:prSet>
      <dgm:spPr/>
    </dgm:pt>
  </dgm:ptLst>
  <dgm:cxnLst>
    <dgm:cxn modelId="{BAB7E303-6A9A-C54A-B2BF-2F475EAAA83D}" type="presOf" srcId="{14F0A89E-F12A-EB4A-BDC8-B32B0F6FC1CA}" destId="{F76AA807-35F6-EA4F-8742-5D86B4FC38C1}" srcOrd="0" destOrd="0" presId="urn:microsoft.com/office/officeart/2005/8/layout/process1"/>
    <dgm:cxn modelId="{CC6DA51A-9EA1-5444-A0D1-2E45CB98AD17}" type="presOf" srcId="{293424E6-89B5-AD41-B759-7F845913586F}" destId="{A38FBE53-6D31-0741-BC6C-F8B6A8F3F577}" srcOrd="0" destOrd="0" presId="urn:microsoft.com/office/officeart/2005/8/layout/process1"/>
    <dgm:cxn modelId="{8A89FA1E-2B91-EA45-A88E-8C9C11E7F645}" type="presOf" srcId="{746DA67D-5D82-0A49-8CA5-EA446504FC9A}" destId="{51CE48E2-AA1C-AB4B-8F39-531CB7FC222F}" srcOrd="0" destOrd="0" presId="urn:microsoft.com/office/officeart/2005/8/layout/process1"/>
    <dgm:cxn modelId="{2C224E3D-806D-C140-80AC-059CA82310D2}" type="presOf" srcId="{14F0A89E-F12A-EB4A-BDC8-B32B0F6FC1CA}" destId="{69188999-08DE-B947-8568-F83FF58B1E24}" srcOrd="1" destOrd="0" presId="urn:microsoft.com/office/officeart/2005/8/layout/process1"/>
    <dgm:cxn modelId="{7F3AF349-988B-1B4D-B24A-CAA4C5E38FCE}" type="presOf" srcId="{9E58EB7A-9AF3-A742-9A15-359E6B0AD31A}" destId="{8A177CE9-797E-6A49-9E40-AA7A0B7C7DF2}" srcOrd="0" destOrd="0" presId="urn:microsoft.com/office/officeart/2005/8/layout/process1"/>
    <dgm:cxn modelId="{34C6455E-6FAB-7A4A-A88A-37C90DA88CD7}" srcId="{19130F98-D1C9-7F4A-A124-4E6561168C26}" destId="{293424E6-89B5-AD41-B759-7F845913586F}" srcOrd="1" destOrd="0" parTransId="{1342D6DE-D074-DD44-A439-7E5EFA97BD9A}" sibTransId="{746DA67D-5D82-0A49-8CA5-EA446504FC9A}"/>
    <dgm:cxn modelId="{BB24916E-9EDE-4A4C-B4A6-C46A97A1FBE7}" type="presOf" srcId="{E58E091D-5E0C-A645-8EEC-041D38340E9F}" destId="{485EE8F5-D3F6-F347-B893-5F7818695756}" srcOrd="1" destOrd="0" presId="urn:microsoft.com/office/officeart/2005/8/layout/process1"/>
    <dgm:cxn modelId="{4731B174-5EEB-5040-B813-23EB5480231B}" type="presOf" srcId="{E58E091D-5E0C-A645-8EEC-041D38340E9F}" destId="{E7C6E75C-36B2-0746-87CF-C2068759625D}" srcOrd="0" destOrd="0" presId="urn:microsoft.com/office/officeart/2005/8/layout/process1"/>
    <dgm:cxn modelId="{73248C7C-38DE-BE4A-B4DE-C9B2226D0D3C}" type="presOf" srcId="{746DA67D-5D82-0A49-8CA5-EA446504FC9A}" destId="{177BF69E-1F3C-4D48-A179-038FF81186B5}" srcOrd="1" destOrd="0" presId="urn:microsoft.com/office/officeart/2005/8/layout/process1"/>
    <dgm:cxn modelId="{45FBE299-DD8E-CA45-8A3D-9EE5C4BAD47E}" srcId="{19130F98-D1C9-7F4A-A124-4E6561168C26}" destId="{10E2D544-248E-844B-AC60-24F52E486B8E}" srcOrd="3" destOrd="0" parTransId="{CF65EE65-2CF1-2046-973B-BCEAF7A89D3E}" sibTransId="{04182FC8-38A1-CC41-B1D0-57F892D51765}"/>
    <dgm:cxn modelId="{6E3285B1-EBE6-A246-8229-9F44A9225732}" type="presOf" srcId="{A23F13D1-E8CC-C040-A297-010952844D36}" destId="{8D697D55-77CF-1747-BB31-D9F5B90AD306}" srcOrd="0" destOrd="0" presId="urn:microsoft.com/office/officeart/2005/8/layout/process1"/>
    <dgm:cxn modelId="{D6237AD0-8B00-A949-97F9-BFE3C866832F}" type="presOf" srcId="{19130F98-D1C9-7F4A-A124-4E6561168C26}" destId="{2CDB0E49-80FB-A24F-B459-B492F72F9C10}" srcOrd="0" destOrd="0" presId="urn:microsoft.com/office/officeart/2005/8/layout/process1"/>
    <dgm:cxn modelId="{89AE28D9-5F69-6C4A-9D24-487EF5BC323A}" srcId="{19130F98-D1C9-7F4A-A124-4E6561168C26}" destId="{9E58EB7A-9AF3-A742-9A15-359E6B0AD31A}" srcOrd="0" destOrd="0" parTransId="{5E63A0CC-DC68-C24E-BD45-01F9162255B9}" sibTransId="{14F0A89E-F12A-EB4A-BDC8-B32B0F6FC1CA}"/>
    <dgm:cxn modelId="{1546DCDC-82C8-CD45-9DEF-3A1C6FAD6902}" type="presOf" srcId="{10E2D544-248E-844B-AC60-24F52E486B8E}" destId="{634B7F48-83E4-8E48-9243-A24065436DA1}" srcOrd="0" destOrd="0" presId="urn:microsoft.com/office/officeart/2005/8/layout/process1"/>
    <dgm:cxn modelId="{9DC56AE3-442E-2F45-9111-459ED90D541F}" srcId="{19130F98-D1C9-7F4A-A124-4E6561168C26}" destId="{A23F13D1-E8CC-C040-A297-010952844D36}" srcOrd="2" destOrd="0" parTransId="{64D06FCF-636B-F941-9BDF-CE09AD99F220}" sibTransId="{E58E091D-5E0C-A645-8EEC-041D38340E9F}"/>
    <dgm:cxn modelId="{DB6A8E6E-CAAA-1E4B-B139-D30A9457047F}" type="presParOf" srcId="{2CDB0E49-80FB-A24F-B459-B492F72F9C10}" destId="{8A177CE9-797E-6A49-9E40-AA7A0B7C7DF2}" srcOrd="0" destOrd="0" presId="urn:microsoft.com/office/officeart/2005/8/layout/process1"/>
    <dgm:cxn modelId="{8A8A2590-93B0-CB42-B830-ED3B1469969D}" type="presParOf" srcId="{2CDB0E49-80FB-A24F-B459-B492F72F9C10}" destId="{F76AA807-35F6-EA4F-8742-5D86B4FC38C1}" srcOrd="1" destOrd="0" presId="urn:microsoft.com/office/officeart/2005/8/layout/process1"/>
    <dgm:cxn modelId="{10CEDEB5-E030-B84E-923A-C56DCCD357D8}" type="presParOf" srcId="{F76AA807-35F6-EA4F-8742-5D86B4FC38C1}" destId="{69188999-08DE-B947-8568-F83FF58B1E24}" srcOrd="0" destOrd="0" presId="urn:microsoft.com/office/officeart/2005/8/layout/process1"/>
    <dgm:cxn modelId="{2ADDD8A2-8BFA-1F4A-AE3D-0C985DFA31CE}" type="presParOf" srcId="{2CDB0E49-80FB-A24F-B459-B492F72F9C10}" destId="{A38FBE53-6D31-0741-BC6C-F8B6A8F3F577}" srcOrd="2" destOrd="0" presId="urn:microsoft.com/office/officeart/2005/8/layout/process1"/>
    <dgm:cxn modelId="{6266E464-9C88-0F4C-ADD5-A27DE09C97E0}" type="presParOf" srcId="{2CDB0E49-80FB-A24F-B459-B492F72F9C10}" destId="{51CE48E2-AA1C-AB4B-8F39-531CB7FC222F}" srcOrd="3" destOrd="0" presId="urn:microsoft.com/office/officeart/2005/8/layout/process1"/>
    <dgm:cxn modelId="{A976E6A4-135C-5441-9CF0-9671A8E910BA}" type="presParOf" srcId="{51CE48E2-AA1C-AB4B-8F39-531CB7FC222F}" destId="{177BF69E-1F3C-4D48-A179-038FF81186B5}" srcOrd="0" destOrd="0" presId="urn:microsoft.com/office/officeart/2005/8/layout/process1"/>
    <dgm:cxn modelId="{AB5AD697-14B8-C44C-A7DB-190C6F0E48AB}" type="presParOf" srcId="{2CDB0E49-80FB-A24F-B459-B492F72F9C10}" destId="{8D697D55-77CF-1747-BB31-D9F5B90AD306}" srcOrd="4" destOrd="0" presId="urn:microsoft.com/office/officeart/2005/8/layout/process1"/>
    <dgm:cxn modelId="{0F0739F7-F8BD-7D4F-B9F1-A711BBF5E1ED}" type="presParOf" srcId="{2CDB0E49-80FB-A24F-B459-B492F72F9C10}" destId="{E7C6E75C-36B2-0746-87CF-C2068759625D}" srcOrd="5" destOrd="0" presId="urn:microsoft.com/office/officeart/2005/8/layout/process1"/>
    <dgm:cxn modelId="{6123CE2E-B6EC-8F40-93BB-0FD443FA1AD8}" type="presParOf" srcId="{E7C6E75C-36B2-0746-87CF-C2068759625D}" destId="{485EE8F5-D3F6-F347-B893-5F7818695756}" srcOrd="0" destOrd="0" presId="urn:microsoft.com/office/officeart/2005/8/layout/process1"/>
    <dgm:cxn modelId="{D33AD0EC-CD97-E543-A8E9-8DC4B0F09BA4}" type="presParOf" srcId="{2CDB0E49-80FB-A24F-B459-B492F72F9C10}" destId="{634B7F48-83E4-8E48-9243-A24065436DA1}" srcOrd="6" destOrd="0" presId="urn:microsoft.com/office/officeart/2005/8/layout/process1"/>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A177CE9-797E-6A49-9E40-AA7A0B7C7DF2}">
      <dsp:nvSpPr>
        <dsp:cNvPr id="0" name=""/>
        <dsp:cNvSpPr/>
      </dsp:nvSpPr>
      <dsp:spPr>
        <a:xfrm>
          <a:off x="1770" y="271918"/>
          <a:ext cx="774185" cy="81289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No CP</a:t>
          </a:r>
        </a:p>
      </dsp:txBody>
      <dsp:txXfrm>
        <a:off x="24445" y="294593"/>
        <a:ext cx="728835" cy="767544"/>
      </dsp:txXfrm>
    </dsp:sp>
    <dsp:sp modelId="{F76AA807-35F6-EA4F-8742-5D86B4FC38C1}">
      <dsp:nvSpPr>
        <dsp:cNvPr id="0" name=""/>
        <dsp:cNvSpPr/>
      </dsp:nvSpPr>
      <dsp:spPr>
        <a:xfrm>
          <a:off x="853374" y="582366"/>
          <a:ext cx="164127" cy="19199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853374" y="620766"/>
        <a:ext cx="114889" cy="115198"/>
      </dsp:txXfrm>
    </dsp:sp>
    <dsp:sp modelId="{A38FBE53-6D31-0741-BC6C-F8B6A8F3F577}">
      <dsp:nvSpPr>
        <dsp:cNvPr id="0" name=""/>
        <dsp:cNvSpPr/>
      </dsp:nvSpPr>
      <dsp:spPr>
        <a:xfrm>
          <a:off x="1085630" y="271918"/>
          <a:ext cx="774185" cy="81289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BraTS pretrain</a:t>
          </a:r>
        </a:p>
      </dsp:txBody>
      <dsp:txXfrm>
        <a:off x="1108305" y="294593"/>
        <a:ext cx="728835" cy="767544"/>
      </dsp:txXfrm>
    </dsp:sp>
    <dsp:sp modelId="{51CE48E2-AA1C-AB4B-8F39-531CB7FC222F}">
      <dsp:nvSpPr>
        <dsp:cNvPr id="0" name=""/>
        <dsp:cNvSpPr/>
      </dsp:nvSpPr>
      <dsp:spPr>
        <a:xfrm>
          <a:off x="1937234" y="582366"/>
          <a:ext cx="164127" cy="19199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1937234" y="620766"/>
        <a:ext cx="114889" cy="115198"/>
      </dsp:txXfrm>
    </dsp:sp>
    <dsp:sp modelId="{8D697D55-77CF-1747-BB31-D9F5B90AD306}">
      <dsp:nvSpPr>
        <dsp:cNvPr id="0" name=""/>
        <dsp:cNvSpPr/>
      </dsp:nvSpPr>
      <dsp:spPr>
        <a:xfrm>
          <a:off x="2169490" y="271918"/>
          <a:ext cx="774185" cy="81289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Fine-tune on GBM</a:t>
          </a:r>
        </a:p>
      </dsp:txBody>
      <dsp:txXfrm>
        <a:off x="2192165" y="294593"/>
        <a:ext cx="728835" cy="767544"/>
      </dsp:txXfrm>
    </dsp:sp>
    <dsp:sp modelId="{E7C6E75C-36B2-0746-87CF-C2068759625D}">
      <dsp:nvSpPr>
        <dsp:cNvPr id="0" name=""/>
        <dsp:cNvSpPr/>
      </dsp:nvSpPr>
      <dsp:spPr>
        <a:xfrm>
          <a:off x="3021094" y="582366"/>
          <a:ext cx="164127" cy="19199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3021094" y="620766"/>
        <a:ext cx="114889" cy="115198"/>
      </dsp:txXfrm>
    </dsp:sp>
    <dsp:sp modelId="{634B7F48-83E4-8E48-9243-A24065436DA1}">
      <dsp:nvSpPr>
        <dsp:cNvPr id="0" name=""/>
        <dsp:cNvSpPr/>
      </dsp:nvSpPr>
      <dsp:spPr>
        <a:xfrm>
          <a:off x="3253350" y="271918"/>
          <a:ext cx="774185" cy="81289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Validate on CP when available</a:t>
          </a:r>
        </a:p>
      </dsp:txBody>
      <dsp:txXfrm>
        <a:off x="3276025" y="294593"/>
        <a:ext cx="728835" cy="767544"/>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882</Words>
  <Characters>5032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Yves Greatti</dc:creator>
  <cp:keywords/>
  <dc:description/>
  <cp:lastModifiedBy>Yves Greatti</cp:lastModifiedBy>
  <cp:revision>9</cp:revision>
  <dcterms:created xsi:type="dcterms:W3CDTF">2025-09-30T12:39:00Z</dcterms:created>
  <dcterms:modified xsi:type="dcterms:W3CDTF">2025-10-17T12:54:00Z</dcterms:modified>
</cp:coreProperties>
</file>